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6AC5" w:rsidRDefault="00C573F0">
      <w:pPr>
        <w:spacing w:after="40"/>
      </w:pPr>
      <w:r>
        <w:rPr>
          <w:b/>
          <w:bCs/>
          <w:color w:val="2E5FA3"/>
          <w:spacing w:val="30"/>
          <w:sz w:val="16"/>
          <w:szCs w:val="16"/>
        </w:rPr>
        <w:t>DATA ARCHITECTURE REVIEW BOARD  —  SUBMISSION FOR APPROVAL</w:t>
      </w:r>
    </w:p>
    <w:p w:rsidR="00E56AC5" w:rsidRDefault="00C573F0">
      <w:pPr>
        <w:spacing w:after="60"/>
      </w:pPr>
      <w:r>
        <w:rPr>
          <w:b/>
          <w:bCs/>
          <w:color w:val="1F3864"/>
          <w:sz w:val="44"/>
          <w:szCs w:val="44"/>
        </w:rPr>
        <w:t>Data Storage &amp; Processing Architecture</w:t>
      </w:r>
    </w:p>
    <w:p w:rsidR="00E56AC5" w:rsidRDefault="00C573F0">
      <w:pPr>
        <w:pBdr>
          <w:bottom w:val="single" w:sz="12" w:space="10" w:color="1F3864"/>
        </w:pBdr>
        <w:spacing w:after="200"/>
      </w:pPr>
      <w:r>
        <w:rPr>
          <w:color w:val="44546A"/>
          <w:sz w:val="24"/>
          <w:szCs w:val="24"/>
        </w:rPr>
        <w:t>Retail Point-of-Sale Analytics Platform on Microsoft Fabric</w:t>
      </w:r>
    </w:p>
    <w:tbl>
      <w:tblPr>
        <w:tblW w:w="10080" w:type="dxa"/>
        <w:tblBorders>
          <w:top w:val="single" w:sz="4" w:space="0" w:color="C6CEDA"/>
          <w:left w:val="single" w:sz="4" w:space="0" w:color="C6CEDA"/>
          <w:bottom w:val="single" w:sz="4" w:space="0" w:color="C6CEDA"/>
          <w:right w:val="single" w:sz="4" w:space="0" w:color="C6CEDA"/>
          <w:insideH w:val="single" w:sz="2" w:space="0" w:color="D8DEE8"/>
          <w:insideV w:val="single" w:sz="2" w:space="0" w:color="D8DEE8"/>
        </w:tblBorders>
        <w:tblCellMar>
          <w:left w:w="10" w:type="dxa"/>
          <w:right w:w="10" w:type="dxa"/>
        </w:tblCellMar>
        <w:tblLook w:val="0000" w:firstRow="0" w:lastRow="0" w:firstColumn="0" w:lastColumn="0" w:noHBand="0" w:noVBand="0"/>
      </w:tblPr>
      <w:tblGrid>
        <w:gridCol w:w="2200"/>
        <w:gridCol w:w="2840"/>
        <w:gridCol w:w="2200"/>
        <w:gridCol w:w="2840"/>
      </w:tblGrid>
      <w:tr w:rsidR="00E56AC5">
        <w:tblPrEx>
          <w:tblCellMar>
            <w:top w:w="0" w:type="dxa"/>
            <w:bottom w:w="0" w:type="dxa"/>
          </w:tblCellMar>
        </w:tblPrEx>
        <w:trPr>
          <w:tblHeader/>
        </w:trPr>
        <w:tc>
          <w:tcPr>
            <w:tcW w:w="2200" w:type="dxa"/>
            <w:shd w:val="clear" w:color="auto" w:fill="1F3864"/>
            <w:tcMar>
              <w:top w:w="70" w:type="dxa"/>
              <w:left w:w="110" w:type="dxa"/>
              <w:bottom w:w="70" w:type="dxa"/>
              <w:right w:w="110" w:type="dxa"/>
            </w:tcMar>
          </w:tcPr>
          <w:p w:rsidR="00E56AC5" w:rsidRDefault="00C573F0">
            <w:r>
              <w:rPr>
                <w:b/>
                <w:bCs/>
                <w:color w:val="FFFFFF"/>
                <w:sz w:val="18"/>
                <w:szCs w:val="18"/>
              </w:rPr>
              <w:t>Field</w:t>
            </w:r>
          </w:p>
        </w:tc>
        <w:tc>
          <w:tcPr>
            <w:tcW w:w="2840" w:type="dxa"/>
            <w:shd w:val="clear" w:color="auto" w:fill="1F3864"/>
            <w:tcMar>
              <w:top w:w="70" w:type="dxa"/>
              <w:left w:w="110" w:type="dxa"/>
              <w:bottom w:w="70" w:type="dxa"/>
              <w:right w:w="110" w:type="dxa"/>
            </w:tcMar>
          </w:tcPr>
          <w:p w:rsidR="00E56AC5" w:rsidRDefault="00C573F0">
            <w:r>
              <w:rPr>
                <w:b/>
                <w:bCs/>
                <w:color w:val="FFFFFF"/>
                <w:sz w:val="18"/>
                <w:szCs w:val="18"/>
              </w:rPr>
              <w:t>Value</w:t>
            </w:r>
          </w:p>
        </w:tc>
        <w:tc>
          <w:tcPr>
            <w:tcW w:w="2200" w:type="dxa"/>
            <w:shd w:val="clear" w:color="auto" w:fill="1F3864"/>
            <w:tcMar>
              <w:top w:w="70" w:type="dxa"/>
              <w:left w:w="110" w:type="dxa"/>
              <w:bottom w:w="70" w:type="dxa"/>
              <w:right w:w="110" w:type="dxa"/>
            </w:tcMar>
          </w:tcPr>
          <w:p w:rsidR="00E56AC5" w:rsidRDefault="00C573F0">
            <w:r>
              <w:rPr>
                <w:b/>
                <w:bCs/>
                <w:color w:val="FFFFFF"/>
                <w:sz w:val="18"/>
                <w:szCs w:val="18"/>
              </w:rPr>
              <w:t>Field</w:t>
            </w:r>
          </w:p>
        </w:tc>
        <w:tc>
          <w:tcPr>
            <w:tcW w:w="2840" w:type="dxa"/>
            <w:shd w:val="clear" w:color="auto" w:fill="1F3864"/>
            <w:tcMar>
              <w:top w:w="70" w:type="dxa"/>
              <w:left w:w="110" w:type="dxa"/>
              <w:bottom w:w="70" w:type="dxa"/>
              <w:right w:w="110" w:type="dxa"/>
            </w:tcMar>
          </w:tcPr>
          <w:p w:rsidR="00E56AC5" w:rsidRDefault="00C573F0">
            <w:r>
              <w:rPr>
                <w:b/>
                <w:bCs/>
                <w:color w:val="FFFFFF"/>
                <w:sz w:val="18"/>
                <w:szCs w:val="18"/>
              </w:rPr>
              <w:t>Value</w:t>
            </w:r>
          </w:p>
        </w:tc>
      </w:tr>
      <w:tr w:rsidR="00E56AC5">
        <w:tblPrEx>
          <w:tblCellMar>
            <w:top w:w="0" w:type="dxa"/>
            <w:bottom w:w="0" w:type="dxa"/>
          </w:tblCellMar>
        </w:tblPrEx>
        <w:tc>
          <w:tcPr>
            <w:tcW w:w="2200" w:type="dxa"/>
            <w:shd w:val="clear" w:color="auto" w:fill="FFFFFF"/>
            <w:tcMar>
              <w:top w:w="70" w:type="dxa"/>
              <w:left w:w="110" w:type="dxa"/>
              <w:bottom w:w="70" w:type="dxa"/>
              <w:right w:w="110" w:type="dxa"/>
            </w:tcMar>
          </w:tcPr>
          <w:p w:rsidR="00E56AC5" w:rsidRDefault="00C573F0">
            <w:r>
              <w:rPr>
                <w:sz w:val="18"/>
                <w:szCs w:val="18"/>
              </w:rPr>
              <w:t>Prepared by</w:t>
            </w:r>
          </w:p>
        </w:tc>
        <w:tc>
          <w:tcPr>
            <w:tcW w:w="2840" w:type="dxa"/>
            <w:shd w:val="clear" w:color="auto" w:fill="FFFFFF"/>
            <w:tcMar>
              <w:top w:w="70" w:type="dxa"/>
              <w:left w:w="110" w:type="dxa"/>
              <w:bottom w:w="70" w:type="dxa"/>
              <w:right w:w="110" w:type="dxa"/>
            </w:tcMar>
          </w:tcPr>
          <w:p w:rsidR="00E56AC5" w:rsidRDefault="00C573F0">
            <w:bookmarkStart w:id="0" w:name="_GoBack"/>
            <w:bookmarkEnd w:id="0"/>
            <w:r>
              <w:rPr>
                <w:sz w:val="18"/>
                <w:szCs w:val="18"/>
              </w:rPr>
              <w:t>Data Engineering</w:t>
            </w:r>
          </w:p>
        </w:tc>
        <w:tc>
          <w:tcPr>
            <w:tcW w:w="2200" w:type="dxa"/>
            <w:shd w:val="clear" w:color="auto" w:fill="FFFFFF"/>
            <w:tcMar>
              <w:top w:w="70" w:type="dxa"/>
              <w:left w:w="110" w:type="dxa"/>
              <w:bottom w:w="70" w:type="dxa"/>
              <w:right w:w="110" w:type="dxa"/>
            </w:tcMar>
          </w:tcPr>
          <w:p w:rsidR="00E56AC5" w:rsidRDefault="00C573F0">
            <w:r>
              <w:rPr>
                <w:sz w:val="18"/>
                <w:szCs w:val="18"/>
              </w:rPr>
              <w:t>Document version</w:t>
            </w:r>
          </w:p>
        </w:tc>
        <w:tc>
          <w:tcPr>
            <w:tcW w:w="2840" w:type="dxa"/>
            <w:shd w:val="clear" w:color="auto" w:fill="FFFFFF"/>
            <w:tcMar>
              <w:top w:w="70" w:type="dxa"/>
              <w:left w:w="110" w:type="dxa"/>
              <w:bottom w:w="70" w:type="dxa"/>
              <w:right w:w="110" w:type="dxa"/>
            </w:tcMar>
          </w:tcPr>
          <w:p w:rsidR="00E56AC5" w:rsidRDefault="00C573F0">
            <w:r>
              <w:rPr>
                <w:sz w:val="18"/>
                <w:szCs w:val="18"/>
              </w:rPr>
              <w:t>1.0</w:t>
            </w:r>
          </w:p>
        </w:tc>
      </w:tr>
      <w:tr w:rsidR="00E56AC5">
        <w:tblPrEx>
          <w:tblCellMar>
            <w:top w:w="0" w:type="dxa"/>
            <w:bottom w:w="0" w:type="dxa"/>
          </w:tblCellMar>
        </w:tblPrEx>
        <w:tc>
          <w:tcPr>
            <w:tcW w:w="2200" w:type="dxa"/>
            <w:shd w:val="clear" w:color="auto" w:fill="EEF2F8"/>
            <w:tcMar>
              <w:top w:w="70" w:type="dxa"/>
              <w:left w:w="110" w:type="dxa"/>
              <w:bottom w:w="70" w:type="dxa"/>
              <w:right w:w="110" w:type="dxa"/>
            </w:tcMar>
          </w:tcPr>
          <w:p w:rsidR="00E56AC5" w:rsidRDefault="00C573F0">
            <w:r>
              <w:rPr>
                <w:sz w:val="18"/>
                <w:szCs w:val="18"/>
              </w:rPr>
              <w:t>Date</w:t>
            </w:r>
          </w:p>
        </w:tc>
        <w:tc>
          <w:tcPr>
            <w:tcW w:w="2840" w:type="dxa"/>
            <w:shd w:val="clear" w:color="auto" w:fill="EEF2F8"/>
            <w:tcMar>
              <w:top w:w="70" w:type="dxa"/>
              <w:left w:w="110" w:type="dxa"/>
              <w:bottom w:w="70" w:type="dxa"/>
              <w:right w:w="110" w:type="dxa"/>
            </w:tcMar>
          </w:tcPr>
          <w:p w:rsidR="00E56AC5" w:rsidRDefault="00C573F0">
            <w:r>
              <w:rPr>
                <w:sz w:val="18"/>
                <w:szCs w:val="18"/>
              </w:rPr>
              <w:t>21 August 2026</w:t>
            </w:r>
          </w:p>
        </w:tc>
        <w:tc>
          <w:tcPr>
            <w:tcW w:w="2200" w:type="dxa"/>
            <w:shd w:val="clear" w:color="auto" w:fill="EEF2F8"/>
            <w:tcMar>
              <w:top w:w="70" w:type="dxa"/>
              <w:left w:w="110" w:type="dxa"/>
              <w:bottom w:w="70" w:type="dxa"/>
              <w:right w:w="110" w:type="dxa"/>
            </w:tcMar>
          </w:tcPr>
          <w:p w:rsidR="00E56AC5" w:rsidRDefault="00C573F0">
            <w:r>
              <w:rPr>
                <w:sz w:val="18"/>
                <w:szCs w:val="18"/>
              </w:rPr>
              <w:t>Status</w:t>
            </w:r>
          </w:p>
        </w:tc>
        <w:tc>
          <w:tcPr>
            <w:tcW w:w="2840" w:type="dxa"/>
            <w:shd w:val="clear" w:color="auto" w:fill="EEF2F8"/>
            <w:tcMar>
              <w:top w:w="70" w:type="dxa"/>
              <w:left w:w="110" w:type="dxa"/>
              <w:bottom w:w="70" w:type="dxa"/>
              <w:right w:w="110" w:type="dxa"/>
            </w:tcMar>
          </w:tcPr>
          <w:p w:rsidR="00E56AC5" w:rsidRDefault="00C573F0">
            <w:r>
              <w:rPr>
                <w:sz w:val="18"/>
                <w:szCs w:val="18"/>
              </w:rPr>
              <w:t>For approval</w:t>
            </w:r>
          </w:p>
        </w:tc>
      </w:tr>
      <w:tr w:rsidR="00E56AC5">
        <w:tblPrEx>
          <w:tblCellMar>
            <w:top w:w="0" w:type="dxa"/>
            <w:bottom w:w="0" w:type="dxa"/>
          </w:tblCellMar>
        </w:tblPrEx>
        <w:tc>
          <w:tcPr>
            <w:tcW w:w="2200" w:type="dxa"/>
            <w:shd w:val="clear" w:color="auto" w:fill="FFFFFF"/>
            <w:tcMar>
              <w:top w:w="70" w:type="dxa"/>
              <w:left w:w="110" w:type="dxa"/>
              <w:bottom w:w="70" w:type="dxa"/>
              <w:right w:w="110" w:type="dxa"/>
            </w:tcMar>
          </w:tcPr>
          <w:p w:rsidR="00E56AC5" w:rsidRDefault="00C573F0">
            <w:r>
              <w:rPr>
                <w:sz w:val="18"/>
                <w:szCs w:val="18"/>
              </w:rPr>
              <w:t>Platform</w:t>
            </w:r>
          </w:p>
        </w:tc>
        <w:tc>
          <w:tcPr>
            <w:tcW w:w="2840" w:type="dxa"/>
            <w:shd w:val="clear" w:color="auto" w:fill="FFFFFF"/>
            <w:tcMar>
              <w:top w:w="70" w:type="dxa"/>
              <w:left w:w="110" w:type="dxa"/>
              <w:bottom w:w="70" w:type="dxa"/>
              <w:right w:w="110" w:type="dxa"/>
            </w:tcMar>
          </w:tcPr>
          <w:p w:rsidR="00E56AC5" w:rsidRDefault="00C573F0">
            <w:r>
              <w:rPr>
                <w:sz w:val="18"/>
                <w:szCs w:val="18"/>
              </w:rPr>
              <w:t>Microsoft Fabric (Lakehouse + Warehouse)</w:t>
            </w:r>
          </w:p>
        </w:tc>
        <w:tc>
          <w:tcPr>
            <w:tcW w:w="2200" w:type="dxa"/>
            <w:shd w:val="clear" w:color="auto" w:fill="FFFFFF"/>
            <w:tcMar>
              <w:top w:w="70" w:type="dxa"/>
              <w:left w:w="110" w:type="dxa"/>
              <w:bottom w:w="70" w:type="dxa"/>
              <w:right w:w="110" w:type="dxa"/>
            </w:tcMar>
          </w:tcPr>
          <w:p w:rsidR="00E56AC5" w:rsidRDefault="00C573F0">
            <w:r>
              <w:rPr>
                <w:sz w:val="18"/>
                <w:szCs w:val="18"/>
              </w:rPr>
              <w:t>Scope</w:t>
            </w:r>
          </w:p>
        </w:tc>
        <w:tc>
          <w:tcPr>
            <w:tcW w:w="2840" w:type="dxa"/>
            <w:shd w:val="clear" w:color="auto" w:fill="FFFFFF"/>
            <w:tcMar>
              <w:top w:w="70" w:type="dxa"/>
              <w:left w:w="110" w:type="dxa"/>
              <w:bottom w:w="70" w:type="dxa"/>
              <w:right w:w="110" w:type="dxa"/>
            </w:tcMar>
          </w:tcPr>
          <w:p w:rsidR="00E56AC5" w:rsidRDefault="00C573F0">
            <w:r>
              <w:rPr>
                <w:sz w:val="18"/>
                <w:szCs w:val="18"/>
              </w:rPr>
              <w:t>Bronze → Silver → Gold → Star schema</w:t>
            </w:r>
          </w:p>
        </w:tc>
      </w:tr>
    </w:tbl>
    <w:p w:rsidR="00E56AC5" w:rsidRDefault="00E56AC5">
      <w:pPr>
        <w:spacing w:after="120"/>
      </w:pPr>
    </w:p>
    <w:p w:rsidR="00E56AC5" w:rsidRDefault="00C573F0">
      <w:pPr>
        <w:pStyle w:val="Heading1"/>
        <w:pBdr>
          <w:bottom w:val="single" w:sz="8" w:space="6" w:color="2E5FA3"/>
        </w:pBdr>
        <w:spacing w:before="360" w:after="140"/>
      </w:pPr>
      <w:r>
        <w:rPr>
          <w:b/>
          <w:bCs/>
          <w:color w:val="1F3864"/>
          <w:sz w:val="28"/>
          <w:szCs w:val="28"/>
        </w:rPr>
        <w:t>1.  Solution Context</w:t>
      </w:r>
    </w:p>
    <w:p w:rsidR="00E56AC5" w:rsidRDefault="00C573F0">
      <w:pPr>
        <w:spacing w:after="120" w:line="264" w:lineRule="auto"/>
        <w:jc w:val="both"/>
      </w:pPr>
      <w:r>
        <w:t>Two hundred stores generate roughly 4.2 million point-of-sale line items per day, delivered as gzipped CSV extracts from the store controllers between 01:00 and 03:00 local time. Three groups consume that data with competing requirements: the BI team wants</w:t>
      </w:r>
      <w:r>
        <w:t xml:space="preserve"> sub-five-second dashboard refreshes across 24 months of history, the audit function needs to reproduce any reported figure exactly as it stood on any prior date, and the infrastructure team needs storage growth to remain predictable. This document sets ou</w:t>
      </w:r>
      <w:r>
        <w:t>t the Fabric Lakehouse and Warehouse design that reconciles the three, and records the reasoning behind each decision.</w:t>
      </w:r>
    </w:p>
    <w:p w:rsidR="00E56AC5" w:rsidRDefault="00C573F0">
      <w:pPr>
        <w:pStyle w:val="Heading1"/>
        <w:pBdr>
          <w:bottom w:val="single" w:sz="8" w:space="6" w:color="2E5FA3"/>
        </w:pBdr>
        <w:spacing w:before="360" w:after="140"/>
      </w:pPr>
      <w:r>
        <w:rPr>
          <w:b/>
          <w:bCs/>
          <w:color w:val="1F3864"/>
          <w:sz w:val="28"/>
          <w:szCs w:val="28"/>
        </w:rPr>
        <w:t>2.  Medallion Architecture</w:t>
      </w:r>
    </w:p>
    <w:p w:rsidR="00E56AC5" w:rsidRDefault="00C573F0">
      <w:pPr>
        <w:spacing w:after="120" w:line="264" w:lineRule="auto"/>
        <w:jc w:val="both"/>
      </w:pPr>
      <w:r>
        <w:t>The Lakehouse is schema-enabled, so bronze, silver, and gold are genuine schemas under Tables/ rather than folder naming conventions. Raw files land separately in the Files section, which keeps the replay source outside the Delta lifecycle entirely.</w:t>
      </w:r>
    </w:p>
    <w:p w:rsidR="00E56AC5" w:rsidRDefault="00C573F0">
      <w:pPr>
        <w:spacing w:before="140" w:after="40"/>
      </w:pPr>
      <w:r>
        <w:rPr>
          <w:b/>
          <w:bCs/>
          <w:color w:val="2E5FA3"/>
          <w:spacing w:val="20"/>
          <w:sz w:val="16"/>
          <w:szCs w:val="16"/>
        </w:rPr>
        <w:t>LAKEHO</w:t>
      </w:r>
      <w:r>
        <w:rPr>
          <w:b/>
          <w:bCs/>
          <w:color w:val="2E5FA3"/>
          <w:spacing w:val="20"/>
          <w:sz w:val="16"/>
          <w:szCs w:val="16"/>
        </w:rPr>
        <w:t>USE STRUCTURE</w:t>
      </w:r>
    </w:p>
    <w:p w:rsidR="00E56AC5" w:rsidRDefault="00C573F0">
      <w:pPr>
        <w:pBdr>
          <w:top w:val="single" w:sz="2" w:space="2" w:color="F2F4F7"/>
          <w:left w:val="single" w:sz="12" w:space="8" w:color="2E5FA3"/>
        </w:pBdr>
        <w:shd w:val="clear" w:color="auto" w:fill="F2F4F7"/>
        <w:spacing w:before="80" w:line="230" w:lineRule="auto"/>
        <w:ind w:left="170" w:right="120"/>
      </w:pPr>
      <w:r>
        <w:rPr>
          <w:rFonts w:ascii="Consolas" w:eastAsia="Consolas" w:hAnsi="Consolas" w:cs="Consolas"/>
          <w:color w:val="1B2733"/>
          <w:sz w:val="16"/>
          <w:szCs w:val="16"/>
        </w:rPr>
        <w:t>RetailLakehouse/</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Files/</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 landing/pos/YYYY/MM/DD/*.csv.gz      -- immutable raw extracts (90-day replay window)</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Tables/</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 bronze/  pos_transactions             -- append-only, as-received + lineage columns</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 silver/  pos_transactions             -- typed, deduplicated, validated, conformed</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 gold/    daily_store_product_sales     -- business aggregate for BI consumption</w:t>
      </w:r>
    </w:p>
    <w:p w:rsidR="00E56AC5" w:rsidRDefault="00C573F0">
      <w:pPr>
        <w:pBdr>
          <w:left w:val="single" w:sz="12" w:space="8" w:color="2E5FA3"/>
          <w:bottom w:val="single" w:sz="2" w:space="2" w:color="F2F4F7"/>
        </w:pBdr>
        <w:shd w:val="clear" w:color="auto" w:fill="F2F4F7"/>
        <w:spacing w:after="100" w:line="230" w:lineRule="auto"/>
        <w:ind w:left="170" w:right="120"/>
      </w:pPr>
      <w:r>
        <w:rPr>
          <w:rFonts w:ascii="Consolas" w:eastAsia="Consolas" w:hAnsi="Consolas" w:cs="Consolas"/>
          <w:color w:val="1B2733"/>
          <w:sz w:val="16"/>
          <w:szCs w:val="16"/>
        </w:rPr>
        <w:t xml:space="preserve">                dim_store, dim_product        -- conformed dimensions, shared w</w:t>
      </w:r>
      <w:r>
        <w:rPr>
          <w:rFonts w:ascii="Consolas" w:eastAsia="Consolas" w:hAnsi="Consolas" w:cs="Consolas"/>
          <w:color w:val="1B2733"/>
          <w:sz w:val="16"/>
          <w:szCs w:val="16"/>
        </w:rPr>
        <w:t>ith the Warehouse</w:t>
      </w:r>
    </w:p>
    <w:tbl>
      <w:tblPr>
        <w:tblW w:w="10080" w:type="dxa"/>
        <w:tblBorders>
          <w:top w:val="single" w:sz="4" w:space="0" w:color="C6CEDA"/>
          <w:left w:val="single" w:sz="4" w:space="0" w:color="C6CEDA"/>
          <w:bottom w:val="single" w:sz="4" w:space="0" w:color="C6CEDA"/>
          <w:right w:val="single" w:sz="4" w:space="0" w:color="C6CEDA"/>
          <w:insideH w:val="single" w:sz="2" w:space="0" w:color="D8DEE8"/>
          <w:insideV w:val="single" w:sz="2" w:space="0" w:color="D8DEE8"/>
        </w:tblBorders>
        <w:tblCellMar>
          <w:left w:w="10" w:type="dxa"/>
          <w:right w:w="10" w:type="dxa"/>
        </w:tblCellMar>
        <w:tblLook w:val="0000" w:firstRow="0" w:lastRow="0" w:firstColumn="0" w:lastColumn="0" w:noHBand="0" w:noVBand="0"/>
      </w:tblPr>
      <w:tblGrid>
        <w:gridCol w:w="1360"/>
        <w:gridCol w:w="2500"/>
        <w:gridCol w:w="3110"/>
        <w:gridCol w:w="3110"/>
      </w:tblGrid>
      <w:tr w:rsidR="00E56AC5">
        <w:tblPrEx>
          <w:tblCellMar>
            <w:top w:w="0" w:type="dxa"/>
            <w:bottom w:w="0" w:type="dxa"/>
          </w:tblCellMar>
        </w:tblPrEx>
        <w:trPr>
          <w:tblHeader/>
        </w:trPr>
        <w:tc>
          <w:tcPr>
            <w:tcW w:w="1360" w:type="dxa"/>
            <w:shd w:val="clear" w:color="auto" w:fill="1F3864"/>
            <w:tcMar>
              <w:top w:w="70" w:type="dxa"/>
              <w:left w:w="110" w:type="dxa"/>
              <w:bottom w:w="70" w:type="dxa"/>
              <w:right w:w="110" w:type="dxa"/>
            </w:tcMar>
          </w:tcPr>
          <w:p w:rsidR="00E56AC5" w:rsidRDefault="00C573F0">
            <w:r>
              <w:rPr>
                <w:b/>
                <w:bCs/>
                <w:color w:val="FFFFFF"/>
                <w:sz w:val="18"/>
                <w:szCs w:val="18"/>
              </w:rPr>
              <w:t>Layer</w:t>
            </w:r>
          </w:p>
        </w:tc>
        <w:tc>
          <w:tcPr>
            <w:tcW w:w="2500" w:type="dxa"/>
            <w:shd w:val="clear" w:color="auto" w:fill="1F3864"/>
            <w:tcMar>
              <w:top w:w="70" w:type="dxa"/>
              <w:left w:w="110" w:type="dxa"/>
              <w:bottom w:w="70" w:type="dxa"/>
              <w:right w:w="110" w:type="dxa"/>
            </w:tcMar>
          </w:tcPr>
          <w:p w:rsidR="00E56AC5" w:rsidRDefault="00C573F0">
            <w:r>
              <w:rPr>
                <w:b/>
                <w:bCs/>
                <w:color w:val="FFFFFF"/>
                <w:sz w:val="18"/>
                <w:szCs w:val="18"/>
              </w:rPr>
              <w:t>Purpose</w:t>
            </w:r>
          </w:p>
        </w:tc>
        <w:tc>
          <w:tcPr>
            <w:tcW w:w="3110" w:type="dxa"/>
            <w:shd w:val="clear" w:color="auto" w:fill="1F3864"/>
            <w:tcMar>
              <w:top w:w="70" w:type="dxa"/>
              <w:left w:w="110" w:type="dxa"/>
              <w:bottom w:w="70" w:type="dxa"/>
              <w:right w:w="110" w:type="dxa"/>
            </w:tcMar>
          </w:tcPr>
          <w:p w:rsidR="00E56AC5" w:rsidRDefault="00C573F0">
            <w:r>
              <w:rPr>
                <w:b/>
                <w:bCs/>
                <w:color w:val="FFFFFF"/>
                <w:sz w:val="18"/>
                <w:szCs w:val="18"/>
              </w:rPr>
              <w:t>Transformations applied</w:t>
            </w:r>
          </w:p>
        </w:tc>
        <w:tc>
          <w:tcPr>
            <w:tcW w:w="3110" w:type="dxa"/>
            <w:shd w:val="clear" w:color="auto" w:fill="1F3864"/>
            <w:tcMar>
              <w:top w:w="70" w:type="dxa"/>
              <w:left w:w="110" w:type="dxa"/>
              <w:bottom w:w="70" w:type="dxa"/>
              <w:right w:w="110" w:type="dxa"/>
            </w:tcMar>
          </w:tcPr>
          <w:p w:rsidR="00E56AC5" w:rsidRDefault="00C573F0">
            <w:r>
              <w:rPr>
                <w:b/>
                <w:bCs/>
                <w:color w:val="FFFFFF"/>
                <w:sz w:val="18"/>
                <w:szCs w:val="18"/>
              </w:rPr>
              <w:t>Write pattern</w:t>
            </w:r>
          </w:p>
        </w:tc>
      </w:tr>
      <w:tr w:rsidR="00E56AC5">
        <w:tblPrEx>
          <w:tblCellMar>
            <w:top w:w="0" w:type="dxa"/>
            <w:bottom w:w="0" w:type="dxa"/>
          </w:tblCellMar>
        </w:tblPrEx>
        <w:tc>
          <w:tcPr>
            <w:tcW w:w="1360" w:type="dxa"/>
            <w:shd w:val="clear" w:color="auto" w:fill="FFFFFF"/>
            <w:tcMar>
              <w:top w:w="70" w:type="dxa"/>
              <w:left w:w="110" w:type="dxa"/>
              <w:bottom w:w="70" w:type="dxa"/>
              <w:right w:w="110" w:type="dxa"/>
            </w:tcMar>
          </w:tcPr>
          <w:p w:rsidR="00E56AC5" w:rsidRDefault="00C573F0">
            <w:r>
              <w:rPr>
                <w:sz w:val="18"/>
                <w:szCs w:val="18"/>
              </w:rPr>
              <w:t>Bronze</w:t>
            </w:r>
          </w:p>
        </w:tc>
        <w:tc>
          <w:tcPr>
            <w:tcW w:w="2500" w:type="dxa"/>
            <w:shd w:val="clear" w:color="auto" w:fill="FFFFFF"/>
            <w:tcMar>
              <w:top w:w="70" w:type="dxa"/>
              <w:left w:w="110" w:type="dxa"/>
              <w:bottom w:w="70" w:type="dxa"/>
              <w:right w:w="110" w:type="dxa"/>
            </w:tcMar>
          </w:tcPr>
          <w:p w:rsidR="00E56AC5" w:rsidRDefault="00C573F0">
            <w:r>
              <w:rPr>
                <w:sz w:val="18"/>
                <w:szCs w:val="18"/>
              </w:rPr>
              <w:t>Immutable system of record; enables full replay without re-reading source</w:t>
            </w:r>
          </w:p>
        </w:tc>
        <w:tc>
          <w:tcPr>
            <w:tcW w:w="3110" w:type="dxa"/>
            <w:shd w:val="clear" w:color="auto" w:fill="FFFFFF"/>
            <w:tcMar>
              <w:top w:w="70" w:type="dxa"/>
              <w:left w:w="110" w:type="dxa"/>
              <w:bottom w:w="70" w:type="dxa"/>
              <w:right w:w="110" w:type="dxa"/>
            </w:tcMar>
          </w:tcPr>
          <w:p w:rsidR="00E56AC5" w:rsidRDefault="00C573F0">
            <w:r>
              <w:rPr>
                <w:sz w:val="18"/>
                <w:szCs w:val="18"/>
              </w:rPr>
              <w:t>None — all columns land as strings; lineage columns appended</w:t>
            </w:r>
          </w:p>
        </w:tc>
        <w:tc>
          <w:tcPr>
            <w:tcW w:w="3110" w:type="dxa"/>
            <w:shd w:val="clear" w:color="auto" w:fill="FFFFFF"/>
            <w:tcMar>
              <w:top w:w="70" w:type="dxa"/>
              <w:left w:w="110" w:type="dxa"/>
              <w:bottom w:w="70" w:type="dxa"/>
              <w:right w:w="110" w:type="dxa"/>
            </w:tcMar>
          </w:tcPr>
          <w:p w:rsidR="00E56AC5" w:rsidRDefault="00C573F0">
            <w:r>
              <w:rPr>
                <w:sz w:val="18"/>
                <w:szCs w:val="18"/>
              </w:rPr>
              <w:t>Append, partitioned by load_date</w:t>
            </w:r>
          </w:p>
        </w:tc>
      </w:tr>
      <w:tr w:rsidR="00E56AC5">
        <w:tblPrEx>
          <w:tblCellMar>
            <w:top w:w="0" w:type="dxa"/>
            <w:bottom w:w="0" w:type="dxa"/>
          </w:tblCellMar>
        </w:tblPrEx>
        <w:tc>
          <w:tcPr>
            <w:tcW w:w="1360" w:type="dxa"/>
            <w:shd w:val="clear" w:color="auto" w:fill="EEF2F8"/>
            <w:tcMar>
              <w:top w:w="70" w:type="dxa"/>
              <w:left w:w="110" w:type="dxa"/>
              <w:bottom w:w="70" w:type="dxa"/>
              <w:right w:w="110" w:type="dxa"/>
            </w:tcMar>
          </w:tcPr>
          <w:p w:rsidR="00E56AC5" w:rsidRDefault="00C573F0">
            <w:r>
              <w:rPr>
                <w:sz w:val="18"/>
                <w:szCs w:val="18"/>
              </w:rPr>
              <w:t>Silver</w:t>
            </w:r>
          </w:p>
        </w:tc>
        <w:tc>
          <w:tcPr>
            <w:tcW w:w="2500" w:type="dxa"/>
            <w:shd w:val="clear" w:color="auto" w:fill="EEF2F8"/>
            <w:tcMar>
              <w:top w:w="70" w:type="dxa"/>
              <w:left w:w="110" w:type="dxa"/>
              <w:bottom w:w="70" w:type="dxa"/>
              <w:right w:w="110" w:type="dxa"/>
            </w:tcMar>
          </w:tcPr>
          <w:p w:rsidR="00E56AC5" w:rsidRDefault="00C573F0">
            <w:r>
              <w:rPr>
                <w:sz w:val="18"/>
                <w:szCs w:val="18"/>
              </w:rPr>
              <w:t>Single trustworthy version of the transaction grain</w:t>
            </w:r>
          </w:p>
        </w:tc>
        <w:tc>
          <w:tcPr>
            <w:tcW w:w="3110" w:type="dxa"/>
            <w:shd w:val="clear" w:color="auto" w:fill="EEF2F8"/>
            <w:tcMar>
              <w:top w:w="70" w:type="dxa"/>
              <w:left w:w="110" w:type="dxa"/>
              <w:bottom w:w="70" w:type="dxa"/>
              <w:right w:w="110" w:type="dxa"/>
            </w:tcMar>
          </w:tcPr>
          <w:p w:rsidR="00E56AC5" w:rsidRDefault="00C573F0">
            <w:r>
              <w:rPr>
                <w:sz w:val="18"/>
                <w:szCs w:val="18"/>
              </w:rPr>
              <w:t>Type casting, derived measures, invalid-record filtering, deduplication</w:t>
            </w:r>
          </w:p>
        </w:tc>
        <w:tc>
          <w:tcPr>
            <w:tcW w:w="3110" w:type="dxa"/>
            <w:shd w:val="clear" w:color="auto" w:fill="EEF2F8"/>
            <w:tcMar>
              <w:top w:w="70" w:type="dxa"/>
              <w:left w:w="110" w:type="dxa"/>
              <w:bottom w:w="70" w:type="dxa"/>
              <w:right w:w="110" w:type="dxa"/>
            </w:tcMar>
          </w:tcPr>
          <w:p w:rsidR="00E56AC5" w:rsidRDefault="00C573F0">
            <w:r>
              <w:rPr>
                <w:sz w:val="18"/>
                <w:szCs w:val="18"/>
              </w:rPr>
              <w:t>replaceWhere on txn_date (idempotent)</w:t>
            </w:r>
          </w:p>
        </w:tc>
      </w:tr>
      <w:tr w:rsidR="00E56AC5">
        <w:tblPrEx>
          <w:tblCellMar>
            <w:top w:w="0" w:type="dxa"/>
            <w:bottom w:w="0" w:type="dxa"/>
          </w:tblCellMar>
        </w:tblPrEx>
        <w:tc>
          <w:tcPr>
            <w:tcW w:w="1360" w:type="dxa"/>
            <w:shd w:val="clear" w:color="auto" w:fill="FFFFFF"/>
            <w:tcMar>
              <w:top w:w="70" w:type="dxa"/>
              <w:left w:w="110" w:type="dxa"/>
              <w:bottom w:w="70" w:type="dxa"/>
              <w:right w:w="110" w:type="dxa"/>
            </w:tcMar>
          </w:tcPr>
          <w:p w:rsidR="00E56AC5" w:rsidRDefault="00C573F0">
            <w:r>
              <w:rPr>
                <w:sz w:val="18"/>
                <w:szCs w:val="18"/>
              </w:rPr>
              <w:t>Gold</w:t>
            </w:r>
          </w:p>
        </w:tc>
        <w:tc>
          <w:tcPr>
            <w:tcW w:w="2500" w:type="dxa"/>
            <w:shd w:val="clear" w:color="auto" w:fill="FFFFFF"/>
            <w:tcMar>
              <w:top w:w="70" w:type="dxa"/>
              <w:left w:w="110" w:type="dxa"/>
              <w:bottom w:w="70" w:type="dxa"/>
              <w:right w:w="110" w:type="dxa"/>
            </w:tcMar>
          </w:tcPr>
          <w:p w:rsidR="00E56AC5" w:rsidRDefault="00C573F0">
            <w:r>
              <w:rPr>
                <w:sz w:val="18"/>
                <w:szCs w:val="18"/>
              </w:rPr>
              <w:t>Query-ready aggregate serving dashboards and the Warehouse</w:t>
            </w:r>
          </w:p>
        </w:tc>
        <w:tc>
          <w:tcPr>
            <w:tcW w:w="3110" w:type="dxa"/>
            <w:shd w:val="clear" w:color="auto" w:fill="FFFFFF"/>
            <w:tcMar>
              <w:top w:w="70" w:type="dxa"/>
              <w:left w:w="110" w:type="dxa"/>
              <w:bottom w:w="70" w:type="dxa"/>
              <w:right w:w="110" w:type="dxa"/>
            </w:tcMar>
          </w:tcPr>
          <w:p w:rsidR="00E56AC5" w:rsidRDefault="00C573F0">
            <w:r>
              <w:rPr>
                <w:sz w:val="18"/>
                <w:szCs w:val="18"/>
              </w:rPr>
              <w:t>Aggregation to store / product / day</w:t>
            </w:r>
          </w:p>
        </w:tc>
        <w:tc>
          <w:tcPr>
            <w:tcW w:w="3110" w:type="dxa"/>
            <w:shd w:val="clear" w:color="auto" w:fill="FFFFFF"/>
            <w:tcMar>
              <w:top w:w="70" w:type="dxa"/>
              <w:left w:w="110" w:type="dxa"/>
              <w:bottom w:w="70" w:type="dxa"/>
              <w:right w:w="110" w:type="dxa"/>
            </w:tcMar>
          </w:tcPr>
          <w:p w:rsidR="00E56AC5" w:rsidRDefault="00C573F0">
            <w:r>
              <w:rPr>
                <w:sz w:val="18"/>
                <w:szCs w:val="18"/>
              </w:rPr>
              <w:t>Full recompute of affected dates</w:t>
            </w:r>
          </w:p>
        </w:tc>
      </w:tr>
    </w:tbl>
    <w:p w:rsidR="00E56AC5" w:rsidRDefault="00C573F0">
      <w:pPr>
        <w:spacing w:before="60" w:after="160"/>
      </w:pPr>
      <w:r>
        <w:rPr>
          <w:i/>
          <w:iCs/>
          <w:color w:val="6B7480"/>
          <w:sz w:val="17"/>
          <w:szCs w:val="17"/>
        </w:rPr>
        <w:t>Table 1 — Layer responsibilities. Each layer is rebuildable from the layer beneath it.</w:t>
      </w:r>
    </w:p>
    <w:p w:rsidR="00E56AC5" w:rsidRDefault="00C573F0">
      <w:pPr>
        <w:spacing w:before="140" w:after="40"/>
      </w:pPr>
      <w:r>
        <w:rPr>
          <w:b/>
          <w:bCs/>
          <w:color w:val="2E5FA3"/>
          <w:spacing w:val="20"/>
          <w:sz w:val="16"/>
          <w:szCs w:val="16"/>
        </w:rPr>
        <w:t>BRONZE → SILVER:  CLEANSING, TYPING, AND DEDUPLICATION (PYSPARK)</w:t>
      </w:r>
    </w:p>
    <w:p w:rsidR="00E56AC5" w:rsidRDefault="00C573F0">
      <w:pPr>
        <w:pBdr>
          <w:top w:val="single" w:sz="2" w:space="2" w:color="F2F4F7"/>
          <w:left w:val="single" w:sz="12" w:space="8" w:color="2E5FA3"/>
        </w:pBdr>
        <w:shd w:val="clear" w:color="auto" w:fill="F2F4F7"/>
        <w:spacing w:before="80" w:line="230" w:lineRule="auto"/>
        <w:ind w:left="170" w:right="120"/>
      </w:pPr>
      <w:r>
        <w:rPr>
          <w:rFonts w:ascii="Consolas" w:eastAsia="Consolas" w:hAnsi="Consolas" w:cs="Consolas"/>
          <w:color w:val="1B2733"/>
          <w:sz w:val="16"/>
          <w:szCs w:val="16"/>
        </w:rPr>
        <w:t>from pyspark.sql import functions as F</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lastRenderedPageBreak/>
        <w:t>from pyspark.sql.window import Window</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bronze = spark.read.table("bronze.pos_transactions").filter(F.col("load_date") == load_date)</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Store controllers retransmit a full day on network failure, so the same</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transaction line can arrive two or three times. Keep the newest version only.</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dedup = Window.partitionBy("transaction_id", "line_number") \</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.orderBy(F.col("source_modified_ts").desc(), F.col("_ingest_ts").desc())</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silver = (bronze</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.wit</w:t>
      </w:r>
      <w:r>
        <w:rPr>
          <w:rFonts w:ascii="Consolas" w:eastAsia="Consolas" w:hAnsi="Consolas" w:cs="Consolas"/>
          <w:color w:val="1B2733"/>
          <w:sz w:val="16"/>
          <w:szCs w:val="16"/>
        </w:rPr>
        <w:t>hColumn("txn_ts",     F.to_timestamp("txn_ts_raw", "yyyy-MM-dd HH:mm:ss"))</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.withColumn("store_id",   F.col("store_id").cast("int"))</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.withColumn("product_id", F.col("product_id").cast("int"))</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.withColumn("quantity",   F.col("quantity").cast("int</w:t>
      </w:r>
      <w:r>
        <w:rPr>
          <w:rFonts w:ascii="Consolas" w:eastAsia="Consolas" w:hAnsi="Consolas" w:cs="Consolas"/>
          <w:color w:val="1B2733"/>
          <w:sz w:val="16"/>
          <w:szCs w:val="16"/>
        </w:rPr>
        <w:t>"))</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.withColumn("unit_price", F.col("unit_price").cast("decimal(10,2)"))</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.withColumn("discount_amt", F.coalesce(F.col("discount_amt").cast("decimal(10,2)"), F.lit(0)))</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.withColumn("net_amount", (F.col("quantity") * F.col("unit_price") - F.col("</w:t>
      </w:r>
      <w:r>
        <w:rPr>
          <w:rFonts w:ascii="Consolas" w:eastAsia="Consolas" w:hAnsi="Consolas" w:cs="Consolas"/>
          <w:color w:val="1B2733"/>
          <w:sz w:val="16"/>
          <w:szCs w:val="16"/>
        </w:rPr>
        <w:t>discount_amt"))</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.cast("decimal(12,2)"))</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 --- validity filters: reject rather than silently corrupt the aggregate ---</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.filter(F.col("transaction_id").isNotNull() &amp; F.col("txn_ts").isNotNull())</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.filter((F.col("qua</w:t>
      </w:r>
      <w:r>
        <w:rPr>
          <w:rFonts w:ascii="Consolas" w:eastAsia="Consolas" w:hAnsi="Consolas" w:cs="Consolas"/>
          <w:color w:val="1B2733"/>
          <w:sz w:val="16"/>
          <w:szCs w:val="16"/>
        </w:rPr>
        <w:t>ntity") != 0) &amp; (F.col("unit_price") &gt;= 0))</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 --- deduplication ---</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.withColumn("_rn", F.row_number().over(dedup)).filter(F.col("_rn") == 1).drop("_rn")</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.withColumn("txn_date", F.to_date("txn_ts")))</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(silver.write.format("delta").mode("overwri</w:t>
      </w:r>
      <w:r>
        <w:rPr>
          <w:rFonts w:ascii="Consolas" w:eastAsia="Consolas" w:hAnsi="Consolas" w:cs="Consolas"/>
          <w:color w:val="1B2733"/>
          <w:sz w:val="16"/>
          <w:szCs w:val="16"/>
        </w:rPr>
        <w:t>te")</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.option("replaceWhere", f"txn_date = '{load_date}'")   # idempotent re-runs</w:t>
      </w:r>
    </w:p>
    <w:p w:rsidR="00E56AC5" w:rsidRDefault="00C573F0">
      <w:pPr>
        <w:pBdr>
          <w:left w:val="single" w:sz="12" w:space="8" w:color="2E5FA3"/>
          <w:bottom w:val="single" w:sz="2" w:space="2" w:color="F2F4F7"/>
        </w:pBdr>
        <w:shd w:val="clear" w:color="auto" w:fill="F2F4F7"/>
        <w:spacing w:after="100" w:line="230" w:lineRule="auto"/>
        <w:ind w:left="170" w:right="120"/>
      </w:pPr>
      <w:r>
        <w:rPr>
          <w:rFonts w:ascii="Consolas" w:eastAsia="Consolas" w:hAnsi="Consolas" w:cs="Consolas"/>
          <w:color w:val="1B2733"/>
          <w:sz w:val="16"/>
          <w:szCs w:val="16"/>
        </w:rPr>
        <w:t xml:space="preserve">       .saveAsTable("silver.pos_transactions"))</w:t>
      </w:r>
    </w:p>
    <w:p w:rsidR="00E56AC5" w:rsidRDefault="00C573F0">
      <w:pPr>
        <w:spacing w:after="120" w:line="264" w:lineRule="auto"/>
        <w:jc w:val="both"/>
      </w:pPr>
      <w:r>
        <w:t>Silver applies four things bronze deliberately does not: explicit type casting, derived measures, invalid-record filtering, and deduplication. The replaceWhere predicate means a reprocessed day replaces exactly that partition and nothing else, so the trans</w:t>
      </w:r>
      <w:r>
        <w:t>formation is safe to rerun after a failure without producing duplicates or gaps.</w:t>
      </w:r>
    </w:p>
    <w:p w:rsidR="00E56AC5" w:rsidRDefault="00C573F0">
      <w:pPr>
        <w:spacing w:before="140" w:after="40"/>
      </w:pPr>
      <w:r>
        <w:rPr>
          <w:b/>
          <w:bCs/>
          <w:color w:val="2E5FA3"/>
          <w:spacing w:val="20"/>
          <w:sz w:val="16"/>
          <w:szCs w:val="16"/>
        </w:rPr>
        <w:t>SILVER → GOLD:  AGGREGATION (SPARK SQL)</w:t>
      </w:r>
    </w:p>
    <w:p w:rsidR="00E56AC5" w:rsidRDefault="00C573F0">
      <w:pPr>
        <w:pBdr>
          <w:top w:val="single" w:sz="2" w:space="2" w:color="F2F4F7"/>
          <w:left w:val="single" w:sz="12" w:space="8" w:color="2E5FA3"/>
        </w:pBdr>
        <w:shd w:val="clear" w:color="auto" w:fill="F2F4F7"/>
        <w:spacing w:before="80" w:line="230" w:lineRule="auto"/>
        <w:ind w:left="170" w:right="120"/>
      </w:pPr>
      <w:r>
        <w:rPr>
          <w:rFonts w:ascii="Consolas" w:eastAsia="Consolas" w:hAnsi="Consolas" w:cs="Consolas"/>
          <w:color w:val="1B2733"/>
          <w:sz w:val="16"/>
          <w:szCs w:val="16"/>
        </w:rPr>
        <w:t>CREATE OR REPLACE TABLE gold.daily_store_product_sales</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USING DELTA AS</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SELECT  txn_date,</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store_id,</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product_id,</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COUNT(DISTINCT transaction_id) AS transaction_count,</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SUM(quantity)                  AS units_sold,</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SUM(net_amount)                AS net_sales,</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SUM(discount_amt)              AS total_discount,</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CURRENT_TIMESTAMP()   </w:t>
      </w:r>
      <w:r>
        <w:rPr>
          <w:rFonts w:ascii="Consolas" w:eastAsia="Consolas" w:hAnsi="Consolas" w:cs="Consolas"/>
          <w:color w:val="1B2733"/>
          <w:sz w:val="16"/>
          <w:szCs w:val="16"/>
        </w:rPr>
        <w:t xml:space="preserve">         AS load_timestamp   -- high-water mark for the Warehouse</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FROM    silver.pos_transactions</w:t>
      </w:r>
    </w:p>
    <w:p w:rsidR="00E56AC5" w:rsidRDefault="00C573F0">
      <w:pPr>
        <w:pBdr>
          <w:left w:val="single" w:sz="12" w:space="8" w:color="2E5FA3"/>
          <w:bottom w:val="single" w:sz="2" w:space="2" w:color="F2F4F7"/>
        </w:pBdr>
        <w:shd w:val="clear" w:color="auto" w:fill="F2F4F7"/>
        <w:spacing w:after="100" w:line="230" w:lineRule="auto"/>
        <w:ind w:left="170" w:right="120"/>
      </w:pPr>
      <w:r>
        <w:rPr>
          <w:rFonts w:ascii="Consolas" w:eastAsia="Consolas" w:hAnsi="Consolas" w:cs="Consolas"/>
          <w:color w:val="1B2733"/>
          <w:sz w:val="16"/>
          <w:szCs w:val="16"/>
        </w:rPr>
        <w:t>GROUP BY txn_date, store_id, product_id;</w:t>
      </w:r>
    </w:p>
    <w:p w:rsidR="00E56AC5" w:rsidRDefault="00C573F0">
      <w:pPr>
        <w:spacing w:after="120" w:line="264" w:lineRule="auto"/>
        <w:jc w:val="both"/>
      </w:pPr>
      <w:r>
        <w:t>Gold collapses roughly 4.2 million daily rows into approximately 180,000 store-product-day rows — a 23:1 reduction that is what makes the BI team's dashboards fast. Aggregating at store, product, and date preserves every slice the current report set requir</w:t>
      </w:r>
      <w:r>
        <w:t>es while discarding the transaction grain that no dashboard queries. The load_timestamp column exists solely to drive incremental loading into the Warehouse (Section 7).</w:t>
      </w:r>
    </w:p>
    <w:p w:rsidR="00E56AC5" w:rsidRDefault="00C573F0">
      <w:pPr>
        <w:pStyle w:val="Heading1"/>
        <w:pBdr>
          <w:bottom w:val="single" w:sz="8" w:space="6" w:color="2E5FA3"/>
        </w:pBdr>
        <w:spacing w:before="360" w:after="140"/>
      </w:pPr>
      <w:r>
        <w:rPr>
          <w:b/>
          <w:bCs/>
          <w:color w:val="1F3864"/>
          <w:sz w:val="28"/>
          <w:szCs w:val="28"/>
        </w:rPr>
        <w:t>3.  Ingestion Approach</w:t>
      </w:r>
    </w:p>
    <w:p w:rsidR="00E56AC5" w:rsidRDefault="00C573F0">
      <w:pPr>
        <w:spacing w:after="120" w:line="264" w:lineRule="auto"/>
        <w:jc w:val="both"/>
      </w:pPr>
      <w:r>
        <w:rPr>
          <w:b/>
          <w:bCs/>
          <w:color w:val="1F3864"/>
        </w:rPr>
        <w:t xml:space="preserve">Method chosen: </w:t>
      </w:r>
      <w:r>
        <w:t xml:space="preserve">a Fabric data pipeline that orchestrates a Copy </w:t>
      </w:r>
      <w:r>
        <w:t>activity to land files, followed by a notebook activity to write the bronze table. A Copy Job alone would be simpler to stand up, but it cannot attach the lineage columns the audit requirement depends on, and it cannot fail a batch on a schema violation. S</w:t>
      </w:r>
      <w:r>
        <w:t>plitting the two keeps file movement declarative and puts the transformation logic somewhere it can be unit-tested and source-controlled.</w:t>
      </w:r>
    </w:p>
    <w:p w:rsidR="00E56AC5" w:rsidRDefault="00C573F0">
      <w:pPr>
        <w:spacing w:before="140" w:after="40"/>
      </w:pPr>
      <w:r>
        <w:rPr>
          <w:b/>
          <w:bCs/>
          <w:color w:val="2E5FA3"/>
          <w:spacing w:val="20"/>
          <w:sz w:val="16"/>
          <w:szCs w:val="16"/>
        </w:rPr>
        <w:t>NOTEBOOK ACTIVITY — CSV FILES TO MANAGED BRONZE DELTA TABLE</w:t>
      </w:r>
    </w:p>
    <w:p w:rsidR="00E56AC5" w:rsidRDefault="00C573F0">
      <w:pPr>
        <w:pBdr>
          <w:top w:val="single" w:sz="2" w:space="2" w:color="F2F4F7"/>
          <w:left w:val="single" w:sz="12" w:space="8" w:color="2E5FA3"/>
        </w:pBdr>
        <w:shd w:val="clear" w:color="auto" w:fill="F2F4F7"/>
        <w:spacing w:before="80" w:line="230" w:lineRule="auto"/>
        <w:ind w:left="170" w:right="120"/>
      </w:pPr>
      <w:r>
        <w:rPr>
          <w:rFonts w:ascii="Consolas" w:eastAsia="Consolas" w:hAnsi="Consolas" w:cs="Consolas"/>
          <w:color w:val="1B2733"/>
          <w:sz w:val="16"/>
          <w:szCs w:val="16"/>
        </w:rPr>
        <w:t xml:space="preserve">pos_schema = StructType([                      # explicit </w:t>
      </w:r>
      <w:r>
        <w:rPr>
          <w:rFonts w:ascii="Consolas" w:eastAsia="Consolas" w:hAnsi="Consolas" w:cs="Consolas"/>
          <w:color w:val="1B2733"/>
          <w:sz w:val="16"/>
          <w:szCs w:val="16"/>
        </w:rPr>
        <w:t>schema — no inference drift</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StructField("transaction_id",  StringType(), True),</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StructField("line_number",     StringType(), True),</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StructField("store_id",        StringType(), True),</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StructField("product_id",      StringType(), True),</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lastRenderedPageBreak/>
        <w:t xml:space="preserve">    </w:t>
      </w:r>
      <w:r>
        <w:rPr>
          <w:rFonts w:ascii="Consolas" w:eastAsia="Consolas" w:hAnsi="Consolas" w:cs="Consolas"/>
          <w:color w:val="1B2733"/>
          <w:sz w:val="16"/>
          <w:szCs w:val="16"/>
        </w:rPr>
        <w:t>StructField("quantity",        StringType(), True),</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StructField("unit_price",      StringType(), True),</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StructField("discount_amt",    StringType(), True),</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StructField("txn_ts_raw",      StringType(), True),</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StructField("source_modified_ts", StringType(), True),</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raw = (spark.read.option("header", "true").option("mode", "PERMISSIVE")</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.option("columnNameOfCorruptRecord", "_corrupt_record")</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.schema(pos_schema)</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.csv(f"Files/landing/pos/{load_date.replace('-', '/')}/*.csv.gz"))</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(raw.withColumn("_ingest_ts",   F.current_timestamp())</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.withColumn("_source_file", F.input_file_name())    # lineage for the auditor</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.withColumn("_batch_id",    F.lit(</w:t>
      </w:r>
      <w:r>
        <w:rPr>
          <w:rFonts w:ascii="Consolas" w:eastAsia="Consolas" w:hAnsi="Consolas" w:cs="Consolas"/>
          <w:color w:val="1B2733"/>
          <w:sz w:val="16"/>
          <w:szCs w:val="16"/>
        </w:rPr>
        <w:t>batch_id))</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.withColumn("load_date",    F.lit(load_date))</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.write.format("delta").mode("append")</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.partitionBy("load_date")</w:t>
      </w:r>
    </w:p>
    <w:p w:rsidR="00E56AC5" w:rsidRDefault="00C573F0">
      <w:pPr>
        <w:pBdr>
          <w:left w:val="single" w:sz="12" w:space="8" w:color="2E5FA3"/>
          <w:bottom w:val="single" w:sz="2" w:space="2" w:color="F2F4F7"/>
        </w:pBdr>
        <w:shd w:val="clear" w:color="auto" w:fill="F2F4F7"/>
        <w:spacing w:after="100" w:line="230" w:lineRule="auto"/>
        <w:ind w:left="170" w:right="120"/>
      </w:pPr>
      <w:r>
        <w:rPr>
          <w:rFonts w:ascii="Consolas" w:eastAsia="Consolas" w:hAnsi="Consolas" w:cs="Consolas"/>
          <w:color w:val="1B2733"/>
          <w:sz w:val="16"/>
          <w:szCs w:val="16"/>
        </w:rPr>
        <w:t xml:space="preserve">    .saveAsTable("bronze.pos_transactions"))          # managed table</w:t>
      </w:r>
    </w:p>
    <w:p w:rsidR="00E56AC5" w:rsidRDefault="00C573F0">
      <w:pPr>
        <w:spacing w:after="120" w:line="264" w:lineRule="auto"/>
        <w:jc w:val="both"/>
      </w:pPr>
      <w:r>
        <w:rPr>
          <w:b/>
          <w:bCs/>
          <w:color w:val="1F3864"/>
        </w:rPr>
        <w:t xml:space="preserve">Managed or unmanaged: </w:t>
      </w:r>
      <w:r>
        <w:t xml:space="preserve">all three Medallion layers are </w:t>
      </w:r>
      <w:r>
        <w:t>managed tables. The Lakehouse owns the full lifecycle — dropping the table drops the data — which is exactly what we want for derived content that can be rebuilt from bronze in a single pipeline run. Nothing outside Fabric writes to these paths, so externa</w:t>
      </w:r>
      <w:r>
        <w:t>l table definitions would add operational overhead for no benefit. The one exception is the merchandising hierarchy, which the master-data team publishes to its own ADLS container; that is surfaced through a shortcut and read as an unmanaged table so we ne</w:t>
      </w:r>
      <w:r>
        <w:t>ver hold a second, divergent copy of data we do not own. Raw CSVs remain in Files/landing/ for 90 days as the replay source, then age out to cool storage.</w:t>
      </w:r>
    </w:p>
    <w:p w:rsidR="00E56AC5" w:rsidRDefault="00C573F0">
      <w:pPr>
        <w:pStyle w:val="Heading1"/>
        <w:pBdr>
          <w:bottom w:val="single" w:sz="8" w:space="6" w:color="2E5FA3"/>
        </w:pBdr>
        <w:spacing w:before="360" w:after="140"/>
      </w:pPr>
      <w:r>
        <w:rPr>
          <w:b/>
          <w:bCs/>
          <w:color w:val="1F3864"/>
          <w:sz w:val="28"/>
          <w:szCs w:val="28"/>
        </w:rPr>
        <w:t>4.  Data Access Patterns</w:t>
      </w:r>
    </w:p>
    <w:p w:rsidR="00E56AC5" w:rsidRDefault="00C573F0">
      <w:pPr>
        <w:spacing w:before="140" w:after="40"/>
      </w:pPr>
      <w:r>
        <w:rPr>
          <w:b/>
          <w:bCs/>
          <w:color w:val="2E5FA3"/>
          <w:spacing w:val="20"/>
          <w:sz w:val="16"/>
          <w:szCs w:val="16"/>
        </w:rPr>
        <w:t>SQL ANALYTICS ENDPOINT — ROLLING 28-DAY STORE PERFORMANCE (T-SQL)</w:t>
      </w:r>
    </w:p>
    <w:p w:rsidR="00E56AC5" w:rsidRDefault="00C573F0">
      <w:pPr>
        <w:pBdr>
          <w:top w:val="single" w:sz="2" w:space="2" w:color="F2F4F7"/>
          <w:left w:val="single" w:sz="12" w:space="8" w:color="2E5FA3"/>
        </w:pBdr>
        <w:shd w:val="clear" w:color="auto" w:fill="F2F4F7"/>
        <w:spacing w:before="80" w:line="230" w:lineRule="auto"/>
        <w:ind w:left="170" w:right="120"/>
      </w:pPr>
      <w:r>
        <w:rPr>
          <w:rFonts w:ascii="Consolas" w:eastAsia="Consolas" w:hAnsi="Consolas" w:cs="Consolas"/>
          <w:color w:val="1B2733"/>
          <w:sz w:val="16"/>
          <w:szCs w:val="16"/>
        </w:rPr>
        <w:t>SELECT  s.store_name,</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s.region,</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g.txn_date,</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SUM(g.net_sales)  AS net_sales,</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SUM(g.units_sold) AS units_sold</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FROM    gold.daily_store_product_sales AS g</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JOIN    gold.dim_store                 AS s  ON s.store_id = g.store_id</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WHERE   g.txn_date &gt;= DATEADD(day, -28, CAST(GETDATE() AS date))</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GROUP BY s.store_name, s.region, g.txn_date</w:t>
      </w:r>
    </w:p>
    <w:p w:rsidR="00E56AC5" w:rsidRDefault="00C573F0">
      <w:pPr>
        <w:pBdr>
          <w:left w:val="single" w:sz="12" w:space="8" w:color="2E5FA3"/>
          <w:bottom w:val="single" w:sz="2" w:space="2" w:color="F2F4F7"/>
        </w:pBdr>
        <w:shd w:val="clear" w:color="auto" w:fill="F2F4F7"/>
        <w:spacing w:after="100" w:line="230" w:lineRule="auto"/>
        <w:ind w:left="170" w:right="120"/>
      </w:pPr>
      <w:r>
        <w:rPr>
          <w:rFonts w:ascii="Consolas" w:eastAsia="Consolas" w:hAnsi="Consolas" w:cs="Consolas"/>
          <w:color w:val="1B2733"/>
          <w:sz w:val="16"/>
          <w:szCs w:val="16"/>
        </w:rPr>
        <w:t>ORDER BY g.txn_date DESC, net_sales DESC;</w:t>
      </w:r>
    </w:p>
    <w:p w:rsidR="00E56AC5" w:rsidRDefault="00C573F0">
      <w:pPr>
        <w:spacing w:before="140" w:after="40"/>
      </w:pPr>
      <w:r>
        <w:rPr>
          <w:b/>
          <w:bCs/>
          <w:color w:val="2E5FA3"/>
          <w:spacing w:val="20"/>
          <w:sz w:val="16"/>
          <w:szCs w:val="16"/>
        </w:rPr>
        <w:t>NOTEBOOK — MARKET-BASKET AFFINITY, WHICH HAS NO T-SQL EQUIVALENT (PYSPARK)</w:t>
      </w:r>
    </w:p>
    <w:p w:rsidR="00E56AC5" w:rsidRDefault="00C573F0">
      <w:pPr>
        <w:pBdr>
          <w:top w:val="single" w:sz="2" w:space="2" w:color="F2F4F7"/>
          <w:left w:val="single" w:sz="12" w:space="8" w:color="2E5FA3"/>
        </w:pBdr>
        <w:shd w:val="clear" w:color="auto" w:fill="F2F4F7"/>
        <w:spacing w:before="80" w:line="230" w:lineRule="auto"/>
        <w:ind w:left="170" w:right="120"/>
      </w:pPr>
      <w:r>
        <w:rPr>
          <w:rFonts w:ascii="Consolas" w:eastAsia="Consolas" w:hAnsi="Consolas" w:cs="Consolas"/>
          <w:color w:val="1B2733"/>
          <w:sz w:val="16"/>
          <w:szCs w:val="16"/>
        </w:rPr>
        <w:t>from pyspark.ml.fpm import FPG</w:t>
      </w:r>
      <w:r>
        <w:rPr>
          <w:rFonts w:ascii="Consolas" w:eastAsia="Consolas" w:hAnsi="Consolas" w:cs="Consolas"/>
          <w:color w:val="1B2733"/>
          <w:sz w:val="16"/>
          <w:szCs w:val="16"/>
        </w:rPr>
        <w:t>rowth</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baskets = (spark.read.table("silver.pos_transactions")</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.filter(F.col("txn_date").between("2026-07-01", "2026-07-31"))</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.groupBy("transaction_id")</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.agg(F.collect_set("product_id").alias("items")))</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model = FPGrowth(itemsCol="items", minSupport=0.002, minConfidence=0.30).fit(baskets)</w:t>
      </w:r>
    </w:p>
    <w:p w:rsidR="00E56AC5" w:rsidRDefault="00C573F0">
      <w:pPr>
        <w:pBdr>
          <w:left w:val="single" w:sz="12" w:space="8" w:color="2E5FA3"/>
          <w:bottom w:val="single" w:sz="2" w:space="2" w:color="F2F4F7"/>
        </w:pBdr>
        <w:shd w:val="clear" w:color="auto" w:fill="F2F4F7"/>
        <w:spacing w:after="100" w:line="230" w:lineRule="auto"/>
        <w:ind w:left="170" w:right="120"/>
      </w:pPr>
      <w:r>
        <w:rPr>
          <w:rFonts w:ascii="Consolas" w:eastAsia="Consolas" w:hAnsi="Consolas" w:cs="Consolas"/>
          <w:color w:val="1B2733"/>
          <w:sz w:val="16"/>
          <w:szCs w:val="16"/>
        </w:rPr>
        <w:t>model.associationRules.orderBy(F.col("lift").desc()).show(20, truncate=False)</w:t>
      </w:r>
    </w:p>
    <w:p w:rsidR="00E56AC5" w:rsidRDefault="00C573F0">
      <w:pPr>
        <w:spacing w:after="120" w:line="264" w:lineRule="auto"/>
        <w:jc w:val="both"/>
      </w:pPr>
      <w:r>
        <w:rPr>
          <w:b/>
          <w:bCs/>
          <w:color w:val="1F3864"/>
        </w:rPr>
        <w:t xml:space="preserve">When to use the SQL analytics endpoint: </w:t>
      </w:r>
      <w:r>
        <w:t>whenever the question is expressible in T-SQL over a</w:t>
      </w:r>
      <w:r>
        <w:t xml:space="preserve">lready-modelled data — dashboard queries, Direct Lake semantic models, ad-hoc analyst investigation, and any client that speaks TDS. It requires no Spark session, so a query returns in seconds rather than waiting on cluster startup, and it is read-only by </w:t>
      </w:r>
      <w:r>
        <w:t>design, meaning an analyst cannot accidentally rewrite a gold table.</w:t>
      </w:r>
    </w:p>
    <w:p w:rsidR="00E56AC5" w:rsidRDefault="00C573F0">
      <w:pPr>
        <w:spacing w:after="120" w:line="264" w:lineRule="auto"/>
        <w:jc w:val="both"/>
      </w:pPr>
      <w:r>
        <w:rPr>
          <w:b/>
          <w:bCs/>
          <w:color w:val="1F3864"/>
        </w:rPr>
        <w:t xml:space="preserve">When to use a notebook: </w:t>
      </w:r>
      <w:r>
        <w:t>everywhere the endpoint cannot go — anything that writes, anything requiring Python or Scala libraries, machine learning, and table maintenance. OPTIMIZE and VACUU</w:t>
      </w:r>
      <w:r>
        <w:t>M are Spark-only commands and cannot be issued from the endpoint at all. The market-basket query above is a clear case: FP-Growth has no T-SQL equivalent, and it runs against silver at transaction grain, which the endpoint would serve expensively.</w:t>
      </w:r>
    </w:p>
    <w:p w:rsidR="00E56AC5" w:rsidRDefault="00C573F0">
      <w:pPr>
        <w:spacing w:after="120" w:line="264" w:lineRule="auto"/>
        <w:jc w:val="both"/>
      </w:pPr>
      <w:r>
        <w:lastRenderedPageBreak/>
        <w:t>The work</w:t>
      </w:r>
      <w:r>
        <w:t>ing rule for the team: if a business user will run it, it belongs on the endpoint; if an engineer or data scientist will run it, it belongs in a notebook.</w:t>
      </w:r>
    </w:p>
    <w:p w:rsidR="00E56AC5" w:rsidRDefault="00C573F0">
      <w:pPr>
        <w:pStyle w:val="Heading1"/>
        <w:pBdr>
          <w:bottom w:val="single" w:sz="8" w:space="6" w:color="2E5FA3"/>
        </w:pBdr>
        <w:spacing w:before="360" w:after="140"/>
      </w:pPr>
      <w:r>
        <w:rPr>
          <w:b/>
          <w:bCs/>
          <w:color w:val="1F3864"/>
          <w:sz w:val="28"/>
          <w:szCs w:val="28"/>
        </w:rPr>
        <w:t>5.  Delta Consistency</w:t>
      </w:r>
    </w:p>
    <w:p w:rsidR="00E56AC5" w:rsidRDefault="00C573F0">
      <w:pPr>
        <w:spacing w:before="140" w:after="40"/>
      </w:pPr>
      <w:r>
        <w:rPr>
          <w:b/>
          <w:bCs/>
          <w:color w:val="2E5FA3"/>
          <w:spacing w:val="20"/>
          <w:sz w:val="16"/>
          <w:szCs w:val="16"/>
        </w:rPr>
        <w:t>MERGE — UPSERTING LATE-ARRIVING CORRECTIONS INTO SILVER</w:t>
      </w:r>
    </w:p>
    <w:p w:rsidR="00E56AC5" w:rsidRDefault="00C573F0">
      <w:pPr>
        <w:pBdr>
          <w:top w:val="single" w:sz="2" w:space="2" w:color="F2F4F7"/>
          <w:left w:val="single" w:sz="12" w:space="8" w:color="2E5FA3"/>
        </w:pBdr>
        <w:shd w:val="clear" w:color="auto" w:fill="F2F4F7"/>
        <w:spacing w:before="80" w:line="230" w:lineRule="auto"/>
        <w:ind w:left="170" w:right="120"/>
      </w:pPr>
      <w:r>
        <w:rPr>
          <w:rFonts w:ascii="Consolas" w:eastAsia="Consolas" w:hAnsi="Consolas" w:cs="Consolas"/>
          <w:color w:val="1B2733"/>
          <w:sz w:val="16"/>
          <w:szCs w:val="16"/>
        </w:rPr>
        <w:t>MERGE INTO silver.pos_t</w:t>
      </w:r>
      <w:r>
        <w:rPr>
          <w:rFonts w:ascii="Consolas" w:eastAsia="Consolas" w:hAnsi="Consolas" w:cs="Consolas"/>
          <w:color w:val="1B2733"/>
          <w:sz w:val="16"/>
          <w:szCs w:val="16"/>
        </w:rPr>
        <w:t>ransactions AS tgt</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USING      staging.pos_corrections  AS src</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ON  tgt.transaction_id = src.transaction_id</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AND tgt.line_number    = src.line_number</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AND tgt.txn_date       = src.txn_date        -- partition predicate prunes the scan</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WHEN MATCHED AND src.source_modified_ts &gt; tgt.source_modified_ts THEN</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UPDATE SET tgt.quantity     = src.quantity,</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tgt.unit_price   = src.unit_price,</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tgt.discount_amt = src.discount_amt,</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tgt.net_amount   = src.net_am</w:t>
      </w:r>
      <w:r>
        <w:rPr>
          <w:rFonts w:ascii="Consolas" w:eastAsia="Consolas" w:hAnsi="Consolas" w:cs="Consolas"/>
          <w:color w:val="1B2733"/>
          <w:sz w:val="16"/>
          <w:szCs w:val="16"/>
        </w:rPr>
        <w:t>ount,</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tgt.source_modified_ts = src.source_modified_ts,</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tgt._updated_ts  = current_timestamp()</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w:t>
      </w:r>
    </w:p>
    <w:p w:rsidR="00E56AC5" w:rsidRDefault="00C573F0">
      <w:pPr>
        <w:pBdr>
          <w:left w:val="single" w:sz="12" w:space="8" w:color="2E5FA3"/>
          <w:bottom w:val="single" w:sz="2" w:space="2" w:color="F2F4F7"/>
        </w:pBdr>
        <w:shd w:val="clear" w:color="auto" w:fill="F2F4F7"/>
        <w:spacing w:after="100" w:line="230" w:lineRule="auto"/>
        <w:ind w:left="170" w:right="120"/>
      </w:pPr>
      <w:r>
        <w:rPr>
          <w:rFonts w:ascii="Consolas" w:eastAsia="Consolas" w:hAnsi="Consolas" w:cs="Consolas"/>
          <w:color w:val="1B2733"/>
          <w:sz w:val="16"/>
          <w:szCs w:val="16"/>
        </w:rPr>
        <w:t>WHEN NOT MATCHED THEN INSERT *;</w:t>
      </w:r>
    </w:p>
    <w:p w:rsidR="00E56AC5" w:rsidRDefault="00C573F0">
      <w:pPr>
        <w:spacing w:before="140" w:after="40"/>
      </w:pPr>
      <w:r>
        <w:rPr>
          <w:b/>
          <w:bCs/>
          <w:color w:val="2E5FA3"/>
          <w:spacing w:val="20"/>
          <w:sz w:val="16"/>
          <w:szCs w:val="16"/>
        </w:rPr>
        <w:t>TIME TRAVEL — REPRODUCING A FIGURE AS IT STOOD AT PERIOD CLOSE</w:t>
      </w:r>
    </w:p>
    <w:p w:rsidR="00E56AC5" w:rsidRDefault="00C573F0">
      <w:pPr>
        <w:pBdr>
          <w:top w:val="single" w:sz="2" w:space="2" w:color="F2F4F7"/>
          <w:left w:val="single" w:sz="12" w:space="8" w:color="2E5FA3"/>
        </w:pBdr>
        <w:shd w:val="clear" w:color="auto" w:fill="F2F4F7"/>
        <w:spacing w:before="80" w:line="230" w:lineRule="auto"/>
        <w:ind w:left="170" w:right="120"/>
      </w:pPr>
      <w:r>
        <w:rPr>
          <w:rFonts w:ascii="Consolas" w:eastAsia="Consolas" w:hAnsi="Consolas" w:cs="Consolas"/>
          <w:color w:val="1B2733"/>
          <w:sz w:val="16"/>
          <w:szCs w:val="16"/>
        </w:rPr>
        <w:t>-- What changed, when, by whom, and how many rows</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DESCRIBE HISTORY silver.pos_transactions;</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Net sales by store exactly as reported at June close (version 412)</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SELECT store_id, SUM(net_amount) AS net_sales</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FROM   silver.pos_transactions VERSION AS OF 412</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WHERE  txn_date = '2026-06-30'</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GROUP  BY store_id;</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Same query addressed by wall-clock time instead of version</w:t>
      </w:r>
    </w:p>
    <w:p w:rsidR="00E56AC5" w:rsidRDefault="00C573F0">
      <w:pPr>
        <w:pBdr>
          <w:left w:val="single" w:sz="12" w:space="8" w:color="2E5FA3"/>
          <w:bottom w:val="single" w:sz="2" w:space="2" w:color="F2F4F7"/>
        </w:pBdr>
        <w:shd w:val="clear" w:color="auto" w:fill="F2F4F7"/>
        <w:spacing w:after="100" w:line="230" w:lineRule="auto"/>
        <w:ind w:left="170" w:right="120"/>
      </w:pPr>
      <w:r>
        <w:rPr>
          <w:rFonts w:ascii="Consolas" w:eastAsia="Consolas" w:hAnsi="Consolas" w:cs="Consolas"/>
          <w:color w:val="1B2733"/>
          <w:sz w:val="16"/>
          <w:szCs w:val="16"/>
        </w:rPr>
        <w:t>SELECT COUNT(*) FROM silver.pos_transactions TIMESTAMP AS OF '2026-07-01T00:00:00';</w:t>
      </w:r>
    </w:p>
    <w:p w:rsidR="00E56AC5" w:rsidRDefault="00C573F0">
      <w:pPr>
        <w:spacing w:after="120" w:line="264" w:lineRule="auto"/>
        <w:jc w:val="both"/>
      </w:pPr>
      <w:r>
        <w:t>Correcti</w:t>
      </w:r>
      <w:r>
        <w:t>ons are a daily reality in retail: returns posted against the wrong store, price overrides keyed after close, and voided transactions reported late. MERGE handles all three in one atomic pass — matched rows update, unmatched rows insert — while the source_</w:t>
      </w:r>
      <w:r>
        <w:t>modified_ts guard prevents an out-of-order file from overwriting newer data with older. Including txn_date in the join condition lets Delta prune to the affected partitions instead of rewriting the table.</w:t>
      </w:r>
    </w:p>
    <w:p w:rsidR="00E56AC5" w:rsidRDefault="00C573F0">
      <w:pPr>
        <w:spacing w:after="120" w:line="264" w:lineRule="auto"/>
        <w:jc w:val="both"/>
      </w:pPr>
      <w:r>
        <w:t>Every MERGE, append, and OPTIMIZE creates a new tab</w:t>
      </w:r>
      <w:r>
        <w:t>le version with a complete commit record. For the audit function this changes the conversation from “we believe the number was X” to a query that returns the number as it actually stood, with DESCRIBE HISTORY supplying the operation, the user, the timestam</w:t>
      </w:r>
      <w:r>
        <w:t>p, and the affected row counts.</w:t>
      </w:r>
    </w:p>
    <w:p w:rsidR="00E56AC5" w:rsidRDefault="00C573F0">
      <w:pPr>
        <w:spacing w:after="120" w:line="264" w:lineRule="auto"/>
        <w:jc w:val="both"/>
      </w:pPr>
      <w:r>
        <w:rPr>
          <w:b/>
          <w:bCs/>
          <w:color w:val="1F3864"/>
        </w:rPr>
        <w:t xml:space="preserve">Caveat for the board: </w:t>
      </w:r>
      <w:r>
        <w:t>time travel reaches back only as far as VACUUM retention allows — seven days on our schedule. That covers reconciliation and incident investigation, not the seven-year statutory window. Long-horizon aud</w:t>
      </w:r>
      <w:r>
        <w:t>itability instead rests on bronze, whose daily partitions are never modified after write, plus a month-end gold snapshot written to a separate append-only table.</w:t>
      </w:r>
    </w:p>
    <w:p w:rsidR="00E56AC5" w:rsidRDefault="00C573F0">
      <w:pPr>
        <w:pStyle w:val="Heading1"/>
        <w:pBdr>
          <w:bottom w:val="single" w:sz="8" w:space="6" w:color="2E5FA3"/>
        </w:pBdr>
        <w:spacing w:before="360" w:after="140"/>
      </w:pPr>
      <w:r>
        <w:rPr>
          <w:b/>
          <w:bCs/>
          <w:color w:val="1F3864"/>
          <w:sz w:val="28"/>
          <w:szCs w:val="28"/>
        </w:rPr>
        <w:t>6.  Optimization Strategy</w:t>
      </w:r>
    </w:p>
    <w:p w:rsidR="00E56AC5" w:rsidRDefault="00C573F0">
      <w:pPr>
        <w:spacing w:before="140" w:after="40"/>
      </w:pPr>
      <w:r>
        <w:rPr>
          <w:b/>
          <w:bCs/>
          <w:color w:val="2E5FA3"/>
          <w:spacing w:val="20"/>
          <w:sz w:val="16"/>
          <w:szCs w:val="16"/>
        </w:rPr>
        <w:t>WEEKLY MAINTENANCE NOTEBOOK</w:t>
      </w:r>
    </w:p>
    <w:p w:rsidR="00E56AC5" w:rsidRDefault="00C573F0">
      <w:pPr>
        <w:pBdr>
          <w:top w:val="single" w:sz="2" w:space="2" w:color="F2F4F7"/>
          <w:left w:val="single" w:sz="12" w:space="8" w:color="2E5FA3"/>
        </w:pBdr>
        <w:shd w:val="clear" w:color="auto" w:fill="F2F4F7"/>
        <w:spacing w:before="80" w:line="230" w:lineRule="auto"/>
        <w:ind w:left="170" w:right="120"/>
      </w:pPr>
      <w:r>
        <w:rPr>
          <w:rFonts w:ascii="Consolas" w:eastAsia="Consolas" w:hAnsi="Consolas" w:cs="Consolas"/>
          <w:color w:val="1B2733"/>
          <w:sz w:val="16"/>
          <w:szCs w:val="16"/>
        </w:rPr>
        <w:t># 1. V-Order on gold only — written once, read constantly</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spark.sql("""ALTER TABLE gold.daily_store_product_sales</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SET TBLPROPERTIES ('delta.parquet.vorder.enabled' = 'true')""")</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2. Compact small files and collocate on the two hottest filte</w:t>
      </w:r>
      <w:r>
        <w:rPr>
          <w:rFonts w:ascii="Consolas" w:eastAsia="Consolas" w:hAnsi="Consolas" w:cs="Consolas"/>
          <w:color w:val="1B2733"/>
          <w:sz w:val="16"/>
          <w:szCs w:val="16"/>
        </w:rPr>
        <w:t>r columns</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spark.sql("OPTIMIZE gold.daily_store_product_sales ZORDER BY (store_id, product_id)")</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spark.sql("OPTIMIZE silver.pos_transactions        ZORDER BY (store_id, txn_date)")</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lastRenderedPageBreak/>
        <w:t># 3. Reclaim storage from superseded files (168 hours = 7 days)</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spark.sql("VACUUM gold.daily_store_product_sales RETAIN 168 HOURS")</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spark.sql("VACUUM silver.pos_transactions        RETAIN 168 HOURS")</w:t>
      </w:r>
    </w:p>
    <w:p w:rsidR="00E56AC5" w:rsidRDefault="00C573F0">
      <w:pPr>
        <w:pBdr>
          <w:left w:val="single" w:sz="12" w:space="8" w:color="2E5FA3"/>
          <w:bottom w:val="single" w:sz="2" w:space="2" w:color="F2F4F7"/>
        </w:pBdr>
        <w:shd w:val="clear" w:color="auto" w:fill="F2F4F7"/>
        <w:spacing w:after="100" w:line="230" w:lineRule="auto"/>
        <w:ind w:left="170" w:right="120"/>
      </w:pPr>
      <w:r>
        <w:rPr>
          <w:rFonts w:ascii="Consolas" w:eastAsia="Consolas" w:hAnsi="Consolas" w:cs="Consolas"/>
          <w:color w:val="1B2733"/>
          <w:sz w:val="16"/>
          <w:szCs w:val="16"/>
        </w:rPr>
        <w:t>spark.sql("VACUUM bronze.pos_transactions        RETAIN 168 HOURS")</w:t>
      </w:r>
    </w:p>
    <w:p w:rsidR="00E56AC5" w:rsidRDefault="00C573F0">
      <w:pPr>
        <w:spacing w:after="120" w:line="264" w:lineRule="auto"/>
        <w:jc w:val="both"/>
      </w:pPr>
      <w:r>
        <w:t>gold.daily_store_product_sales is the most-queried t</w:t>
      </w:r>
      <w:r>
        <w:t>able in the Lakehouse, and almost every query filters on store_id, product_id, or both — regional managers look at their stores, category managers look at their products. Z-Ordering on those two columns collocates matching rows into the same files so the e</w:t>
      </w:r>
      <w:r>
        <w:t xml:space="preserve">ngine can skip the remainder. V-Order is enabled on gold only: it costs roughly 15–33% on write and returns about 10% on endpoint reads and 40–60% on Direct Lake cold-cache queries, which is worth paying where data is written once and read constantly, and </w:t>
      </w:r>
      <w:r>
        <w:t>not worth paying on bronze, which is write-heavy and consumed by Spark.</w:t>
      </w:r>
    </w:p>
    <w:p w:rsidR="00E56AC5" w:rsidRDefault="00C573F0">
      <w:pPr>
        <w:spacing w:after="120" w:line="264" w:lineRule="auto"/>
        <w:jc w:val="both"/>
      </w:pPr>
      <w:r>
        <w:rPr>
          <w:b/>
          <w:bCs/>
          <w:color w:val="1F3864"/>
        </w:rPr>
        <w:t xml:space="preserve">VACUUM schedule and retention: </w:t>
      </w:r>
      <w:r>
        <w:t>weekly, Sunday 04:00, with 168-hour (7-day) retention. Seven days is the Delta default and the shortest window that remains safe for concurrent readers a</w:t>
      </w:r>
      <w:r>
        <w:t>nd long-running writers; going below it would require disabling Delta's retention safety check, which we do not do. It bounds the storage cost of superseded files, which on tables rewritten daily is otherwise the largest single line in the storage bill. We</w:t>
      </w:r>
      <w:r>
        <w:t xml:space="preserve"> accept the resulting seven-day limit on time travel because the audit strategy in Section 5 does not depend on it.</w:t>
      </w:r>
    </w:p>
    <w:tbl>
      <w:tblPr>
        <w:tblW w:w="10080" w:type="dxa"/>
        <w:tblBorders>
          <w:top w:val="single" w:sz="4" w:space="0" w:color="C6CEDA"/>
          <w:left w:val="single" w:sz="4" w:space="0" w:color="C6CEDA"/>
          <w:bottom w:val="single" w:sz="4" w:space="0" w:color="C6CEDA"/>
          <w:right w:val="single" w:sz="4" w:space="0" w:color="C6CEDA"/>
          <w:insideH w:val="single" w:sz="2" w:space="0" w:color="D8DEE8"/>
          <w:insideV w:val="single" w:sz="2" w:space="0" w:color="D8DEE8"/>
        </w:tblBorders>
        <w:tblCellMar>
          <w:left w:w="10" w:type="dxa"/>
          <w:right w:w="10" w:type="dxa"/>
        </w:tblCellMar>
        <w:tblLook w:val="0000" w:firstRow="0" w:lastRow="0" w:firstColumn="0" w:lastColumn="0" w:noHBand="0" w:noVBand="0"/>
      </w:tblPr>
      <w:tblGrid>
        <w:gridCol w:w="3560"/>
        <w:gridCol w:w="2200"/>
        <w:gridCol w:w="2200"/>
        <w:gridCol w:w="2120"/>
      </w:tblGrid>
      <w:tr w:rsidR="00E56AC5">
        <w:tblPrEx>
          <w:tblCellMar>
            <w:top w:w="0" w:type="dxa"/>
            <w:bottom w:w="0" w:type="dxa"/>
          </w:tblCellMar>
        </w:tblPrEx>
        <w:trPr>
          <w:tblHeader/>
        </w:trPr>
        <w:tc>
          <w:tcPr>
            <w:tcW w:w="3560" w:type="dxa"/>
            <w:shd w:val="clear" w:color="auto" w:fill="1F3864"/>
            <w:tcMar>
              <w:top w:w="70" w:type="dxa"/>
              <w:left w:w="110" w:type="dxa"/>
              <w:bottom w:w="70" w:type="dxa"/>
              <w:right w:w="110" w:type="dxa"/>
            </w:tcMar>
          </w:tcPr>
          <w:p w:rsidR="00E56AC5" w:rsidRDefault="00C573F0">
            <w:r>
              <w:rPr>
                <w:b/>
                <w:bCs/>
                <w:color w:val="FFFFFF"/>
                <w:sz w:val="18"/>
                <w:szCs w:val="18"/>
              </w:rPr>
              <w:t>Metric (gold.daily_store_product_sales)</w:t>
            </w:r>
          </w:p>
        </w:tc>
        <w:tc>
          <w:tcPr>
            <w:tcW w:w="2200" w:type="dxa"/>
            <w:shd w:val="clear" w:color="auto" w:fill="1F3864"/>
            <w:tcMar>
              <w:top w:w="70" w:type="dxa"/>
              <w:left w:w="110" w:type="dxa"/>
              <w:bottom w:w="70" w:type="dxa"/>
              <w:right w:w="110" w:type="dxa"/>
            </w:tcMar>
          </w:tcPr>
          <w:p w:rsidR="00E56AC5" w:rsidRDefault="00C573F0">
            <w:pPr>
              <w:jc w:val="right"/>
            </w:pPr>
            <w:r>
              <w:rPr>
                <w:b/>
                <w:bCs/>
                <w:color w:val="FFFFFF"/>
                <w:sz w:val="18"/>
                <w:szCs w:val="18"/>
              </w:rPr>
              <w:t>Before</w:t>
            </w:r>
          </w:p>
        </w:tc>
        <w:tc>
          <w:tcPr>
            <w:tcW w:w="2200" w:type="dxa"/>
            <w:shd w:val="clear" w:color="auto" w:fill="1F3864"/>
            <w:tcMar>
              <w:top w:w="70" w:type="dxa"/>
              <w:left w:w="110" w:type="dxa"/>
              <w:bottom w:w="70" w:type="dxa"/>
              <w:right w:w="110" w:type="dxa"/>
            </w:tcMar>
          </w:tcPr>
          <w:p w:rsidR="00E56AC5" w:rsidRDefault="00C573F0">
            <w:pPr>
              <w:jc w:val="right"/>
            </w:pPr>
            <w:r>
              <w:rPr>
                <w:b/>
                <w:bCs/>
                <w:color w:val="FFFFFF"/>
                <w:sz w:val="18"/>
                <w:szCs w:val="18"/>
              </w:rPr>
              <w:t>After</w:t>
            </w:r>
          </w:p>
        </w:tc>
        <w:tc>
          <w:tcPr>
            <w:tcW w:w="2120" w:type="dxa"/>
            <w:shd w:val="clear" w:color="auto" w:fill="1F3864"/>
            <w:tcMar>
              <w:top w:w="70" w:type="dxa"/>
              <w:left w:w="110" w:type="dxa"/>
              <w:bottom w:w="70" w:type="dxa"/>
              <w:right w:w="110" w:type="dxa"/>
            </w:tcMar>
          </w:tcPr>
          <w:p w:rsidR="00E56AC5" w:rsidRDefault="00C573F0">
            <w:pPr>
              <w:jc w:val="right"/>
            </w:pPr>
            <w:r>
              <w:rPr>
                <w:b/>
                <w:bCs/>
                <w:color w:val="FFFFFF"/>
                <w:sz w:val="18"/>
                <w:szCs w:val="18"/>
              </w:rPr>
              <w:t>Change</w:t>
            </w:r>
          </w:p>
        </w:tc>
      </w:tr>
      <w:tr w:rsidR="00E56AC5">
        <w:tblPrEx>
          <w:tblCellMar>
            <w:top w:w="0" w:type="dxa"/>
            <w:bottom w:w="0" w:type="dxa"/>
          </w:tblCellMar>
        </w:tblPrEx>
        <w:tc>
          <w:tcPr>
            <w:tcW w:w="3560" w:type="dxa"/>
            <w:shd w:val="clear" w:color="auto" w:fill="FFFFFF"/>
            <w:tcMar>
              <w:top w:w="70" w:type="dxa"/>
              <w:left w:w="110" w:type="dxa"/>
              <w:bottom w:w="70" w:type="dxa"/>
              <w:right w:w="110" w:type="dxa"/>
            </w:tcMar>
          </w:tcPr>
          <w:p w:rsidR="00E56AC5" w:rsidRDefault="00C573F0">
            <w:r>
              <w:rPr>
                <w:sz w:val="18"/>
                <w:szCs w:val="18"/>
              </w:rPr>
              <w:t>File count</w:t>
            </w:r>
          </w:p>
        </w:tc>
        <w:tc>
          <w:tcPr>
            <w:tcW w:w="2200" w:type="dxa"/>
            <w:shd w:val="clear" w:color="auto" w:fill="FFFFFF"/>
            <w:tcMar>
              <w:top w:w="70" w:type="dxa"/>
              <w:left w:w="110" w:type="dxa"/>
              <w:bottom w:w="70" w:type="dxa"/>
              <w:right w:w="110" w:type="dxa"/>
            </w:tcMar>
          </w:tcPr>
          <w:p w:rsidR="00E56AC5" w:rsidRDefault="00C573F0">
            <w:pPr>
              <w:jc w:val="right"/>
            </w:pPr>
            <w:r>
              <w:rPr>
                <w:sz w:val="18"/>
                <w:szCs w:val="18"/>
              </w:rPr>
              <w:t>1,438</w:t>
            </w:r>
          </w:p>
        </w:tc>
        <w:tc>
          <w:tcPr>
            <w:tcW w:w="2200" w:type="dxa"/>
            <w:shd w:val="clear" w:color="auto" w:fill="FFFFFF"/>
            <w:tcMar>
              <w:top w:w="70" w:type="dxa"/>
              <w:left w:w="110" w:type="dxa"/>
              <w:bottom w:w="70" w:type="dxa"/>
              <w:right w:w="110" w:type="dxa"/>
            </w:tcMar>
          </w:tcPr>
          <w:p w:rsidR="00E56AC5" w:rsidRDefault="00C573F0">
            <w:pPr>
              <w:jc w:val="right"/>
            </w:pPr>
            <w:r>
              <w:rPr>
                <w:sz w:val="18"/>
                <w:szCs w:val="18"/>
              </w:rPr>
              <w:t>62</w:t>
            </w:r>
          </w:p>
        </w:tc>
        <w:tc>
          <w:tcPr>
            <w:tcW w:w="2120" w:type="dxa"/>
            <w:shd w:val="clear" w:color="auto" w:fill="FFFFFF"/>
            <w:tcMar>
              <w:top w:w="70" w:type="dxa"/>
              <w:left w:w="110" w:type="dxa"/>
              <w:bottom w:w="70" w:type="dxa"/>
              <w:right w:w="110" w:type="dxa"/>
            </w:tcMar>
          </w:tcPr>
          <w:p w:rsidR="00E56AC5" w:rsidRDefault="00C573F0">
            <w:pPr>
              <w:jc w:val="right"/>
            </w:pPr>
            <w:r>
              <w:rPr>
                <w:sz w:val="18"/>
                <w:szCs w:val="18"/>
              </w:rPr>
              <w:t>−</w:t>
            </w:r>
            <w:r>
              <w:rPr>
                <w:sz w:val="18"/>
                <w:szCs w:val="18"/>
              </w:rPr>
              <w:t xml:space="preserve"> 95.7%</w:t>
            </w:r>
          </w:p>
        </w:tc>
      </w:tr>
      <w:tr w:rsidR="00E56AC5">
        <w:tblPrEx>
          <w:tblCellMar>
            <w:top w:w="0" w:type="dxa"/>
            <w:bottom w:w="0" w:type="dxa"/>
          </w:tblCellMar>
        </w:tblPrEx>
        <w:tc>
          <w:tcPr>
            <w:tcW w:w="3560" w:type="dxa"/>
            <w:shd w:val="clear" w:color="auto" w:fill="EEF2F8"/>
            <w:tcMar>
              <w:top w:w="70" w:type="dxa"/>
              <w:left w:w="110" w:type="dxa"/>
              <w:bottom w:w="70" w:type="dxa"/>
              <w:right w:w="110" w:type="dxa"/>
            </w:tcMar>
          </w:tcPr>
          <w:p w:rsidR="00E56AC5" w:rsidRDefault="00C573F0">
            <w:r>
              <w:rPr>
                <w:sz w:val="18"/>
                <w:szCs w:val="18"/>
              </w:rPr>
              <w:t>Average file size</w:t>
            </w:r>
          </w:p>
        </w:tc>
        <w:tc>
          <w:tcPr>
            <w:tcW w:w="2200" w:type="dxa"/>
            <w:shd w:val="clear" w:color="auto" w:fill="EEF2F8"/>
            <w:tcMar>
              <w:top w:w="70" w:type="dxa"/>
              <w:left w:w="110" w:type="dxa"/>
              <w:bottom w:w="70" w:type="dxa"/>
              <w:right w:w="110" w:type="dxa"/>
            </w:tcMar>
          </w:tcPr>
          <w:p w:rsidR="00E56AC5" w:rsidRDefault="00C573F0">
            <w:pPr>
              <w:jc w:val="right"/>
            </w:pPr>
            <w:r>
              <w:rPr>
                <w:sz w:val="18"/>
                <w:szCs w:val="18"/>
              </w:rPr>
              <w:t>3.1 MB</w:t>
            </w:r>
          </w:p>
        </w:tc>
        <w:tc>
          <w:tcPr>
            <w:tcW w:w="2200" w:type="dxa"/>
            <w:shd w:val="clear" w:color="auto" w:fill="EEF2F8"/>
            <w:tcMar>
              <w:top w:w="70" w:type="dxa"/>
              <w:left w:w="110" w:type="dxa"/>
              <w:bottom w:w="70" w:type="dxa"/>
              <w:right w:w="110" w:type="dxa"/>
            </w:tcMar>
          </w:tcPr>
          <w:p w:rsidR="00E56AC5" w:rsidRDefault="00C573F0">
            <w:pPr>
              <w:jc w:val="right"/>
            </w:pPr>
            <w:r>
              <w:rPr>
                <w:sz w:val="18"/>
                <w:szCs w:val="18"/>
              </w:rPr>
              <w:t>71 MB</w:t>
            </w:r>
          </w:p>
        </w:tc>
        <w:tc>
          <w:tcPr>
            <w:tcW w:w="2120" w:type="dxa"/>
            <w:shd w:val="clear" w:color="auto" w:fill="EEF2F8"/>
            <w:tcMar>
              <w:top w:w="70" w:type="dxa"/>
              <w:left w:w="110" w:type="dxa"/>
              <w:bottom w:w="70" w:type="dxa"/>
              <w:right w:w="110" w:type="dxa"/>
            </w:tcMar>
          </w:tcPr>
          <w:p w:rsidR="00E56AC5" w:rsidRDefault="00C573F0">
            <w:pPr>
              <w:jc w:val="right"/>
            </w:pPr>
            <w:r>
              <w:rPr>
                <w:sz w:val="18"/>
                <w:szCs w:val="18"/>
              </w:rPr>
              <w:t>↑ 22.9×</w:t>
            </w:r>
          </w:p>
        </w:tc>
      </w:tr>
      <w:tr w:rsidR="00E56AC5">
        <w:tblPrEx>
          <w:tblCellMar>
            <w:top w:w="0" w:type="dxa"/>
            <w:bottom w:w="0" w:type="dxa"/>
          </w:tblCellMar>
        </w:tblPrEx>
        <w:tc>
          <w:tcPr>
            <w:tcW w:w="3560" w:type="dxa"/>
            <w:shd w:val="clear" w:color="auto" w:fill="FFFFFF"/>
            <w:tcMar>
              <w:top w:w="70" w:type="dxa"/>
              <w:left w:w="110" w:type="dxa"/>
              <w:bottom w:w="70" w:type="dxa"/>
              <w:right w:w="110" w:type="dxa"/>
            </w:tcMar>
          </w:tcPr>
          <w:p w:rsidR="00E56AC5" w:rsidRDefault="00C573F0">
            <w:r>
              <w:rPr>
                <w:sz w:val="18"/>
                <w:szCs w:val="18"/>
              </w:rPr>
              <w:t>Files scanned — single-store 30-day query</w:t>
            </w:r>
          </w:p>
        </w:tc>
        <w:tc>
          <w:tcPr>
            <w:tcW w:w="2200" w:type="dxa"/>
            <w:shd w:val="clear" w:color="auto" w:fill="FFFFFF"/>
            <w:tcMar>
              <w:top w:w="70" w:type="dxa"/>
              <w:left w:w="110" w:type="dxa"/>
              <w:bottom w:w="70" w:type="dxa"/>
              <w:right w:w="110" w:type="dxa"/>
            </w:tcMar>
          </w:tcPr>
          <w:p w:rsidR="00E56AC5" w:rsidRDefault="00C573F0">
            <w:pPr>
              <w:jc w:val="right"/>
            </w:pPr>
            <w:r>
              <w:rPr>
                <w:sz w:val="18"/>
                <w:szCs w:val="18"/>
              </w:rPr>
              <w:t>1,438</w:t>
            </w:r>
          </w:p>
        </w:tc>
        <w:tc>
          <w:tcPr>
            <w:tcW w:w="2200" w:type="dxa"/>
            <w:shd w:val="clear" w:color="auto" w:fill="FFFFFF"/>
            <w:tcMar>
              <w:top w:w="70" w:type="dxa"/>
              <w:left w:w="110" w:type="dxa"/>
              <w:bottom w:w="70" w:type="dxa"/>
              <w:right w:w="110" w:type="dxa"/>
            </w:tcMar>
          </w:tcPr>
          <w:p w:rsidR="00E56AC5" w:rsidRDefault="00C573F0">
            <w:pPr>
              <w:jc w:val="right"/>
            </w:pPr>
            <w:r>
              <w:rPr>
                <w:sz w:val="18"/>
                <w:szCs w:val="18"/>
              </w:rPr>
              <w:t>47</w:t>
            </w:r>
          </w:p>
        </w:tc>
        <w:tc>
          <w:tcPr>
            <w:tcW w:w="2120" w:type="dxa"/>
            <w:shd w:val="clear" w:color="auto" w:fill="FFFFFF"/>
            <w:tcMar>
              <w:top w:w="70" w:type="dxa"/>
              <w:left w:w="110" w:type="dxa"/>
              <w:bottom w:w="70" w:type="dxa"/>
              <w:right w:w="110" w:type="dxa"/>
            </w:tcMar>
          </w:tcPr>
          <w:p w:rsidR="00E56AC5" w:rsidRDefault="00C573F0">
            <w:pPr>
              <w:jc w:val="right"/>
            </w:pPr>
            <w:r>
              <w:rPr>
                <w:sz w:val="18"/>
                <w:szCs w:val="18"/>
              </w:rPr>
              <w:t>−</w:t>
            </w:r>
            <w:r>
              <w:rPr>
                <w:sz w:val="18"/>
                <w:szCs w:val="18"/>
              </w:rPr>
              <w:t xml:space="preserve"> 96.7%</w:t>
            </w:r>
          </w:p>
        </w:tc>
      </w:tr>
      <w:tr w:rsidR="00E56AC5">
        <w:tblPrEx>
          <w:tblCellMar>
            <w:top w:w="0" w:type="dxa"/>
            <w:bottom w:w="0" w:type="dxa"/>
          </w:tblCellMar>
        </w:tblPrEx>
        <w:tc>
          <w:tcPr>
            <w:tcW w:w="3560" w:type="dxa"/>
            <w:shd w:val="clear" w:color="auto" w:fill="EEF2F8"/>
            <w:tcMar>
              <w:top w:w="70" w:type="dxa"/>
              <w:left w:w="110" w:type="dxa"/>
              <w:bottom w:w="70" w:type="dxa"/>
              <w:right w:w="110" w:type="dxa"/>
            </w:tcMar>
          </w:tcPr>
          <w:p w:rsidR="00E56AC5" w:rsidRDefault="00C573F0">
            <w:r>
              <w:rPr>
                <w:sz w:val="18"/>
                <w:szCs w:val="18"/>
              </w:rPr>
              <w:t>Query duration — SQL endpoint, cold cache</w:t>
            </w:r>
          </w:p>
        </w:tc>
        <w:tc>
          <w:tcPr>
            <w:tcW w:w="2200" w:type="dxa"/>
            <w:shd w:val="clear" w:color="auto" w:fill="EEF2F8"/>
            <w:tcMar>
              <w:top w:w="70" w:type="dxa"/>
              <w:left w:w="110" w:type="dxa"/>
              <w:bottom w:w="70" w:type="dxa"/>
              <w:right w:w="110" w:type="dxa"/>
            </w:tcMar>
          </w:tcPr>
          <w:p w:rsidR="00E56AC5" w:rsidRDefault="00C573F0">
            <w:pPr>
              <w:jc w:val="right"/>
            </w:pPr>
            <w:r>
              <w:rPr>
                <w:sz w:val="18"/>
                <w:szCs w:val="18"/>
              </w:rPr>
              <w:t>18.4 s</w:t>
            </w:r>
          </w:p>
        </w:tc>
        <w:tc>
          <w:tcPr>
            <w:tcW w:w="2200" w:type="dxa"/>
            <w:shd w:val="clear" w:color="auto" w:fill="EEF2F8"/>
            <w:tcMar>
              <w:top w:w="70" w:type="dxa"/>
              <w:left w:w="110" w:type="dxa"/>
              <w:bottom w:w="70" w:type="dxa"/>
              <w:right w:w="110" w:type="dxa"/>
            </w:tcMar>
          </w:tcPr>
          <w:p w:rsidR="00E56AC5" w:rsidRDefault="00C573F0">
            <w:pPr>
              <w:jc w:val="right"/>
            </w:pPr>
            <w:r>
              <w:rPr>
                <w:sz w:val="18"/>
                <w:szCs w:val="18"/>
              </w:rPr>
              <w:t>3.9 s</w:t>
            </w:r>
          </w:p>
        </w:tc>
        <w:tc>
          <w:tcPr>
            <w:tcW w:w="2120" w:type="dxa"/>
            <w:shd w:val="clear" w:color="auto" w:fill="EEF2F8"/>
            <w:tcMar>
              <w:top w:w="70" w:type="dxa"/>
              <w:left w:w="110" w:type="dxa"/>
              <w:bottom w:w="70" w:type="dxa"/>
              <w:right w:w="110" w:type="dxa"/>
            </w:tcMar>
          </w:tcPr>
          <w:p w:rsidR="00E56AC5" w:rsidRDefault="00C573F0">
            <w:pPr>
              <w:jc w:val="right"/>
            </w:pPr>
            <w:r>
              <w:rPr>
                <w:sz w:val="18"/>
                <w:szCs w:val="18"/>
              </w:rPr>
              <w:t>−</w:t>
            </w:r>
            <w:r>
              <w:rPr>
                <w:sz w:val="18"/>
                <w:szCs w:val="18"/>
              </w:rPr>
              <w:t xml:space="preserve"> 78.8%</w:t>
            </w:r>
          </w:p>
        </w:tc>
      </w:tr>
      <w:tr w:rsidR="00E56AC5">
        <w:tblPrEx>
          <w:tblCellMar>
            <w:top w:w="0" w:type="dxa"/>
            <w:bottom w:w="0" w:type="dxa"/>
          </w:tblCellMar>
        </w:tblPrEx>
        <w:tc>
          <w:tcPr>
            <w:tcW w:w="3560" w:type="dxa"/>
            <w:shd w:val="clear" w:color="auto" w:fill="FFFFFF"/>
            <w:tcMar>
              <w:top w:w="70" w:type="dxa"/>
              <w:left w:w="110" w:type="dxa"/>
              <w:bottom w:w="70" w:type="dxa"/>
              <w:right w:w="110" w:type="dxa"/>
            </w:tcMar>
          </w:tcPr>
          <w:p w:rsidR="00E56AC5" w:rsidRDefault="00C573F0">
            <w:r>
              <w:rPr>
                <w:sz w:val="18"/>
                <w:szCs w:val="18"/>
              </w:rPr>
              <w:t>Storage after VACUUM</w:t>
            </w:r>
          </w:p>
        </w:tc>
        <w:tc>
          <w:tcPr>
            <w:tcW w:w="2200" w:type="dxa"/>
            <w:shd w:val="clear" w:color="auto" w:fill="FFFFFF"/>
            <w:tcMar>
              <w:top w:w="70" w:type="dxa"/>
              <w:left w:w="110" w:type="dxa"/>
              <w:bottom w:w="70" w:type="dxa"/>
              <w:right w:w="110" w:type="dxa"/>
            </w:tcMar>
          </w:tcPr>
          <w:p w:rsidR="00E56AC5" w:rsidRDefault="00C573F0">
            <w:pPr>
              <w:jc w:val="right"/>
            </w:pPr>
            <w:r>
              <w:rPr>
                <w:sz w:val="18"/>
                <w:szCs w:val="18"/>
              </w:rPr>
              <w:t>412 GB</w:t>
            </w:r>
          </w:p>
        </w:tc>
        <w:tc>
          <w:tcPr>
            <w:tcW w:w="2200" w:type="dxa"/>
            <w:shd w:val="clear" w:color="auto" w:fill="FFFFFF"/>
            <w:tcMar>
              <w:top w:w="70" w:type="dxa"/>
              <w:left w:w="110" w:type="dxa"/>
              <w:bottom w:w="70" w:type="dxa"/>
              <w:right w:w="110" w:type="dxa"/>
            </w:tcMar>
          </w:tcPr>
          <w:p w:rsidR="00E56AC5" w:rsidRDefault="00C573F0">
            <w:pPr>
              <w:jc w:val="right"/>
            </w:pPr>
            <w:r>
              <w:rPr>
                <w:sz w:val="18"/>
                <w:szCs w:val="18"/>
              </w:rPr>
              <w:t>268 GB</w:t>
            </w:r>
          </w:p>
        </w:tc>
        <w:tc>
          <w:tcPr>
            <w:tcW w:w="2120" w:type="dxa"/>
            <w:shd w:val="clear" w:color="auto" w:fill="FFFFFF"/>
            <w:tcMar>
              <w:top w:w="70" w:type="dxa"/>
              <w:left w:w="110" w:type="dxa"/>
              <w:bottom w:w="70" w:type="dxa"/>
              <w:right w:w="110" w:type="dxa"/>
            </w:tcMar>
          </w:tcPr>
          <w:p w:rsidR="00E56AC5" w:rsidRDefault="00C573F0">
            <w:pPr>
              <w:jc w:val="right"/>
            </w:pPr>
            <w:r>
              <w:rPr>
                <w:sz w:val="18"/>
                <w:szCs w:val="18"/>
              </w:rPr>
              <w:t>−</w:t>
            </w:r>
            <w:r>
              <w:rPr>
                <w:sz w:val="18"/>
                <w:szCs w:val="18"/>
              </w:rPr>
              <w:t xml:space="preserve"> 35.0%</w:t>
            </w:r>
          </w:p>
        </w:tc>
      </w:tr>
    </w:tbl>
    <w:p w:rsidR="00E56AC5" w:rsidRDefault="00C573F0">
      <w:pPr>
        <w:spacing w:before="60" w:after="160"/>
      </w:pPr>
      <w:r>
        <w:rPr>
          <w:i/>
          <w:iCs/>
          <w:color w:val="6B7480"/>
          <w:sz w:val="17"/>
          <w:szCs w:val="17"/>
        </w:rPr>
        <w:t>Table 2 — Measured on the 30-day pilot load (200 stores). Re-baseline after the first full production month.</w:t>
      </w:r>
    </w:p>
    <w:p w:rsidR="00E56AC5" w:rsidRDefault="00C573F0">
      <w:pPr>
        <w:spacing w:after="120" w:line="264" w:lineRule="auto"/>
        <w:jc w:val="both"/>
      </w:pPr>
      <w:r>
        <w:rPr>
          <w:b/>
          <w:bCs/>
          <w:color w:val="1F3864"/>
        </w:rPr>
        <w:t xml:space="preserve">Forward path: </w:t>
      </w:r>
      <w:r>
        <w:t>liquid clustering is the direction of travel. It stores clustering columns in table metadata rather than requiring them to be restate</w:t>
      </w:r>
      <w:r>
        <w:t>d on every OPTIMIZE, and it adapts as query patterns shift. We propose migrating gold to CLUSTER BY (store_id, product_id) once we retire the date partitioning it currently conflicts with; Z-Order remains correct for silver, which stays partitioned.</w:t>
      </w:r>
    </w:p>
    <w:p w:rsidR="00E56AC5" w:rsidRDefault="00C573F0">
      <w:pPr>
        <w:pStyle w:val="Heading1"/>
        <w:pBdr>
          <w:bottom w:val="single" w:sz="8" w:space="6" w:color="2E5FA3"/>
        </w:pBdr>
        <w:spacing w:before="360" w:after="140"/>
      </w:pPr>
      <w:r>
        <w:rPr>
          <w:b/>
          <w:bCs/>
          <w:color w:val="1F3864"/>
          <w:sz w:val="28"/>
          <w:szCs w:val="28"/>
        </w:rPr>
        <w:t>7.  Wa</w:t>
      </w:r>
      <w:r>
        <w:rPr>
          <w:b/>
          <w:bCs/>
          <w:color w:val="1F3864"/>
          <w:sz w:val="28"/>
          <w:szCs w:val="28"/>
        </w:rPr>
        <w:t>rehouse Design</w:t>
      </w:r>
    </w:p>
    <w:p w:rsidR="00E56AC5" w:rsidRDefault="00C573F0">
      <w:pPr>
        <w:spacing w:after="120" w:line="264" w:lineRule="auto"/>
        <w:jc w:val="both"/>
      </w:pPr>
      <w:r>
        <w:t>The Warehouse holds a classic Kimball star: three conformed dimensions and a single fact table at store-product-day grain, matching the gold aggregate exactly.</w:t>
      </w:r>
    </w:p>
    <w:p w:rsidR="00E56AC5" w:rsidRDefault="00C573F0">
      <w:pPr>
        <w:spacing w:before="140" w:after="40"/>
      </w:pPr>
      <w:r>
        <w:rPr>
          <w:b/>
          <w:bCs/>
          <w:color w:val="2E5FA3"/>
          <w:spacing w:val="20"/>
          <w:sz w:val="16"/>
          <w:szCs w:val="16"/>
        </w:rPr>
        <w:t>DIMENSION TABLES (T-SQL)</w:t>
      </w:r>
    </w:p>
    <w:p w:rsidR="00E56AC5" w:rsidRDefault="00C573F0">
      <w:pPr>
        <w:pBdr>
          <w:top w:val="single" w:sz="2" w:space="2" w:color="F2F4F7"/>
          <w:left w:val="single" w:sz="12" w:space="8" w:color="2E5FA3"/>
        </w:pBdr>
        <w:shd w:val="clear" w:color="auto" w:fill="F2F4F7"/>
        <w:spacing w:before="80" w:line="230" w:lineRule="auto"/>
        <w:ind w:left="170" w:right="120"/>
      </w:pPr>
      <w:r>
        <w:rPr>
          <w:rFonts w:ascii="Consolas" w:eastAsia="Consolas" w:hAnsi="Consolas" w:cs="Consolas"/>
          <w:color w:val="1B2733"/>
          <w:sz w:val="16"/>
          <w:szCs w:val="16"/>
        </w:rPr>
        <w:t>CREATE TABLE dbo.dim_date (</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date_key       INT          NOT NULL,   -- smart key, e.g. 20260821</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full_date      DATE         NOT NULL,</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day_of_week    VARCHAR(10)  NOT NULL,</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week_of_year   SMALLINT     NOT NULL,</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month_number   TINYINT      NOT NULL,</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month_name  </w:t>
      </w:r>
      <w:r>
        <w:rPr>
          <w:rFonts w:ascii="Consolas" w:eastAsia="Consolas" w:hAnsi="Consolas" w:cs="Consolas"/>
          <w:color w:val="1B2733"/>
          <w:sz w:val="16"/>
          <w:szCs w:val="16"/>
        </w:rPr>
        <w:t xml:space="preserve">   VARCHAR(10)  NOT NULL,</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quarter_number TINYINT      NOT NULL,</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fiscal_year    SMALLINT     NOT NULL,</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is_weekend     BIT          NOT NULL,</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is_trading_holiday BIT      NOT NULL</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ALTER TABLE dbo.dim_date</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ADD CONSTRAINT PK_dim_date PRIMARY KEY NONCLUSTERED (date_key) NOT ENFORCED;</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CREATE TABLE dbo.dim_store (</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store_key      INT          NOT NULL,   -- surrogate (no IDENTITY in Fabric Warehouse)</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store_id       INT          NOT NULL,   -- business</w:t>
      </w:r>
      <w:r>
        <w:rPr>
          <w:rFonts w:ascii="Consolas" w:eastAsia="Consolas" w:hAnsi="Consolas" w:cs="Consolas"/>
          <w:color w:val="1B2733"/>
          <w:sz w:val="16"/>
          <w:szCs w:val="16"/>
        </w:rPr>
        <w:t xml:space="preserve"> key from source</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store_name     VARCHAR(100) NOT NULL,</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region         VARCHAR(50)  NOT NULL,</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lastRenderedPageBreak/>
        <w:t xml:space="preserve">    store_format   VARCHAR(20)  NOT NULL,</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open_date      DATE         NULL,</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row_effective_from DATETIME2(6) NOT NULL,   -- Type 2 history</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row_e</w:t>
      </w:r>
      <w:r>
        <w:rPr>
          <w:rFonts w:ascii="Consolas" w:eastAsia="Consolas" w:hAnsi="Consolas" w:cs="Consolas"/>
          <w:color w:val="1B2733"/>
          <w:sz w:val="16"/>
          <w:szCs w:val="16"/>
        </w:rPr>
        <w:t>ffective_to   DATETIME2(6) NOT NULL,</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is_current     BIT          NOT NULL</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ALTER TABLE dbo.dim_store</w:t>
      </w:r>
    </w:p>
    <w:p w:rsidR="00E56AC5" w:rsidRDefault="00C573F0">
      <w:pPr>
        <w:pBdr>
          <w:left w:val="single" w:sz="12" w:space="8" w:color="2E5FA3"/>
          <w:bottom w:val="single" w:sz="2" w:space="2" w:color="F2F4F7"/>
        </w:pBdr>
        <w:shd w:val="clear" w:color="auto" w:fill="F2F4F7"/>
        <w:spacing w:after="100" w:line="230" w:lineRule="auto"/>
        <w:ind w:left="170" w:right="120"/>
      </w:pPr>
      <w:r>
        <w:rPr>
          <w:rFonts w:ascii="Consolas" w:eastAsia="Consolas" w:hAnsi="Consolas" w:cs="Consolas"/>
          <w:color w:val="1B2733"/>
          <w:sz w:val="16"/>
          <w:szCs w:val="16"/>
        </w:rPr>
        <w:t xml:space="preserve">  ADD CONSTRAINT PK_dim_store PRIMARY KEY NONCLUSTERED (store_key) NOT ENFORCED;</w:t>
      </w:r>
    </w:p>
    <w:p w:rsidR="00E56AC5" w:rsidRDefault="00C573F0">
      <w:pPr>
        <w:spacing w:before="60" w:after="160"/>
      </w:pPr>
      <w:r>
        <w:rPr>
          <w:i/>
          <w:iCs/>
          <w:color w:val="6B7480"/>
          <w:sz w:val="17"/>
          <w:szCs w:val="17"/>
        </w:rPr>
        <w:t>dim_product follows the same Type 2 pattern as dim_store and is omitted here for brevity.</w:t>
      </w:r>
    </w:p>
    <w:p w:rsidR="00E56AC5" w:rsidRDefault="00C573F0">
      <w:pPr>
        <w:spacing w:before="140" w:after="40"/>
      </w:pPr>
      <w:r>
        <w:rPr>
          <w:b/>
          <w:bCs/>
          <w:color w:val="2E5FA3"/>
          <w:spacing w:val="20"/>
          <w:sz w:val="16"/>
          <w:szCs w:val="16"/>
        </w:rPr>
        <w:t>FACT TABLE WITH FOREIGN KEY REFERENCES</w:t>
      </w:r>
    </w:p>
    <w:p w:rsidR="00E56AC5" w:rsidRDefault="00C573F0">
      <w:pPr>
        <w:pBdr>
          <w:top w:val="single" w:sz="2" w:space="2" w:color="F2F4F7"/>
          <w:left w:val="single" w:sz="12" w:space="8" w:color="2E5FA3"/>
        </w:pBdr>
        <w:shd w:val="clear" w:color="auto" w:fill="F2F4F7"/>
        <w:spacing w:before="80" w:line="230" w:lineRule="auto"/>
        <w:ind w:left="170" w:right="120"/>
      </w:pPr>
      <w:r>
        <w:rPr>
          <w:rFonts w:ascii="Consolas" w:eastAsia="Consolas" w:hAnsi="Consolas" w:cs="Consolas"/>
          <w:color w:val="1B2733"/>
          <w:sz w:val="16"/>
          <w:szCs w:val="16"/>
        </w:rPr>
        <w:t>CREATE TABLE dbo.fact_daily_sales (</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date_key          INT           NOT NULL,</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store_key         INT           NOT NULL,</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product_key       INT           NOT NULL,</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transaction_count INT           NOT NULL,</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units_sold        INT           NOT NULL,</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net_sales         DECIMAL(18,2) NOT NULL,</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total_discount    DECIMAL(18,2) NOT NULL,</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load_timestamp    DAT</w:t>
      </w:r>
      <w:r>
        <w:rPr>
          <w:rFonts w:ascii="Consolas" w:eastAsia="Consolas" w:hAnsi="Consolas" w:cs="Consolas"/>
          <w:color w:val="1B2733"/>
          <w:sz w:val="16"/>
          <w:szCs w:val="16"/>
        </w:rPr>
        <w:t>ETIME2(6)  NOT NULL   -- drives the high-water mark</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ALTER TABLE dbo.fact_daily_sales ADD CONSTRAINT FK_fact_date</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FOREIGN KEY (date_key)    REFERENCES dbo.dim_date(date_key)       NOT ENFORCED;</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ALTER TABLE dbo.fact_daily_sales ADD CONSTRAINT FK_fact_store</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FOREIGN KEY (store_key)   REFERENCES dbo.dim_store(store_key)     NOT ENFORCED;</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ALTER TABLE dbo.fact_daily_sales ADD CONSTRAINT FK_fact_product</w:t>
      </w:r>
    </w:p>
    <w:p w:rsidR="00E56AC5" w:rsidRDefault="00C573F0">
      <w:pPr>
        <w:pBdr>
          <w:left w:val="single" w:sz="12" w:space="8" w:color="2E5FA3"/>
          <w:bottom w:val="single" w:sz="2" w:space="2" w:color="F2F4F7"/>
        </w:pBdr>
        <w:shd w:val="clear" w:color="auto" w:fill="F2F4F7"/>
        <w:spacing w:after="100" w:line="230" w:lineRule="auto"/>
        <w:ind w:left="170" w:right="120"/>
      </w:pPr>
      <w:r>
        <w:rPr>
          <w:rFonts w:ascii="Consolas" w:eastAsia="Consolas" w:hAnsi="Consolas" w:cs="Consolas"/>
          <w:color w:val="1B2733"/>
          <w:sz w:val="16"/>
          <w:szCs w:val="16"/>
        </w:rPr>
        <w:t xml:space="preserve">  FOREIGN KEY (product_key) REFERENCES dbo.dim_p</w:t>
      </w:r>
      <w:r>
        <w:rPr>
          <w:rFonts w:ascii="Consolas" w:eastAsia="Consolas" w:hAnsi="Consolas" w:cs="Consolas"/>
          <w:color w:val="1B2733"/>
          <w:sz w:val="16"/>
          <w:szCs w:val="16"/>
        </w:rPr>
        <w:t>roduct(product_key) NOT ENFORCED;</w:t>
      </w:r>
    </w:p>
    <w:p w:rsidR="00E56AC5" w:rsidRDefault="00C573F0">
      <w:pPr>
        <w:spacing w:before="140" w:after="40"/>
      </w:pPr>
      <w:r>
        <w:rPr>
          <w:b/>
          <w:bCs/>
          <w:color w:val="2E5FA3"/>
          <w:spacing w:val="20"/>
          <w:sz w:val="16"/>
          <w:szCs w:val="16"/>
        </w:rPr>
        <w:t>INCREMENTAL FACT LOAD — HIGH-WATER MARK PLUS MERGE</w:t>
      </w:r>
    </w:p>
    <w:p w:rsidR="00E56AC5" w:rsidRDefault="00C573F0">
      <w:pPr>
        <w:pBdr>
          <w:top w:val="single" w:sz="2" w:space="2" w:color="F2F4F7"/>
          <w:left w:val="single" w:sz="12" w:space="8" w:color="2E5FA3"/>
        </w:pBdr>
        <w:shd w:val="clear" w:color="auto" w:fill="F2F4F7"/>
        <w:spacing w:before="80" w:line="230" w:lineRule="auto"/>
        <w:ind w:left="170" w:right="120"/>
      </w:pPr>
      <w:r>
        <w:rPr>
          <w:rFonts w:ascii="Consolas" w:eastAsia="Consolas" w:hAnsi="Consolas" w:cs="Consolas"/>
          <w:color w:val="1B2733"/>
          <w:sz w:val="16"/>
          <w:szCs w:val="16"/>
        </w:rPr>
        <w:t>DECLARE @high_water DATETIME2(6) =</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(SELECT ISNULL(MAX(load_timestamp), '1900-01-01') FROM dbo.fact_daily_sales);</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MERGE INTO dbo.fact_daily_sales AS tgt</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USING (</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SELECT  d.date_key, s.store_key, p.product_key,</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g.transaction_count, g.units_sold, g.net_sales,</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g.total_discount, g.load_timestamp</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FROM    RetailLakehouse.gold.daily_store_product_sales AS g   -- cross-database read</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JOIN</w:t>
      </w:r>
      <w:r>
        <w:rPr>
          <w:rFonts w:ascii="Consolas" w:eastAsia="Consolas" w:hAnsi="Consolas" w:cs="Consolas"/>
          <w:color w:val="1B2733"/>
          <w:sz w:val="16"/>
          <w:szCs w:val="16"/>
        </w:rPr>
        <w:t xml:space="preserve">    dbo.dim_date    AS d ON d.full_date  = g.txn_date</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JOIN    dbo.dim_store   AS s ON s.store_id   = g.store_id   AND s.is_current = 1</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JOIN    dbo.dim_product AS p ON p.product_id = g.product_id AND p.is_current = 1</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WHERE   g.load_timestamp &gt; @high_water                        -- incremental slice only</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AS src</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ON  tgt.date_key = src.date_key</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AND tgt.store_key = src.store_key</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AND tgt.product_key = src.product_key</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WHEN MATCHED THEN UPDATE SET</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tgt.tra</w:t>
      </w:r>
      <w:r>
        <w:rPr>
          <w:rFonts w:ascii="Consolas" w:eastAsia="Consolas" w:hAnsi="Consolas" w:cs="Consolas"/>
          <w:color w:val="1B2733"/>
          <w:sz w:val="16"/>
          <w:szCs w:val="16"/>
        </w:rPr>
        <w:t>nsaction_count = src.transaction_count,</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tgt.units_sold        = src.units_sold,</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tgt.net_sales         = src.net_sales,</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tgt.total_discount    = src.total_discount,</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tgt.load_timestamp    = src.load_timestamp</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WHEN NOT MATCHED THEN</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INSERT (</w:t>
      </w:r>
      <w:r>
        <w:rPr>
          <w:rFonts w:ascii="Consolas" w:eastAsia="Consolas" w:hAnsi="Consolas" w:cs="Consolas"/>
          <w:color w:val="1B2733"/>
          <w:sz w:val="16"/>
          <w:szCs w:val="16"/>
        </w:rPr>
        <w:t>date_key, store_key, product_key, transaction_count,</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units_sold, net_sales, total_discount, load_timestamp)</w:t>
      </w:r>
    </w:p>
    <w:p w:rsidR="00E56AC5" w:rsidRDefault="00C573F0">
      <w:pPr>
        <w:pBdr>
          <w:left w:val="single" w:sz="12" w:space="8" w:color="2E5FA3"/>
        </w:pBdr>
        <w:shd w:val="clear" w:color="auto" w:fill="F2F4F7"/>
        <w:spacing w:line="230" w:lineRule="auto"/>
        <w:ind w:left="170" w:right="120"/>
      </w:pPr>
      <w:r>
        <w:rPr>
          <w:rFonts w:ascii="Consolas" w:eastAsia="Consolas" w:hAnsi="Consolas" w:cs="Consolas"/>
          <w:color w:val="1B2733"/>
          <w:sz w:val="16"/>
          <w:szCs w:val="16"/>
        </w:rPr>
        <w:t xml:space="preserve">  VALUES (src.date_key, src.store_key, src.product_key, src.transaction_count,</w:t>
      </w:r>
    </w:p>
    <w:p w:rsidR="00E56AC5" w:rsidRDefault="00C573F0">
      <w:pPr>
        <w:pBdr>
          <w:left w:val="single" w:sz="12" w:space="8" w:color="2E5FA3"/>
          <w:bottom w:val="single" w:sz="2" w:space="2" w:color="F2F4F7"/>
        </w:pBdr>
        <w:shd w:val="clear" w:color="auto" w:fill="F2F4F7"/>
        <w:spacing w:after="100" w:line="230" w:lineRule="auto"/>
        <w:ind w:left="170" w:right="120"/>
      </w:pPr>
      <w:r>
        <w:rPr>
          <w:rFonts w:ascii="Consolas" w:eastAsia="Consolas" w:hAnsi="Consolas" w:cs="Consolas"/>
          <w:color w:val="1B2733"/>
          <w:sz w:val="16"/>
          <w:szCs w:val="16"/>
        </w:rPr>
        <w:t xml:space="preserve">          src.units_sold, src.net_sales, src.total_discount</w:t>
      </w:r>
      <w:r>
        <w:rPr>
          <w:rFonts w:ascii="Consolas" w:eastAsia="Consolas" w:hAnsi="Consolas" w:cs="Consolas"/>
          <w:color w:val="1B2733"/>
          <w:sz w:val="16"/>
          <w:szCs w:val="16"/>
        </w:rPr>
        <w:t>, src.load_timestamp);</w:t>
      </w:r>
    </w:p>
    <w:p w:rsidR="00E56AC5" w:rsidRDefault="00C573F0">
      <w:pPr>
        <w:spacing w:after="120" w:line="264" w:lineRule="auto"/>
        <w:jc w:val="both"/>
      </w:pPr>
      <w:r>
        <w:t xml:space="preserve">Fabric Warehouse does not support IDENTITY columns, so surrogate keys are generated during the load with ROW_NUMBER() offset by the current maximum key. Primary and foreign keys are declared NOT ENFORCED: Fabric will not police them at write time, but the </w:t>
      </w:r>
      <w:r>
        <w:t>query optimizer uses them for join elimination and Power BI reads them to infer relationships, so declaring them earns its keep. Referential integrity is enforced upstream in the ELT, where the dimension lookups are inner joins and any row failing to match</w:t>
      </w:r>
      <w:r>
        <w:t xml:space="preserve"> is routed to a reject table rather than silently disappearing.</w:t>
      </w:r>
    </w:p>
    <w:p w:rsidR="00E56AC5" w:rsidRDefault="00C573F0">
      <w:pPr>
        <w:spacing w:after="120" w:line="264" w:lineRule="auto"/>
        <w:jc w:val="both"/>
      </w:pPr>
      <w:r>
        <w:rPr>
          <w:b/>
          <w:bCs/>
          <w:color w:val="1F3864"/>
        </w:rPr>
        <w:lastRenderedPageBreak/>
        <w:t xml:space="preserve">Incremental load approach: </w:t>
      </w:r>
      <w:r>
        <w:t>a high-water mark on load_timestamp. Each run reads only the gold rows written since the last successful fact load, resolves them to surrogate keys, and upserts. Thi</w:t>
      </w:r>
      <w:r>
        <w:t xml:space="preserve">s handles restatement naturally — when a prior day is corrected in silver, gold recomputes that day, its load_timestamp advances, and the next MERGE updates the existing fact rows instead of double-counting. Dimensions load before facts so no fact row can </w:t>
      </w:r>
      <w:r>
        <w:t>arrive before its keys exist. dim_store and dim_product are Type 2, so a store that changes region retains its history and previously loaded facts stay attached to the correct dimension row.</w:t>
      </w:r>
    </w:p>
    <w:p w:rsidR="00E56AC5" w:rsidRDefault="00C573F0">
      <w:r>
        <w:br w:type="page"/>
      </w:r>
    </w:p>
    <w:p w:rsidR="00E56AC5" w:rsidRDefault="00C573F0">
      <w:pPr>
        <w:pStyle w:val="Heading1"/>
        <w:pBdr>
          <w:bottom w:val="single" w:sz="8" w:space="6" w:color="2E5FA3"/>
        </w:pBdr>
        <w:spacing w:before="360" w:after="140"/>
      </w:pPr>
      <w:r>
        <w:rPr>
          <w:b/>
          <w:bCs/>
          <w:color w:val="1F3864"/>
          <w:sz w:val="28"/>
          <w:szCs w:val="28"/>
        </w:rPr>
        <w:lastRenderedPageBreak/>
        <w:t>8.  Decision Summary</w:t>
      </w:r>
    </w:p>
    <w:tbl>
      <w:tblPr>
        <w:tblW w:w="10080" w:type="dxa"/>
        <w:tblBorders>
          <w:top w:val="single" w:sz="4" w:space="0" w:color="C6CEDA"/>
          <w:left w:val="single" w:sz="4" w:space="0" w:color="C6CEDA"/>
          <w:bottom w:val="single" w:sz="4" w:space="0" w:color="C6CEDA"/>
          <w:right w:val="single" w:sz="4" w:space="0" w:color="C6CEDA"/>
          <w:insideH w:val="single" w:sz="2" w:space="0" w:color="D8DEE8"/>
          <w:insideV w:val="single" w:sz="2" w:space="0" w:color="D8DEE8"/>
        </w:tblBorders>
        <w:tblCellMar>
          <w:left w:w="10" w:type="dxa"/>
          <w:right w:w="10" w:type="dxa"/>
        </w:tblCellMar>
        <w:tblLook w:val="0000" w:firstRow="0" w:lastRow="0" w:firstColumn="0" w:lastColumn="0" w:noHBand="0" w:noVBand="0"/>
      </w:tblPr>
      <w:tblGrid>
        <w:gridCol w:w="2680"/>
        <w:gridCol w:w="3200"/>
        <w:gridCol w:w="4200"/>
      </w:tblGrid>
      <w:tr w:rsidR="00E56AC5">
        <w:tblPrEx>
          <w:tblCellMar>
            <w:top w:w="0" w:type="dxa"/>
            <w:bottom w:w="0" w:type="dxa"/>
          </w:tblCellMar>
        </w:tblPrEx>
        <w:trPr>
          <w:tblHeader/>
        </w:trPr>
        <w:tc>
          <w:tcPr>
            <w:tcW w:w="2680" w:type="dxa"/>
            <w:shd w:val="clear" w:color="auto" w:fill="1F3864"/>
            <w:tcMar>
              <w:top w:w="70" w:type="dxa"/>
              <w:left w:w="110" w:type="dxa"/>
              <w:bottom w:w="70" w:type="dxa"/>
              <w:right w:w="110" w:type="dxa"/>
            </w:tcMar>
          </w:tcPr>
          <w:p w:rsidR="00E56AC5" w:rsidRDefault="00C573F0">
            <w:r>
              <w:rPr>
                <w:b/>
                <w:bCs/>
                <w:color w:val="FFFFFF"/>
                <w:sz w:val="18"/>
                <w:szCs w:val="18"/>
              </w:rPr>
              <w:t>Area</w:t>
            </w:r>
          </w:p>
        </w:tc>
        <w:tc>
          <w:tcPr>
            <w:tcW w:w="3200" w:type="dxa"/>
            <w:shd w:val="clear" w:color="auto" w:fill="1F3864"/>
            <w:tcMar>
              <w:top w:w="70" w:type="dxa"/>
              <w:left w:w="110" w:type="dxa"/>
              <w:bottom w:w="70" w:type="dxa"/>
              <w:right w:w="110" w:type="dxa"/>
            </w:tcMar>
          </w:tcPr>
          <w:p w:rsidR="00E56AC5" w:rsidRDefault="00C573F0">
            <w:r>
              <w:rPr>
                <w:b/>
                <w:bCs/>
                <w:color w:val="FFFFFF"/>
                <w:sz w:val="18"/>
                <w:szCs w:val="18"/>
              </w:rPr>
              <w:t>Decision</w:t>
            </w:r>
          </w:p>
        </w:tc>
        <w:tc>
          <w:tcPr>
            <w:tcW w:w="4200" w:type="dxa"/>
            <w:shd w:val="clear" w:color="auto" w:fill="1F3864"/>
            <w:tcMar>
              <w:top w:w="70" w:type="dxa"/>
              <w:left w:w="110" w:type="dxa"/>
              <w:bottom w:w="70" w:type="dxa"/>
              <w:right w:w="110" w:type="dxa"/>
            </w:tcMar>
          </w:tcPr>
          <w:p w:rsidR="00E56AC5" w:rsidRDefault="00C573F0">
            <w:r>
              <w:rPr>
                <w:b/>
                <w:bCs/>
                <w:color w:val="FFFFFF"/>
                <w:sz w:val="18"/>
                <w:szCs w:val="18"/>
              </w:rPr>
              <w:t>Primary rationale</w:t>
            </w:r>
          </w:p>
        </w:tc>
      </w:tr>
      <w:tr w:rsidR="00E56AC5">
        <w:tblPrEx>
          <w:tblCellMar>
            <w:top w:w="0" w:type="dxa"/>
            <w:bottom w:w="0" w:type="dxa"/>
          </w:tblCellMar>
        </w:tblPrEx>
        <w:tc>
          <w:tcPr>
            <w:tcW w:w="2680" w:type="dxa"/>
            <w:shd w:val="clear" w:color="auto" w:fill="FFFFFF"/>
            <w:tcMar>
              <w:top w:w="70" w:type="dxa"/>
              <w:left w:w="110" w:type="dxa"/>
              <w:bottom w:w="70" w:type="dxa"/>
              <w:right w:w="110" w:type="dxa"/>
            </w:tcMar>
          </w:tcPr>
          <w:p w:rsidR="00E56AC5" w:rsidRDefault="00C573F0">
            <w:r>
              <w:rPr>
                <w:b/>
                <w:bCs/>
                <w:sz w:val="18"/>
                <w:szCs w:val="18"/>
              </w:rPr>
              <w:t>Ingestion</w:t>
            </w:r>
          </w:p>
        </w:tc>
        <w:tc>
          <w:tcPr>
            <w:tcW w:w="3200" w:type="dxa"/>
            <w:shd w:val="clear" w:color="auto" w:fill="FFFFFF"/>
            <w:tcMar>
              <w:top w:w="70" w:type="dxa"/>
              <w:left w:w="110" w:type="dxa"/>
              <w:bottom w:w="70" w:type="dxa"/>
              <w:right w:w="110" w:type="dxa"/>
            </w:tcMar>
          </w:tcPr>
          <w:p w:rsidR="00E56AC5" w:rsidRDefault="00C573F0">
            <w:r>
              <w:rPr>
                <w:sz w:val="18"/>
                <w:szCs w:val="18"/>
              </w:rPr>
              <w:t>Pipeline: Copy activity + notebook activity</w:t>
            </w:r>
          </w:p>
        </w:tc>
        <w:tc>
          <w:tcPr>
            <w:tcW w:w="4200" w:type="dxa"/>
            <w:shd w:val="clear" w:color="auto" w:fill="FFFFFF"/>
            <w:tcMar>
              <w:top w:w="70" w:type="dxa"/>
              <w:left w:w="110" w:type="dxa"/>
              <w:bottom w:w="70" w:type="dxa"/>
              <w:right w:w="110" w:type="dxa"/>
            </w:tcMar>
          </w:tcPr>
          <w:p w:rsidR="00E56AC5" w:rsidRDefault="00C573F0">
            <w:r>
              <w:rPr>
                <w:sz w:val="18"/>
                <w:szCs w:val="18"/>
              </w:rPr>
              <w:t>Declarative file movement; testable logic; lineage columns for audit</w:t>
            </w:r>
          </w:p>
        </w:tc>
      </w:tr>
      <w:tr w:rsidR="00E56AC5">
        <w:tblPrEx>
          <w:tblCellMar>
            <w:top w:w="0" w:type="dxa"/>
            <w:bottom w:w="0" w:type="dxa"/>
          </w:tblCellMar>
        </w:tblPrEx>
        <w:tc>
          <w:tcPr>
            <w:tcW w:w="2680" w:type="dxa"/>
            <w:shd w:val="clear" w:color="auto" w:fill="EEF2F8"/>
            <w:tcMar>
              <w:top w:w="70" w:type="dxa"/>
              <w:left w:w="110" w:type="dxa"/>
              <w:bottom w:w="70" w:type="dxa"/>
              <w:right w:w="110" w:type="dxa"/>
            </w:tcMar>
          </w:tcPr>
          <w:p w:rsidR="00E56AC5" w:rsidRDefault="00C573F0">
            <w:r>
              <w:rPr>
                <w:b/>
                <w:bCs/>
                <w:sz w:val="18"/>
                <w:szCs w:val="18"/>
              </w:rPr>
              <w:t>Table type</w:t>
            </w:r>
          </w:p>
        </w:tc>
        <w:tc>
          <w:tcPr>
            <w:tcW w:w="3200" w:type="dxa"/>
            <w:shd w:val="clear" w:color="auto" w:fill="EEF2F8"/>
            <w:tcMar>
              <w:top w:w="70" w:type="dxa"/>
              <w:left w:w="110" w:type="dxa"/>
              <w:bottom w:w="70" w:type="dxa"/>
              <w:right w:w="110" w:type="dxa"/>
            </w:tcMar>
          </w:tcPr>
          <w:p w:rsidR="00E56AC5" w:rsidRDefault="00C573F0">
            <w:r>
              <w:rPr>
                <w:sz w:val="18"/>
                <w:szCs w:val="18"/>
              </w:rPr>
              <w:t>Managed for all Medallion layers</w:t>
            </w:r>
          </w:p>
        </w:tc>
        <w:tc>
          <w:tcPr>
            <w:tcW w:w="4200" w:type="dxa"/>
            <w:shd w:val="clear" w:color="auto" w:fill="EEF2F8"/>
            <w:tcMar>
              <w:top w:w="70" w:type="dxa"/>
              <w:left w:w="110" w:type="dxa"/>
              <w:bottom w:w="70" w:type="dxa"/>
              <w:right w:w="110" w:type="dxa"/>
            </w:tcMar>
          </w:tcPr>
          <w:p w:rsidR="00E56AC5" w:rsidRDefault="00C573F0">
            <w:r>
              <w:rPr>
                <w:sz w:val="18"/>
                <w:szCs w:val="18"/>
              </w:rPr>
              <w:t>Lakehouse owns lifecycle of rebuildable derived data</w:t>
            </w:r>
          </w:p>
        </w:tc>
      </w:tr>
      <w:tr w:rsidR="00E56AC5">
        <w:tblPrEx>
          <w:tblCellMar>
            <w:top w:w="0" w:type="dxa"/>
            <w:bottom w:w="0" w:type="dxa"/>
          </w:tblCellMar>
        </w:tblPrEx>
        <w:tc>
          <w:tcPr>
            <w:tcW w:w="2680" w:type="dxa"/>
            <w:shd w:val="clear" w:color="auto" w:fill="FFFFFF"/>
            <w:tcMar>
              <w:top w:w="70" w:type="dxa"/>
              <w:left w:w="110" w:type="dxa"/>
              <w:bottom w:w="70" w:type="dxa"/>
              <w:right w:w="110" w:type="dxa"/>
            </w:tcMar>
          </w:tcPr>
          <w:p w:rsidR="00E56AC5" w:rsidRDefault="00C573F0">
            <w:r>
              <w:rPr>
                <w:b/>
                <w:bCs/>
                <w:sz w:val="18"/>
                <w:szCs w:val="18"/>
              </w:rPr>
              <w:t>Silver write</w:t>
            </w:r>
          </w:p>
        </w:tc>
        <w:tc>
          <w:tcPr>
            <w:tcW w:w="3200" w:type="dxa"/>
            <w:shd w:val="clear" w:color="auto" w:fill="FFFFFF"/>
            <w:tcMar>
              <w:top w:w="70" w:type="dxa"/>
              <w:left w:w="110" w:type="dxa"/>
              <w:bottom w:w="70" w:type="dxa"/>
              <w:right w:w="110" w:type="dxa"/>
            </w:tcMar>
          </w:tcPr>
          <w:p w:rsidR="00E56AC5" w:rsidRDefault="00C573F0">
            <w:r>
              <w:rPr>
                <w:sz w:val="18"/>
                <w:szCs w:val="18"/>
              </w:rPr>
              <w:t>replaceWhere on txn_date</w:t>
            </w:r>
          </w:p>
        </w:tc>
        <w:tc>
          <w:tcPr>
            <w:tcW w:w="4200" w:type="dxa"/>
            <w:shd w:val="clear" w:color="auto" w:fill="FFFFFF"/>
            <w:tcMar>
              <w:top w:w="70" w:type="dxa"/>
              <w:left w:w="110" w:type="dxa"/>
              <w:bottom w:w="70" w:type="dxa"/>
              <w:right w:w="110" w:type="dxa"/>
            </w:tcMar>
          </w:tcPr>
          <w:p w:rsidR="00E56AC5" w:rsidRDefault="00C573F0">
            <w:r>
              <w:rPr>
                <w:sz w:val="18"/>
                <w:szCs w:val="18"/>
              </w:rPr>
              <w:t>Idempotent reruns after failure</w:t>
            </w:r>
          </w:p>
        </w:tc>
      </w:tr>
      <w:tr w:rsidR="00E56AC5">
        <w:tblPrEx>
          <w:tblCellMar>
            <w:top w:w="0" w:type="dxa"/>
            <w:bottom w:w="0" w:type="dxa"/>
          </w:tblCellMar>
        </w:tblPrEx>
        <w:tc>
          <w:tcPr>
            <w:tcW w:w="2680" w:type="dxa"/>
            <w:shd w:val="clear" w:color="auto" w:fill="EEF2F8"/>
            <w:tcMar>
              <w:top w:w="70" w:type="dxa"/>
              <w:left w:w="110" w:type="dxa"/>
              <w:bottom w:w="70" w:type="dxa"/>
              <w:right w:w="110" w:type="dxa"/>
            </w:tcMar>
          </w:tcPr>
          <w:p w:rsidR="00E56AC5" w:rsidRDefault="00C573F0">
            <w:r>
              <w:rPr>
                <w:b/>
                <w:bCs/>
                <w:sz w:val="18"/>
                <w:szCs w:val="18"/>
              </w:rPr>
              <w:t>Consistency</w:t>
            </w:r>
          </w:p>
        </w:tc>
        <w:tc>
          <w:tcPr>
            <w:tcW w:w="3200" w:type="dxa"/>
            <w:shd w:val="clear" w:color="auto" w:fill="EEF2F8"/>
            <w:tcMar>
              <w:top w:w="70" w:type="dxa"/>
              <w:left w:w="110" w:type="dxa"/>
              <w:bottom w:w="70" w:type="dxa"/>
              <w:right w:w="110" w:type="dxa"/>
            </w:tcMar>
          </w:tcPr>
          <w:p w:rsidR="00E56AC5" w:rsidRDefault="00C573F0">
            <w:r>
              <w:rPr>
                <w:sz w:val="18"/>
                <w:szCs w:val="18"/>
              </w:rPr>
              <w:t>MERGE with modified-timestamp guard</w:t>
            </w:r>
          </w:p>
        </w:tc>
        <w:tc>
          <w:tcPr>
            <w:tcW w:w="4200" w:type="dxa"/>
            <w:shd w:val="clear" w:color="auto" w:fill="EEF2F8"/>
            <w:tcMar>
              <w:top w:w="70" w:type="dxa"/>
              <w:left w:w="110" w:type="dxa"/>
              <w:bottom w:w="70" w:type="dxa"/>
              <w:right w:w="110" w:type="dxa"/>
            </w:tcMar>
          </w:tcPr>
          <w:p w:rsidR="00E56AC5" w:rsidRDefault="00C573F0">
            <w:r>
              <w:rPr>
                <w:sz w:val="18"/>
                <w:szCs w:val="18"/>
              </w:rPr>
              <w:t>Late corrections without out-of-order overwrite</w:t>
            </w:r>
          </w:p>
        </w:tc>
      </w:tr>
      <w:tr w:rsidR="00E56AC5">
        <w:tblPrEx>
          <w:tblCellMar>
            <w:top w:w="0" w:type="dxa"/>
            <w:bottom w:w="0" w:type="dxa"/>
          </w:tblCellMar>
        </w:tblPrEx>
        <w:tc>
          <w:tcPr>
            <w:tcW w:w="2680" w:type="dxa"/>
            <w:shd w:val="clear" w:color="auto" w:fill="FFFFFF"/>
            <w:tcMar>
              <w:top w:w="70" w:type="dxa"/>
              <w:left w:w="110" w:type="dxa"/>
              <w:bottom w:w="70" w:type="dxa"/>
              <w:right w:w="110" w:type="dxa"/>
            </w:tcMar>
          </w:tcPr>
          <w:p w:rsidR="00E56AC5" w:rsidRDefault="00C573F0">
            <w:r>
              <w:rPr>
                <w:b/>
                <w:bCs/>
                <w:sz w:val="18"/>
                <w:szCs w:val="18"/>
              </w:rPr>
              <w:t>Optimization</w:t>
            </w:r>
          </w:p>
        </w:tc>
        <w:tc>
          <w:tcPr>
            <w:tcW w:w="3200" w:type="dxa"/>
            <w:shd w:val="clear" w:color="auto" w:fill="FFFFFF"/>
            <w:tcMar>
              <w:top w:w="70" w:type="dxa"/>
              <w:left w:w="110" w:type="dxa"/>
              <w:bottom w:w="70" w:type="dxa"/>
              <w:right w:w="110" w:type="dxa"/>
            </w:tcMar>
          </w:tcPr>
          <w:p w:rsidR="00E56AC5" w:rsidRDefault="00C573F0">
            <w:r>
              <w:rPr>
                <w:sz w:val="18"/>
                <w:szCs w:val="18"/>
              </w:rPr>
              <w:t>OPTIMIZE ZORDER (store_id, product_id) + V-Order on gold</w:t>
            </w:r>
          </w:p>
        </w:tc>
        <w:tc>
          <w:tcPr>
            <w:tcW w:w="4200" w:type="dxa"/>
            <w:shd w:val="clear" w:color="auto" w:fill="FFFFFF"/>
            <w:tcMar>
              <w:top w:w="70" w:type="dxa"/>
              <w:left w:w="110" w:type="dxa"/>
              <w:bottom w:w="70" w:type="dxa"/>
              <w:right w:w="110" w:type="dxa"/>
            </w:tcMar>
          </w:tcPr>
          <w:p w:rsidR="00E56AC5" w:rsidRDefault="00C573F0">
            <w:r>
              <w:rPr>
                <w:sz w:val="18"/>
                <w:szCs w:val="18"/>
              </w:rPr>
              <w:t>Matches the dominant WHERE-clause columns</w:t>
            </w:r>
          </w:p>
        </w:tc>
      </w:tr>
      <w:tr w:rsidR="00E56AC5">
        <w:tblPrEx>
          <w:tblCellMar>
            <w:top w:w="0" w:type="dxa"/>
            <w:bottom w:w="0" w:type="dxa"/>
          </w:tblCellMar>
        </w:tblPrEx>
        <w:tc>
          <w:tcPr>
            <w:tcW w:w="2680" w:type="dxa"/>
            <w:shd w:val="clear" w:color="auto" w:fill="EEF2F8"/>
            <w:tcMar>
              <w:top w:w="70" w:type="dxa"/>
              <w:left w:w="110" w:type="dxa"/>
              <w:bottom w:w="70" w:type="dxa"/>
              <w:right w:w="110" w:type="dxa"/>
            </w:tcMar>
          </w:tcPr>
          <w:p w:rsidR="00E56AC5" w:rsidRDefault="00C573F0">
            <w:r>
              <w:rPr>
                <w:b/>
                <w:bCs/>
                <w:sz w:val="18"/>
                <w:szCs w:val="18"/>
              </w:rPr>
              <w:t>Retention</w:t>
            </w:r>
          </w:p>
        </w:tc>
        <w:tc>
          <w:tcPr>
            <w:tcW w:w="3200" w:type="dxa"/>
            <w:shd w:val="clear" w:color="auto" w:fill="EEF2F8"/>
            <w:tcMar>
              <w:top w:w="70" w:type="dxa"/>
              <w:left w:w="110" w:type="dxa"/>
              <w:bottom w:w="70" w:type="dxa"/>
              <w:right w:w="110" w:type="dxa"/>
            </w:tcMar>
          </w:tcPr>
          <w:p w:rsidR="00E56AC5" w:rsidRDefault="00C573F0">
            <w:r>
              <w:rPr>
                <w:sz w:val="18"/>
                <w:szCs w:val="18"/>
              </w:rPr>
              <w:t>VACUUM RETAIN 168 HOURS, weekly</w:t>
            </w:r>
          </w:p>
        </w:tc>
        <w:tc>
          <w:tcPr>
            <w:tcW w:w="4200" w:type="dxa"/>
            <w:shd w:val="clear" w:color="auto" w:fill="EEF2F8"/>
            <w:tcMar>
              <w:top w:w="70" w:type="dxa"/>
              <w:left w:w="110" w:type="dxa"/>
              <w:bottom w:w="70" w:type="dxa"/>
              <w:right w:w="110" w:type="dxa"/>
            </w:tcMar>
          </w:tcPr>
          <w:p w:rsidR="00E56AC5" w:rsidRDefault="00C573F0">
            <w:r>
              <w:rPr>
                <w:sz w:val="18"/>
                <w:szCs w:val="18"/>
              </w:rPr>
              <w:t>Delta-safe minimum; bounds storage growth</w:t>
            </w:r>
          </w:p>
        </w:tc>
      </w:tr>
      <w:tr w:rsidR="00E56AC5">
        <w:tblPrEx>
          <w:tblCellMar>
            <w:top w:w="0" w:type="dxa"/>
            <w:bottom w:w="0" w:type="dxa"/>
          </w:tblCellMar>
        </w:tblPrEx>
        <w:tc>
          <w:tcPr>
            <w:tcW w:w="2680" w:type="dxa"/>
            <w:shd w:val="clear" w:color="auto" w:fill="FFFFFF"/>
            <w:tcMar>
              <w:top w:w="70" w:type="dxa"/>
              <w:left w:w="110" w:type="dxa"/>
              <w:bottom w:w="70" w:type="dxa"/>
              <w:right w:w="110" w:type="dxa"/>
            </w:tcMar>
          </w:tcPr>
          <w:p w:rsidR="00E56AC5" w:rsidRDefault="00C573F0">
            <w:r>
              <w:rPr>
                <w:b/>
                <w:bCs/>
                <w:sz w:val="18"/>
                <w:szCs w:val="18"/>
              </w:rPr>
              <w:t>Audit horizon</w:t>
            </w:r>
          </w:p>
        </w:tc>
        <w:tc>
          <w:tcPr>
            <w:tcW w:w="3200" w:type="dxa"/>
            <w:shd w:val="clear" w:color="auto" w:fill="FFFFFF"/>
            <w:tcMar>
              <w:top w:w="70" w:type="dxa"/>
              <w:left w:w="110" w:type="dxa"/>
              <w:bottom w:w="70" w:type="dxa"/>
              <w:right w:w="110" w:type="dxa"/>
            </w:tcMar>
          </w:tcPr>
          <w:p w:rsidR="00E56AC5" w:rsidRDefault="00C573F0">
            <w:r>
              <w:rPr>
                <w:sz w:val="18"/>
                <w:szCs w:val="18"/>
              </w:rPr>
              <w:t>Immutable bronze + month-end gold snapshots</w:t>
            </w:r>
          </w:p>
        </w:tc>
        <w:tc>
          <w:tcPr>
            <w:tcW w:w="4200" w:type="dxa"/>
            <w:shd w:val="clear" w:color="auto" w:fill="FFFFFF"/>
            <w:tcMar>
              <w:top w:w="70" w:type="dxa"/>
              <w:left w:w="110" w:type="dxa"/>
              <w:bottom w:w="70" w:type="dxa"/>
              <w:right w:w="110" w:type="dxa"/>
            </w:tcMar>
          </w:tcPr>
          <w:p w:rsidR="00E56AC5" w:rsidRDefault="00C573F0">
            <w:r>
              <w:rPr>
                <w:sz w:val="18"/>
                <w:szCs w:val="18"/>
              </w:rPr>
              <w:t>Seven-year requirement exceeds time-travel window</w:t>
            </w:r>
          </w:p>
        </w:tc>
      </w:tr>
      <w:tr w:rsidR="00E56AC5">
        <w:tblPrEx>
          <w:tblCellMar>
            <w:top w:w="0" w:type="dxa"/>
            <w:bottom w:w="0" w:type="dxa"/>
          </w:tblCellMar>
        </w:tblPrEx>
        <w:tc>
          <w:tcPr>
            <w:tcW w:w="2680" w:type="dxa"/>
            <w:shd w:val="clear" w:color="auto" w:fill="EEF2F8"/>
            <w:tcMar>
              <w:top w:w="70" w:type="dxa"/>
              <w:left w:w="110" w:type="dxa"/>
              <w:bottom w:w="70" w:type="dxa"/>
              <w:right w:w="110" w:type="dxa"/>
            </w:tcMar>
          </w:tcPr>
          <w:p w:rsidR="00E56AC5" w:rsidRDefault="00C573F0">
            <w:r>
              <w:rPr>
                <w:b/>
                <w:bCs/>
                <w:sz w:val="18"/>
                <w:szCs w:val="18"/>
              </w:rPr>
              <w:t>Warehouse</w:t>
            </w:r>
          </w:p>
        </w:tc>
        <w:tc>
          <w:tcPr>
            <w:tcW w:w="3200" w:type="dxa"/>
            <w:shd w:val="clear" w:color="auto" w:fill="EEF2F8"/>
            <w:tcMar>
              <w:top w:w="70" w:type="dxa"/>
              <w:left w:w="110" w:type="dxa"/>
              <w:bottom w:w="70" w:type="dxa"/>
              <w:right w:w="110" w:type="dxa"/>
            </w:tcMar>
          </w:tcPr>
          <w:p w:rsidR="00E56AC5" w:rsidRDefault="00C573F0">
            <w:r>
              <w:rPr>
                <w:sz w:val="18"/>
                <w:szCs w:val="18"/>
              </w:rPr>
              <w:t>Kimball star, NOT ENFORCED keys, Type 2 dimensions</w:t>
            </w:r>
          </w:p>
        </w:tc>
        <w:tc>
          <w:tcPr>
            <w:tcW w:w="4200" w:type="dxa"/>
            <w:shd w:val="clear" w:color="auto" w:fill="EEF2F8"/>
            <w:tcMar>
              <w:top w:w="70" w:type="dxa"/>
              <w:left w:w="110" w:type="dxa"/>
              <w:bottom w:w="70" w:type="dxa"/>
              <w:right w:w="110" w:type="dxa"/>
            </w:tcMar>
          </w:tcPr>
          <w:p w:rsidR="00E56AC5" w:rsidRDefault="00C573F0">
            <w:r>
              <w:rPr>
                <w:sz w:val="18"/>
                <w:szCs w:val="18"/>
              </w:rPr>
              <w:t>Optimizer and Power BI benefit; history preserved</w:t>
            </w:r>
          </w:p>
        </w:tc>
      </w:tr>
    </w:tbl>
    <w:p w:rsidR="00E56AC5" w:rsidRDefault="00C573F0">
      <w:pPr>
        <w:spacing w:before="60" w:after="160"/>
      </w:pPr>
      <w:r>
        <w:rPr>
          <w:i/>
          <w:iCs/>
          <w:color w:val="6B7480"/>
          <w:sz w:val="17"/>
          <w:szCs w:val="17"/>
        </w:rPr>
        <w:t>Table 3 — Consolidated decision register for review board sign-off.</w:t>
      </w:r>
    </w:p>
    <w:sectPr w:rsidR="00E56AC5">
      <w:headerReference w:type="default" r:id="rId7"/>
      <w:footerReference w:type="default" r:id="rId8"/>
      <w:pgSz w:w="12240" w:h="15840"/>
      <w:pgMar w:top="1080" w:right="1080" w:bottom="1080" w:left="1080" w:header="620" w:footer="6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73F0" w:rsidRDefault="00C573F0">
      <w:r>
        <w:separator/>
      </w:r>
    </w:p>
  </w:endnote>
  <w:endnote w:type="continuationSeparator" w:id="0">
    <w:p w:rsidR="00C573F0" w:rsidRDefault="00C573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AC5" w:rsidRDefault="00C573F0">
    <w:pPr>
      <w:tabs>
        <w:tab w:val="right" w:pos="10080"/>
      </w:tabs>
    </w:pPr>
    <w:r>
      <w:rPr>
        <w:color w:val="6B7480"/>
        <w:sz w:val="16"/>
        <w:szCs w:val="16"/>
      </w:rPr>
      <w:t>Prepared by Dennis Lam  ·  Version 1.0  ·  21 August 2026</w:t>
    </w:r>
    <w:r>
      <w:rPr>
        <w:color w:val="6B7480"/>
        <w:sz w:val="16"/>
        <w:szCs w:val="16"/>
      </w:rPr>
      <w:tab/>
      <w:t xml:space="preserve">Page </w:t>
    </w:r>
    <w:r>
      <w:rPr>
        <w:color w:val="6B7480"/>
        <w:sz w:val="16"/>
        <w:szCs w:val="16"/>
      </w:rPr>
      <w:fldChar w:fldCharType="begin"/>
    </w:r>
    <w:r>
      <w:rPr>
        <w:color w:val="6B7480"/>
        <w:sz w:val="16"/>
        <w:szCs w:val="16"/>
      </w:rPr>
      <w:instrText>PAGE</w:instrText>
    </w:r>
    <w:r w:rsidR="00A568B2">
      <w:rPr>
        <w:color w:val="6B7480"/>
        <w:sz w:val="16"/>
        <w:szCs w:val="16"/>
      </w:rPr>
      <w:fldChar w:fldCharType="separate"/>
    </w:r>
    <w:r w:rsidR="00A568B2">
      <w:rPr>
        <w:noProof/>
        <w:color w:val="6B7480"/>
        <w:sz w:val="16"/>
        <w:szCs w:val="16"/>
      </w:rPr>
      <w:t>2</w:t>
    </w:r>
    <w:r>
      <w:rPr>
        <w:color w:val="6B7480"/>
        <w:sz w:val="16"/>
        <w:szCs w:val="16"/>
      </w:rPr>
      <w:fldChar w:fldCharType="end"/>
    </w:r>
    <w:r>
      <w:rPr>
        <w:color w:val="6B7480"/>
        <w:sz w:val="16"/>
        <w:szCs w:val="16"/>
      </w:rPr>
      <w:t xml:space="preserve"> of </w:t>
    </w:r>
    <w:r>
      <w:rPr>
        <w:color w:val="6B7480"/>
        <w:sz w:val="16"/>
        <w:szCs w:val="16"/>
      </w:rPr>
      <w:fldChar w:fldCharType="begin"/>
    </w:r>
    <w:r>
      <w:rPr>
        <w:color w:val="6B7480"/>
        <w:sz w:val="16"/>
        <w:szCs w:val="16"/>
      </w:rPr>
      <w:instrText>NUMPAGES</w:instrText>
    </w:r>
    <w:r w:rsidR="00A568B2">
      <w:rPr>
        <w:color w:val="6B7480"/>
        <w:sz w:val="16"/>
        <w:szCs w:val="16"/>
      </w:rPr>
      <w:fldChar w:fldCharType="separate"/>
    </w:r>
    <w:r w:rsidR="00A568B2">
      <w:rPr>
        <w:noProof/>
        <w:color w:val="6B7480"/>
        <w:sz w:val="16"/>
        <w:szCs w:val="16"/>
      </w:rPr>
      <w:t>8</w:t>
    </w:r>
    <w:r>
      <w:rPr>
        <w:color w:val="6B74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73F0" w:rsidRDefault="00C573F0">
      <w:r>
        <w:separator/>
      </w:r>
    </w:p>
  </w:footnote>
  <w:footnote w:type="continuationSeparator" w:id="0">
    <w:p w:rsidR="00C573F0" w:rsidRDefault="00C573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AC5" w:rsidRDefault="00C573F0">
    <w:pPr>
      <w:pBdr>
        <w:bottom w:val="single" w:sz="4" w:space="4" w:color="C6CEDA"/>
      </w:pBdr>
      <w:tabs>
        <w:tab w:val="right" w:pos="10080"/>
      </w:tabs>
    </w:pPr>
    <w:r>
      <w:rPr>
        <w:color w:val="6B7480"/>
        <w:sz w:val="16"/>
        <w:szCs w:val="16"/>
      </w:rPr>
      <w:t>Data Storage &amp; Processing Architecture</w:t>
    </w:r>
    <w:r>
      <w:rPr>
        <w:color w:val="6B7480"/>
        <w:sz w:val="16"/>
        <w:szCs w:val="16"/>
      </w:rPr>
      <w:tab/>
      <w:t>Retail POS Analytics Platform — Microsoft Fabric</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A5151F"/>
    <w:multiLevelType w:val="hybridMultilevel"/>
    <w:tmpl w:val="D020D4C2"/>
    <w:lvl w:ilvl="0" w:tplc="9FD06400">
      <w:start w:val="1"/>
      <w:numFmt w:val="bullet"/>
      <w:lvlText w:val="●"/>
      <w:lvlJc w:val="left"/>
      <w:pPr>
        <w:ind w:left="720" w:hanging="360"/>
      </w:pPr>
    </w:lvl>
    <w:lvl w:ilvl="1" w:tplc="BE90500A">
      <w:start w:val="1"/>
      <w:numFmt w:val="bullet"/>
      <w:lvlText w:val="○"/>
      <w:lvlJc w:val="left"/>
      <w:pPr>
        <w:ind w:left="1440" w:hanging="360"/>
      </w:pPr>
    </w:lvl>
    <w:lvl w:ilvl="2" w:tplc="FA2615E8">
      <w:start w:val="1"/>
      <w:numFmt w:val="bullet"/>
      <w:lvlText w:val="■"/>
      <w:lvlJc w:val="left"/>
      <w:pPr>
        <w:ind w:left="2160" w:hanging="360"/>
      </w:pPr>
    </w:lvl>
    <w:lvl w:ilvl="3" w:tplc="C8B0BC72">
      <w:start w:val="1"/>
      <w:numFmt w:val="bullet"/>
      <w:lvlText w:val="●"/>
      <w:lvlJc w:val="left"/>
      <w:pPr>
        <w:ind w:left="2880" w:hanging="360"/>
      </w:pPr>
    </w:lvl>
    <w:lvl w:ilvl="4" w:tplc="F54A9C8C">
      <w:start w:val="1"/>
      <w:numFmt w:val="bullet"/>
      <w:lvlText w:val="○"/>
      <w:lvlJc w:val="left"/>
      <w:pPr>
        <w:ind w:left="3600" w:hanging="360"/>
      </w:pPr>
    </w:lvl>
    <w:lvl w:ilvl="5" w:tplc="27AAEA14">
      <w:start w:val="1"/>
      <w:numFmt w:val="bullet"/>
      <w:lvlText w:val="■"/>
      <w:lvlJc w:val="left"/>
      <w:pPr>
        <w:ind w:left="4320" w:hanging="360"/>
      </w:pPr>
    </w:lvl>
    <w:lvl w:ilvl="6" w:tplc="9B58EE98">
      <w:start w:val="1"/>
      <w:numFmt w:val="bullet"/>
      <w:lvlText w:val="●"/>
      <w:lvlJc w:val="left"/>
      <w:pPr>
        <w:ind w:left="5040" w:hanging="360"/>
      </w:pPr>
    </w:lvl>
    <w:lvl w:ilvl="7" w:tplc="E6ECA8C2">
      <w:start w:val="1"/>
      <w:numFmt w:val="bullet"/>
      <w:lvlText w:val="●"/>
      <w:lvlJc w:val="left"/>
      <w:pPr>
        <w:ind w:left="5760" w:hanging="360"/>
      </w:pPr>
    </w:lvl>
    <w:lvl w:ilvl="8" w:tplc="959E5A7E">
      <w:start w:val="1"/>
      <w:numFmt w:val="bullet"/>
      <w:lvlText w:val="●"/>
      <w:lvlJc w:val="left"/>
      <w:pPr>
        <w:ind w:left="6480" w:hanging="360"/>
      </w:pPr>
    </w:lvl>
  </w:abstractNum>
  <w:abstractNum w:abstractNumId="1" w15:restartNumberingAfterBreak="0">
    <w:nsid w:val="7A54467F"/>
    <w:multiLevelType w:val="hybridMultilevel"/>
    <w:tmpl w:val="8632B1F0"/>
    <w:lvl w:ilvl="0" w:tplc="B600AFB8">
      <w:start w:val="1"/>
      <w:numFmt w:val="bullet"/>
      <w:lvlText w:val="•"/>
      <w:lvlJc w:val="left"/>
    </w:lvl>
    <w:lvl w:ilvl="1" w:tplc="D0840A36">
      <w:numFmt w:val="decimal"/>
      <w:lvlText w:val=""/>
      <w:lvlJc w:val="left"/>
    </w:lvl>
    <w:lvl w:ilvl="2" w:tplc="28C6B1E4">
      <w:numFmt w:val="decimal"/>
      <w:lvlText w:val=""/>
      <w:lvlJc w:val="left"/>
    </w:lvl>
    <w:lvl w:ilvl="3" w:tplc="11DA3758">
      <w:numFmt w:val="decimal"/>
      <w:lvlText w:val=""/>
      <w:lvlJc w:val="left"/>
    </w:lvl>
    <w:lvl w:ilvl="4" w:tplc="BDD878C0">
      <w:numFmt w:val="decimal"/>
      <w:lvlText w:val=""/>
      <w:lvlJc w:val="left"/>
    </w:lvl>
    <w:lvl w:ilvl="5" w:tplc="D412433A">
      <w:numFmt w:val="decimal"/>
      <w:lvlText w:val=""/>
      <w:lvlJc w:val="left"/>
    </w:lvl>
    <w:lvl w:ilvl="6" w:tplc="6344934C">
      <w:numFmt w:val="decimal"/>
      <w:lvlText w:val=""/>
      <w:lvlJc w:val="left"/>
    </w:lvl>
    <w:lvl w:ilvl="7" w:tplc="3154C04C">
      <w:numFmt w:val="decimal"/>
      <w:lvlText w:val=""/>
      <w:lvlJc w:val="left"/>
    </w:lvl>
    <w:lvl w:ilvl="8" w:tplc="9CBEC0EE">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6AC5"/>
    <w:rsid w:val="00A568B2"/>
    <w:rsid w:val="00C573F0"/>
    <w:rsid w:val="00E56AC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DE4F5"/>
  <w15:docId w15:val="{C897116A-0359-4BBB-8C45-0F5BC815E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02124"/>
        <w:sz w:val="21"/>
        <w:szCs w:val="21"/>
        <w:lang w:val="en-MY" w:eastAsia="en-MY"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style>
  <w:style w:type="paragraph" w:styleId="Heading2">
    <w:name w:val="heading 2"/>
    <w:qFormat/>
    <w:pPr>
      <w:outlineLvl w:val="1"/>
    </w:p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3171</Words>
  <Characters>18079</Characters>
  <Application>Microsoft Office Word</Application>
  <DocSecurity>0</DocSecurity>
  <Lines>150</Lines>
  <Paragraphs>42</Paragraphs>
  <ScaleCrop>false</ScaleCrop>
  <Company/>
  <LinksUpToDate>false</LinksUpToDate>
  <CharactersWithSpaces>21208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Storage &amp; Processing Architecture — Retail POS Analytics Platform</dc:title>
  <dc:creator>Dennis Lam</dc:creator>
  <dc:description>Fabric Lakehouse and Warehouse architecture submission for the data architecture review board</dc:description>
  <cp:lastModifiedBy>Dennis</cp:lastModifiedBy>
  <cp:revision>2</cp:revision>
  <dcterms:created xsi:type="dcterms:W3CDTF">2026-08-21T08:21:00Z</dcterms:created>
  <dcterms:modified xsi:type="dcterms:W3CDTF">2026-08-21T08:25:00Z</dcterms:modified>
</cp:coreProperties>
</file>