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2A44"/>
          <w:sz w:val="40"/>
          <w:szCs w:val="40"/>
        </w:rPr>
        <w:t xml:space="preserve">Enterprise Deployment and Monitoring Architecture</w:t>
      </w:r>
    </w:p>
    <w:p>
      <w:pPr>
        <w:spacing w:after="40"/>
      </w:pPr>
      <w:r>
        <w:rPr>
          <w:rFonts w:ascii="Calibri" w:cs="Calibri" w:eastAsia="Calibri" w:hAnsi="Calibri"/>
          <w:color w:val="2F4A6E"/>
          <w:sz w:val="24"/>
          <w:szCs w:val="24"/>
        </w:rPr>
        <w:t xml:space="preserve">National Retail Corp GenAI Platform: AskRetail, StockSense, HRHelper</w:t>
      </w:r>
    </w:p>
    <w:p>
      <w:pPr>
        <w:spacing w:after="200"/>
      </w:pPr>
      <w:r>
        <w:rPr>
          <w:rFonts w:ascii="Calibri" w:cs="Calibri" w:eastAsia="Calibri" w:hAnsi="Calibri"/>
          <w:color w:val="5B6575"/>
          <w:sz w:val="19"/>
          <w:szCs w:val="19"/>
        </w:rPr>
        <w:t xml:space="preserve">Prepared by Dennis · LC 3 Project Module · October 2026</w:t>
      </w:r>
    </w:p>
    <w:p>
      <w:pPr>
        <w:pStyle w:val="Heading2"/>
        <w:keepNext/>
        <w:spacing w:after="70" w:before="170"/>
      </w:pPr>
      <w:r>
        <w:rPr>
          <w:rFonts w:ascii="Calibri" w:cs="Calibri" w:eastAsia="Calibri" w:hAnsi="Calibri"/>
          <w:b/>
          <w:bCs/>
          <w:color w:val="1E2A44"/>
          <w:sz w:val="23"/>
          <w:szCs w:val="23"/>
        </w:rPr>
        <w:t xml:space="preserve">Executive Summary</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My top design choice is one shared GenAIOps pipeline and Azure API Management AI gateway that apply risk-tiered controls per app, instead of three separate platforms. Sharing build, versioning and gateway policies removes duplicated infrastructure and enforces per-app token quotas for CFO showback, while switching traffic at the gateway contains operational risk by keeping rollback within 3–5 minutes. Automated numeric gates let routine releases ship twice weekly, with human approvals and longer observation added only where risk demands it, chiefly for HRHelper.</w:t>
      </w:r>
    </w:p>
    <w:p>
      <w:pPr>
        <w:pStyle w:val="Heading1"/>
        <w:keepNext/>
        <w:pBdr>
          <w:bottom w:val="single" w:color="C9CED8" w:sz="6" w:space="4"/>
        </w:pBdr>
        <w:spacing w:after="110" w:before="240"/>
      </w:pPr>
      <w:r>
        <w:rPr>
          <w:rFonts w:ascii="Calibri" w:cs="Calibri" w:eastAsia="Calibri" w:hAnsi="Calibri"/>
          <w:b/>
          <w:bCs/>
          <w:color w:val="1E2A44"/>
          <w:sz w:val="28"/>
          <w:szCs w:val="28"/>
        </w:rPr>
        <w:t xml:space="preserve">1. Scenario and Risk Classification</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Design choices trace to the NRC scenario brief, which governs wherever the supporting templates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5"/>
        <w:gridCol w:w="1685"/>
        <w:gridCol w:w="3245"/>
        <w:gridCol w:w="1685"/>
        <w:gridCol w:w="1310"/>
      </w:tblGrid>
      <w:tr>
        <w:trPr>
          <w:cantSplit/>
          <w:tblHeader/>
        </w:trPr>
        <w:tc>
          <w:tcPr>
            <w:tcW w:type="dxa" w:w="1435"/>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App</w:t>
            </w:r>
          </w:p>
        </w:tc>
        <w:tc>
          <w:tcPr>
            <w:tcW w:type="dxa" w:w="1685"/>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Risk class</w:t>
            </w:r>
          </w:p>
        </w:tc>
        <w:tc>
          <w:tcPr>
            <w:tcW w:type="dxa" w:w="3245"/>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Driving constraints</w:t>
            </w:r>
          </w:p>
        </w:tc>
        <w:tc>
          <w:tcPr>
            <w:tcW w:type="dxa" w:w="1685"/>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Orchestrator</w:t>
            </w:r>
          </w:p>
        </w:tc>
        <w:tc>
          <w:tcPr>
            <w:tcW w:type="dxa" w:w="1310"/>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Rollout</w:t>
            </w:r>
          </w:p>
        </w:tc>
      </w:tr>
      <w:tr>
        <w:trPr>
          <w:cantSplit/>
        </w:trPr>
        <w:tc>
          <w:tcPr>
            <w:tcW w:type="dxa" w:w="143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AskRetail</w:t>
            </w:r>
          </w:p>
        </w:tc>
        <w:tc>
          <w:tcPr>
            <w:tcW w:type="dxa" w:w="168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Tier 1, customer-facing</w:t>
            </w:r>
          </w:p>
        </w:tc>
        <w:tc>
          <w:tcPr>
            <w:tcW w:type="dxa" w:w="324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15× BFCM burst; p99 ≤ 2.5 s; 99.95%; ≤ $0.04/conversation</w:t>
            </w:r>
          </w:p>
        </w:tc>
        <w:tc>
          <w:tcPr>
            <w:tcW w:type="dxa" w:w="168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AKS</w:t>
            </w:r>
          </w:p>
        </w:tc>
        <w:tc>
          <w:tcPr>
            <w:tcW w:type="dxa" w:w="1310"/>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Blue/green</w:t>
            </w:r>
          </w:p>
        </w:tc>
      </w:tr>
      <w:tr>
        <w:trPr>
          <w:cantSplit/>
        </w:trPr>
        <w:tc>
          <w:tcPr>
            <w:tcW w:type="dxa" w:w="1435"/>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StockSense</w:t>
            </w:r>
          </w:p>
        </w:tc>
        <w:tc>
          <w:tcPr>
            <w:tcW w:type="dxa" w:w="1685"/>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Tier 2, internal data</w:t>
            </w:r>
          </w:p>
        </w:tc>
        <w:tc>
          <w:tcPr>
            <w:tcW w:type="dxa" w:w="3245"/>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Morning batch done by 09:00; MAPE &lt; 8%; SOX lineage</w:t>
            </w:r>
          </w:p>
        </w:tc>
        <w:tc>
          <w:tcPr>
            <w:tcW w:type="dxa" w:w="1685"/>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Azure Container Apps (serverless)</w:t>
            </w:r>
          </w:p>
        </w:tc>
        <w:tc>
          <w:tcPr>
            <w:tcW w:type="dxa" w:w="1310"/>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Canary</w:t>
            </w:r>
          </w:p>
        </w:tc>
      </w:tr>
      <w:tr>
        <w:trPr>
          <w:cantSplit/>
        </w:trPr>
        <w:tc>
          <w:tcPr>
            <w:tcW w:type="dxa" w:w="143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HRHelper</w:t>
            </w:r>
          </w:p>
        </w:tc>
        <w:tc>
          <w:tcPr>
            <w:tcW w:type="dxa" w:w="168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Tier 1-S, internal sensitive</w:t>
            </w:r>
          </w:p>
        </w:tc>
        <w:tc>
          <w:tcPr>
            <w:tcW w:type="dxa" w:w="324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SSN, medical, harassment data; private network; immutable audit</w:t>
            </w:r>
          </w:p>
        </w:tc>
        <w:tc>
          <w:tcPr>
            <w:tcW w:type="dxa" w:w="168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Private AKS</w:t>
            </w:r>
          </w:p>
        </w:tc>
        <w:tc>
          <w:tcPr>
            <w:tcW w:type="dxa" w:w="1310"/>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Blue/green, extended</w:t>
            </w:r>
          </w:p>
        </w:tc>
      </w:tr>
    </w:tbl>
    <w:p>
      <w:pPr>
        <w:pStyle w:val="Heading1"/>
        <w:keepNext/>
        <w:pBdr>
          <w:bottom w:val="single" w:color="C9CED8" w:sz="6" w:space="4"/>
        </w:pBdr>
        <w:spacing w:after="110" w:before="240"/>
      </w:pPr>
      <w:r>
        <w:rPr>
          <w:rFonts w:ascii="Calibri" w:cs="Calibri" w:eastAsia="Calibri" w:hAnsi="Calibri"/>
          <w:b/>
          <w:bCs/>
          <w:color w:val="1E2A44"/>
          <w:sz w:val="28"/>
          <w:szCs w:val="28"/>
        </w:rPr>
        <w:t xml:space="preserve">2. CI/CD Pipeline Architecture</w:t>
      </w:r>
    </w:p>
    <w:p>
      <w:pPr>
        <w:pStyle w:val="Heading2"/>
        <w:keepNext/>
        <w:spacing w:after="70" w:before="170"/>
      </w:pPr>
      <w:r>
        <w:rPr>
          <w:rFonts w:ascii="Calibri" w:cs="Calibri" w:eastAsia="Calibri" w:hAnsi="Calibri"/>
          <w:b/>
          <w:bCs/>
          <w:color w:val="1E2A44"/>
          <w:sz w:val="23"/>
          <w:szCs w:val="23"/>
        </w:rPr>
        <w:t xml:space="preserve">2.1 Stages and versioned assets (C1–C3, C5)</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One multi-stage YAML pipeline (Azure DevOps or GitHub Actions, OIDC to Azure, no stored secrets) serves all apps: build, model validation and packaging are shared; evaluation, promotion and rollout run in per-app lanes (Figure 1). All assets are immutable and versioned:</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Code, prompts and IaC</w:t>
      </w:r>
      <w:r>
        <w:rPr>
          <w:rFonts w:ascii="Calibri" w:cs="Calibri" w:eastAsia="Calibri" w:hAnsi="Calibri"/>
          <w:b w:val="false"/>
          <w:bCs w:val="false"/>
          <w:i w:val="false"/>
          <w:iCs w:val="false"/>
          <w:color w:val="1E2533"/>
          <w:sz w:val="21"/>
          <w:szCs w:val="21"/>
        </w:rPr>
        <w:t xml:space="preserve"> live in Git (prompts as JSON/YAML bundles, plus Bicep and APIM policies); main needs 2+ reviewers (Tier 1) or 1+ (Tier 2) and signed commits.</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Images</w:t>
      </w:r>
      <w:r>
        <w:rPr>
          <w:rFonts w:ascii="Calibri" w:cs="Calibri" w:eastAsia="Calibri" w:hAnsi="Calibri"/>
          <w:b w:val="false"/>
          <w:bCs w:val="false"/>
          <w:i w:val="false"/>
          <w:iCs w:val="false"/>
          <w:color w:val="1E2533"/>
          <w:sz w:val="21"/>
          <w:szCs w:val="21"/>
        </w:rPr>
        <w:t xml:space="preserve"> carry commit SHA and semantic version tags and deploy by digest.</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Models</w:t>
      </w:r>
      <w:r>
        <w:rPr>
          <w:rFonts w:ascii="Calibri" w:cs="Calibri" w:eastAsia="Calibri" w:hAnsi="Calibri"/>
          <w:b w:val="false"/>
          <w:bCs w:val="false"/>
          <w:i w:val="false"/>
          <w:iCs w:val="false"/>
          <w:color w:val="1E2533"/>
          <w:sz w:val="21"/>
          <w:szCs w:val="21"/>
        </w:rPr>
        <w:t xml:space="preserve"> are pinned in the Azure AI Foundry Model Catalog (e.g., gpt-4o-2026-01-15); Model Validation rejects “latest” references and checks prompt-to-model compatibility.</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Release bundles</w:t>
      </w:r>
      <w:r>
        <w:rPr>
          <w:rFonts w:ascii="Calibri" w:cs="Calibri" w:eastAsia="Calibri" w:hAnsi="Calibri"/>
          <w:b w:val="false"/>
          <w:bCs w:val="false"/>
          <w:i w:val="false"/>
          <w:iCs w:val="false"/>
          <w:color w:val="1E2533"/>
          <w:sz w:val="21"/>
          <w:szCs w:val="21"/>
        </w:rPr>
        <w:t xml:space="preserve"> (release-{app}-{version}.zip) hold image digest, prompt manifest, model reference, Bicep and evaluation report; the registry tracks the last-known-good bundle.</w:t>
      </w:r>
    </w:p>
    <w:p>
      <w:pPr>
        <w:pStyle w:val="Heading2"/>
        <w:keepNext/>
        <w:spacing w:after="70" w:before="170"/>
      </w:pPr>
      <w:r>
        <w:rPr>
          <w:rFonts w:ascii="Calibri" w:cs="Calibri" w:eastAsia="Calibri" w:hAnsi="Calibri"/>
          <w:b/>
          <w:bCs/>
          <w:color w:val="1E2A44"/>
          <w:sz w:val="23"/>
          <w:szCs w:val="23"/>
        </w:rPr>
        <w:t xml:space="preserve">2.2 Automated evaluation gates (C4)</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Any blocking failure rejects the release and notifies the PR author. Latency uses the brief’s p95 SLAs where the template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5"/>
        <w:gridCol w:w="2656"/>
        <w:gridCol w:w="2593"/>
        <w:gridCol w:w="2656"/>
      </w:tblGrid>
      <w:tr>
        <w:trPr>
          <w:cantSplit/>
          <w:tblHeader/>
        </w:trPr>
        <w:tc>
          <w:tcPr>
            <w:tcW w:type="dxa" w:w="1455"/>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Gate</w:t>
            </w:r>
          </w:p>
        </w:tc>
        <w:tc>
          <w:tcPr>
            <w:tcW w:type="dxa" w:w="2656"/>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AskRetail</w:t>
            </w:r>
          </w:p>
        </w:tc>
        <w:tc>
          <w:tcPr>
            <w:tcW w:type="dxa" w:w="2593"/>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StockSense</w:t>
            </w:r>
          </w:p>
        </w:tc>
        <w:tc>
          <w:tcPr>
            <w:tcW w:type="dxa" w:w="2656"/>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HRHelper</w:t>
            </w:r>
          </w:p>
        </w:tc>
      </w:tr>
      <w:tr>
        <w:trPr>
          <w:cantSplit/>
        </w:trPr>
        <w:tc>
          <w:tcPr>
            <w:tcW w:type="dxa" w:w="145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Quality</w:t>
            </w:r>
          </w:p>
        </w:tc>
        <w:tc>
          <w:tcPr>
            <w:tcW w:type="dxa" w:w="2656"/>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Groundedness ≥ 0.92; hallucination &lt; 1.5%</w:t>
            </w:r>
          </w:p>
        </w:tc>
        <w:tc>
          <w:tcPr>
            <w:tcW w:type="dxa" w:w="259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MAPE &lt; 8% (30-day holdout)</w:t>
            </w:r>
          </w:p>
        </w:tc>
        <w:tc>
          <w:tcPr>
            <w:tcW w:type="dxa" w:w="2656"/>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Groundedness ≥ 0.90; hallucination &lt; 2.0%; escalation accuracy ≥ 95%</w:t>
            </w:r>
          </w:p>
        </w:tc>
      </w:tr>
      <w:tr>
        <w:trPr>
          <w:cantSplit/>
        </w:trPr>
        <w:tc>
          <w:tcPr>
            <w:tcW w:type="dxa" w:w="1455"/>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Latency</w:t>
            </w:r>
          </w:p>
        </w:tc>
        <w:tc>
          <w:tcPr>
            <w:tcW w:type="dxa" w:w="2656"/>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p50 ≤ 800 ms, p99 ≤ 2.5 s (500 users)</w:t>
            </w:r>
          </w:p>
        </w:tc>
        <w:tc>
          <w:tcPr>
            <w:tcW w:type="dxa" w:w="2593"/>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Ad-hoc p95 ≤ 8 s; 10,000-SKU batch ≤ 45 min</w:t>
            </w:r>
          </w:p>
        </w:tc>
        <w:tc>
          <w:tcPr>
            <w:tcW w:type="dxa" w:w="2656"/>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p95 ≤ 3.5 s, p99 ≤ 6 s</w:t>
            </w:r>
          </w:p>
        </w:tc>
      </w:tr>
      <w:tr>
        <w:trPr>
          <w:cantSplit/>
        </w:trPr>
        <w:tc>
          <w:tcPr>
            <w:tcW w:type="dxa" w:w="145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Tests</w:t>
            </w:r>
          </w:p>
        </w:tc>
        <w:tc>
          <w:tcPr>
            <w:tcW w:type="dxa" w:w="2656"/>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Unit ≥ 85%; integration 100%; errors &lt; 0.1%</w:t>
            </w:r>
          </w:p>
        </w:tc>
        <w:tc>
          <w:tcPr>
            <w:tcW w:type="dxa" w:w="259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Unit ≥ 70%; SAP/Synapse integration ≥ 95%; errors &lt; 1%</w:t>
            </w:r>
          </w:p>
        </w:tc>
        <w:tc>
          <w:tcPr>
            <w:tcW w:type="dxa" w:w="2656"/>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Unit ≥ 80%; integration 100%; errors &lt; 0.5%</w:t>
            </w:r>
          </w:p>
        </w:tc>
      </w:tr>
      <w:tr>
        <w:trPr>
          <w:cantSplit/>
        </w:trPr>
        <w:tc>
          <w:tcPr>
            <w:tcW w:type="dxa" w:w="1455"/>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Security, safety</w:t>
            </w:r>
          </w:p>
        </w:tc>
        <w:tc>
          <w:tcPr>
            <w:tcW w:type="dxa" w:w="2656"/>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0 Critical/High vulnerabilities; 0 hate/violence</w:t>
            </w:r>
          </w:p>
        </w:tc>
        <w:tc>
          <w:tcPr>
            <w:tcW w:type="dxa" w:w="2593"/>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0 Critical/High vulnerabilities</w:t>
            </w:r>
          </w:p>
        </w:tc>
        <w:tc>
          <w:tcPr>
            <w:tcW w:type="dxa" w:w="2656"/>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0 Critical/High; 0 safety violations; PII and WORM audit checks</w:t>
            </w:r>
          </w:p>
        </w:tc>
      </w:tr>
      <w:tr>
        <w:trPr>
          <w:cantSplit/>
        </w:trPr>
        <w:tc>
          <w:tcPr>
            <w:tcW w:type="dxa" w:w="145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Cost (warn)</w:t>
            </w:r>
          </w:p>
        </w:tc>
        <w:tc>
          <w:tcPr>
            <w:tcW w:type="dxa" w:w="2656"/>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 $0.04/request</w:t>
            </w:r>
          </w:p>
        </w:tc>
        <w:tc>
          <w:tcPr>
            <w:tcW w:type="dxa" w:w="259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 $0.12/request</w:t>
            </w:r>
          </w:p>
        </w:tc>
        <w:tc>
          <w:tcPr>
            <w:tcW w:type="dxa" w:w="2656"/>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 $0.08/request</w:t>
            </w:r>
          </w:p>
        </w:tc>
      </w:tr>
    </w:tbl>
    <w:p>
      <w:pPr>
        <w:pStyle w:val="Heading2"/>
        <w:keepNext/>
        <w:spacing w:after="70" w:before="170"/>
      </w:pPr>
      <w:r>
        <w:rPr>
          <w:rFonts w:ascii="Calibri" w:cs="Calibri" w:eastAsia="Calibri" w:hAnsi="Calibri"/>
          <w:b/>
          <w:bCs/>
          <w:color w:val="1E2A44"/>
          <w:sz w:val="23"/>
          <w:szCs w:val="23"/>
        </w:rPr>
        <w:t xml:space="preserve">2.3 Environment promotion and approvals (C6)</w:t>
      </w:r>
    </w:p>
    <w:p>
      <w:pPr>
        <w:keepNext w:val="false"/>
        <w:spacing w:after="100" w:before="0" w:line="252"/>
        <w:jc w:val="left"/>
      </w:pPr>
      <w:r>
        <w:rPr>
          <w:rFonts w:ascii="Calibri" w:cs="Calibri" w:eastAsia="Calibri" w:hAnsi="Calibri"/>
          <w:b w:val="false"/>
          <w:bCs w:val="false"/>
          <w:i w:val="false"/>
          <w:iCs w:val="false"/>
          <w:color w:val="1E2533"/>
          <w:sz w:val="21"/>
          <w:szCs w:val="21"/>
        </w:rPr>
        <w:t xml:space="preserve">Dev deploys automatically on green builds; staging adds integration and load tests; production approvals are recorded in Azure DevOps Environments under 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1"/>
        <w:gridCol w:w="2593"/>
        <w:gridCol w:w="2593"/>
        <w:gridCol w:w="2593"/>
      </w:tblGrid>
      <w:tr>
        <w:trPr>
          <w:cantSplit/>
          <w:tblHeader/>
        </w:trPr>
        <w:tc>
          <w:tcPr>
            <w:tcW w:type="dxa" w:w="1581"/>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Environment</w:t>
            </w:r>
          </w:p>
        </w:tc>
        <w:tc>
          <w:tcPr>
            <w:tcW w:type="dxa" w:w="2593"/>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AskRetail</w:t>
            </w:r>
          </w:p>
        </w:tc>
        <w:tc>
          <w:tcPr>
            <w:tcW w:type="dxa" w:w="2593"/>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StockSense</w:t>
            </w:r>
          </w:p>
        </w:tc>
        <w:tc>
          <w:tcPr>
            <w:tcW w:type="dxa" w:w="2593"/>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HRHelper</w:t>
            </w:r>
          </w:p>
        </w:tc>
      </w:tr>
      <w:tr>
        <w:trPr>
          <w:cantSplit/>
        </w:trPr>
        <w:tc>
          <w:tcPr>
            <w:tcW w:type="dxa" w:w="1581"/>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Staging</w:t>
            </w:r>
          </w:p>
        </w:tc>
        <w:tc>
          <w:tcPr>
            <w:tcW w:type="dxa" w:w="259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CDO delegate + Platform Eng</w:t>
            </w:r>
          </w:p>
        </w:tc>
        <w:tc>
          <w:tcPr>
            <w:tcW w:type="dxa" w:w="259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CSCO delegate</w:t>
            </w:r>
          </w:p>
        </w:tc>
        <w:tc>
          <w:tcPr>
            <w:tcW w:type="dxa" w:w="259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CHRO delegate + Compliance Officer</w:t>
            </w:r>
          </w:p>
        </w:tc>
      </w:tr>
      <w:tr>
        <w:trPr>
          <w:cantSplit/>
        </w:trPr>
        <w:tc>
          <w:tcPr>
            <w:tcW w:type="dxa" w:w="1581"/>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Production</w:t>
            </w:r>
          </w:p>
        </w:tc>
        <w:tc>
          <w:tcPr>
            <w:tcW w:type="dxa" w:w="2593"/>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VP Platform Eng + CDO delegate + on-call SRE</w:t>
            </w:r>
          </w:p>
        </w:tc>
        <w:tc>
          <w:tcPr>
            <w:tcW w:type="dxa" w:w="2593"/>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VP Platform Eng + CSCO delegate</w:t>
            </w:r>
          </w:p>
        </w:tc>
        <w:tc>
          <w:tcPr>
            <w:tcW w:type="dxa" w:w="2593"/>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VP Platform Eng + CHRO delegate + AI Ethics Committee + Legal Counsel</w:t>
            </w:r>
          </w:p>
        </w:tc>
      </w:tr>
    </w:tbl>
    <w:p>
      <w:pPr>
        <w:keepNext w:val="false"/>
        <w:spacing w:after="110" w:before="100" w:line="252"/>
        <w:jc w:val="left"/>
      </w:pPr>
      <w:r>
        <w:rPr>
          <w:rFonts w:ascii="Calibri" w:cs="Calibri" w:eastAsia="Calibri" w:hAnsi="Calibri"/>
          <w:b w:val="false"/>
          <w:bCs w:val="false"/>
          <w:i w:val="false"/>
          <w:iCs w:val="false"/>
          <w:color w:val="1E2533"/>
          <w:sz w:val="21"/>
          <w:szCs w:val="21"/>
        </w:rPr>
        <w:t xml:space="preserve">Per the brief, the AI Ethics Committee also reviews every model promotion for all apps, and infrastructure changes above $50K/month need CFO approval.</w:t>
      </w:r>
    </w:p>
    <w:p>
      <w:pPr>
        <w:pStyle w:val="Heading2"/>
        <w:keepNext/>
        <w:spacing w:after="70" w:before="170"/>
      </w:pPr>
      <w:r>
        <w:rPr>
          <w:rFonts w:ascii="Calibri" w:cs="Calibri" w:eastAsia="Calibri" w:hAnsi="Calibri"/>
          <w:b/>
          <w:bCs/>
          <w:color w:val="1E2A44"/>
          <w:sz w:val="23"/>
          <w:szCs w:val="23"/>
        </w:rPr>
        <w:t xml:space="preserve">2.4 Rollback triggers (C8)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1"/>
        <w:gridCol w:w="1012"/>
        <w:gridCol w:w="4047"/>
      </w:tblGrid>
      <w:tr>
        <w:trPr>
          <w:cantSplit/>
          <w:tblHeader/>
        </w:trPr>
        <w:tc>
          <w:tcPr>
            <w:tcW w:type="dxa" w:w="4301"/>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Trigger</w:t>
            </w:r>
          </w:p>
        </w:tc>
        <w:tc>
          <w:tcPr>
            <w:tcW w:type="dxa" w:w="1012"/>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Mode</w:t>
            </w:r>
          </w:p>
        </w:tc>
        <w:tc>
          <w:tcPr>
            <w:tcW w:type="dxa" w:w="4047"/>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Action</w:t>
            </w:r>
          </w:p>
        </w:tc>
      </w:tr>
      <w:tr>
        <w:trPr>
          <w:cantSplit/>
        </w:trPr>
        <w:tc>
          <w:tcPr>
            <w:tcW w:type="dxa" w:w="4301"/>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Synthetic probes &lt; 100% for &gt; 3 consecutive runs</w:t>
            </w:r>
          </w:p>
        </w:tc>
        <w:tc>
          <w:tcPr>
            <w:tcW w:type="dxa" w:w="101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Auto</w:t>
            </w:r>
          </w:p>
        </w:tc>
        <w:tc>
          <w:tcPr>
            <w:tcW w:type="dxa" w:w="404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APIM traffic switch, artifact revert</w:t>
            </w:r>
          </w:p>
        </w:tc>
      </w:tr>
      <w:tr>
        <w:trPr>
          <w:cantSplit/>
        </w:trPr>
        <w:tc>
          <w:tcPr>
            <w:tcW w:type="dxa" w:w="4301"/>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Errors &gt; 5× baseline for 5 min</w:t>
            </w:r>
          </w:p>
        </w:tc>
        <w:tc>
          <w:tcPr>
            <w:tcW w:type="dxa" w:w="1012"/>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Auto</w:t>
            </w:r>
          </w:p>
        </w:tc>
        <w:tc>
          <w:tcPr>
            <w:tcW w:type="dxa" w:w="4047"/>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Traffic switch; page on-call</w:t>
            </w:r>
          </w:p>
        </w:tc>
      </w:tr>
      <w:tr>
        <w:trPr>
          <w:cantSplit/>
        </w:trPr>
        <w:tc>
          <w:tcPr>
            <w:tcW w:type="dxa" w:w="4301"/>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p99 &gt; 1.5× SLA for 5 min (Tier 1) / 10 min (Tier 2)</w:t>
            </w:r>
          </w:p>
        </w:tc>
        <w:tc>
          <w:tcPr>
            <w:tcW w:type="dxa" w:w="101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Auto</w:t>
            </w:r>
          </w:p>
        </w:tc>
        <w:tc>
          <w:tcPr>
            <w:tcW w:type="dxa" w:w="404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Reduce traffic, then roll back</w:t>
            </w:r>
          </w:p>
        </w:tc>
      </w:tr>
      <w:tr>
        <w:trPr>
          <w:cantSplit/>
        </w:trPr>
        <w:tc>
          <w:tcPr>
            <w:tcW w:type="dxa" w:w="4301"/>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Hallucination &gt; 3% during rollout</w:t>
            </w:r>
          </w:p>
        </w:tc>
        <w:tc>
          <w:tcPr>
            <w:tcW w:type="dxa" w:w="1012"/>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Auto</w:t>
            </w:r>
          </w:p>
        </w:tc>
        <w:tc>
          <w:tcPr>
            <w:tcW w:type="dxa" w:w="4047"/>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Halt rollout; restore previous version</w:t>
            </w:r>
          </w:p>
        </w:tc>
      </w:tr>
      <w:tr>
        <w:trPr>
          <w:cantSplit/>
        </w:trPr>
        <w:tc>
          <w:tcPr>
            <w:tcW w:type="dxa" w:w="4301"/>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Safety severity ≥ 4 or PII leak (HRHelper)</w:t>
            </w:r>
          </w:p>
        </w:tc>
        <w:tc>
          <w:tcPr>
            <w:tcW w:type="dxa" w:w="101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Auto</w:t>
            </w:r>
          </w:p>
        </w:tc>
        <w:tc>
          <w:tcPr>
            <w:tcW w:type="dxa" w:w="404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Roll back; notify Legal</w:t>
            </w:r>
          </w:p>
        </w:tc>
      </w:tr>
      <w:tr>
        <w:trPr>
          <w:cantSplit/>
        </w:trPr>
        <w:tc>
          <w:tcPr>
            <w:tcW w:type="dxa" w:w="4301"/>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Cost per request &gt; 200% of budget</w:t>
            </w:r>
          </w:p>
        </w:tc>
        <w:tc>
          <w:tcPr>
            <w:tcW w:type="dxa" w:w="1012"/>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Auto</w:t>
            </w:r>
          </w:p>
        </w:tc>
        <w:tc>
          <w:tcPr>
            <w:tcW w:type="dxa" w:w="4047"/>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Throttle at APIM; notify CFO</w:t>
            </w:r>
          </w:p>
        </w:tc>
      </w:tr>
      <w:tr>
        <w:trPr>
          <w:cantSplit/>
        </w:trPr>
        <w:tc>
          <w:tcPr>
            <w:tcW w:type="dxa" w:w="4301"/>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Groundedness drop &gt; 0.05</w:t>
            </w:r>
          </w:p>
        </w:tc>
        <w:tc>
          <w:tcPr>
            <w:tcW w:type="dxa" w:w="101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Manual</w:t>
            </w:r>
          </w:p>
        </w:tc>
        <w:tc>
          <w:tcPr>
            <w:tcW w:type="dxa" w:w="404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Revert model and prompt</w:t>
            </w:r>
          </w:p>
        </w:tc>
      </w:tr>
      <w:tr>
        <w:trPr>
          <w:cantSplit/>
        </w:trPr>
        <w:tc>
          <w:tcPr>
            <w:tcW w:type="dxa" w:w="4301"/>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Data-exfiltration alert</w:t>
            </w:r>
          </w:p>
        </w:tc>
        <w:tc>
          <w:tcPr>
            <w:tcW w:type="dxa" w:w="1012"/>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Manual</w:t>
            </w:r>
          </w:p>
        </w:tc>
        <w:tc>
          <w:tcPr>
            <w:tcW w:type="dxa" w:w="4047"/>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Shut down; preserve forensics</w:t>
            </w:r>
          </w:p>
        </w:tc>
      </w:tr>
    </w:tbl>
    <w:p>
      <w:pPr>
        <w:sectPr>
          <w:footerReference w:type="default" r:id="rId7"/>
          <w:pgSz w:w="12240" w:h="15840" w:orient="portrait"/>
          <w:pgMar w:top="1000" w:right="1440" w:bottom="940" w:left="1440" w:header="708" w:footer="708" w:gutter="0"/>
          <w:pgNumType/>
          <w:docGrid w:linePitch="360"/>
        </w:sectPr>
      </w:pPr>
    </w:p>
    <w:p>
      <w:pPr>
        <w:keepNext/>
        <w:spacing w:after="80"/>
        <w:jc w:val="center"/>
      </w:pPr>
      <w:r>
        <w:drawing>
          <wp:inline distT="0" distB="0" distL="0" distR="0">
            <wp:extent cx="9144000" cy="6191250"/>
            <wp:effectExtent t="0" r="0" b="0" l="0"/>
            <wp:docPr id="1" name="fig1_cicd.png" descr="Figure 1. CI/CD pipeline: shared stages (grey) and parallel per-app lanes. Callouts C1–C8 map to §2, §3.2 and §5."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0" cy="6191250"/>
                    </a:xfrm>
                    <a:prstGeom prst="rect">
                      <a:avLst/>
                    </a:prstGeom>
                  </pic:spPr>
                </pic:pic>
              </a:graphicData>
            </a:graphic>
          </wp:inline>
        </w:drawing>
      </w:r>
    </w:p>
    <w:p>
      <w:pPr>
        <w:spacing w:after="0"/>
        <w:jc w:val="center"/>
      </w:pPr>
      <w:r>
        <w:rPr>
          <w:rFonts w:ascii="Calibri" w:cs="Calibri" w:eastAsia="Calibri" w:hAnsi="Calibri"/>
          <w:b w:val="false"/>
          <w:bCs w:val="false"/>
          <w:i/>
          <w:iCs/>
          <w:color w:val="5B6575"/>
          <w:sz w:val="19"/>
          <w:szCs w:val="19"/>
        </w:rPr>
        <w:t xml:space="preserve">Figure 1. CI/CD pipeline: shared stages (grey) and parallel per-app lanes. Callouts C1–C8 map to §2, §3.2 and §5.</w:t>
      </w:r>
    </w:p>
    <w:p>
      <w:pPr>
        <w:sectPr>
          <w:footerReference w:type="default" r:id="rId8"/>
          <w:pgSz w:w="15840" w:h="12240" w:orient="landscape"/>
          <w:pgMar w:top="720" w:right="720" w:bottom="720" w:left="720" w:header="708" w:footer="708" w:gutter="0"/>
          <w:pgNumType/>
          <w:docGrid w:linePitch="360"/>
        </w:sectPr>
      </w:pPr>
    </w:p>
    <w:p>
      <w:pPr>
        <w:pStyle w:val="Heading1"/>
        <w:keepNext/>
        <w:pBdr>
          <w:bottom w:val="single" w:color="C9CED8" w:sz="6" w:space="4"/>
        </w:pBdr>
        <w:spacing w:after="110" w:before="240"/>
      </w:pPr>
      <w:r>
        <w:rPr>
          <w:rFonts w:ascii="Calibri" w:cs="Calibri" w:eastAsia="Calibri" w:hAnsi="Calibri"/>
          <w:b/>
          <w:bCs/>
          <w:color w:val="1E2A44"/>
          <w:sz w:val="28"/>
          <w:szCs w:val="28"/>
        </w:rPr>
        <w:t xml:space="preserve">3. AI Gateway and Deployment Operations</w:t>
      </w:r>
    </w:p>
    <w:p>
      <w:pPr>
        <w:pStyle w:val="Heading2"/>
        <w:keepNext/>
        <w:spacing w:after="70" w:before="170"/>
      </w:pPr>
      <w:r>
        <w:rPr>
          <w:rFonts w:ascii="Calibri" w:cs="Calibri" w:eastAsia="Calibri" w:hAnsi="Calibri"/>
          <w:b/>
          <w:bCs/>
          <w:color w:val="1E2A44"/>
          <w:sz w:val="23"/>
          <w:szCs w:val="23"/>
        </w:rPr>
        <w:t xml:space="preserve">3.1 Gateway responsibilities (C9–C12)</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One Azure API Management Premium instance (East US primary, West US 2 secondary) is the AI gateway, exposing client app APIs and a model gateway that every LLM call crosses, so quotas and cost are measured once (Figure 2). AskRetail enters via Front Door with WAF; HRHelper uses an internal VNet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7"/>
        <w:gridCol w:w="7463"/>
      </w:tblGrid>
      <w:tr>
        <w:trPr>
          <w:cantSplit/>
          <w:tblHeader/>
        </w:trPr>
        <w:tc>
          <w:tcPr>
            <w:tcW w:type="dxa" w:w="1897"/>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Responsibility</w:t>
            </w:r>
          </w:p>
        </w:tc>
        <w:tc>
          <w:tcPr>
            <w:tcW w:type="dxa" w:w="7463"/>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Design</w:t>
            </w:r>
          </w:p>
        </w:tc>
      </w:tr>
      <w:tr>
        <w:trPr>
          <w:cantSplit/>
        </w:trPr>
        <w:tc>
          <w:tcPr>
            <w:tcW w:type="dxa" w:w="189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Authentication (C9)</w:t>
            </w:r>
          </w:p>
        </w:tc>
        <w:tc>
          <w:tcPr>
            <w:tcW w:type="dxa" w:w="746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Entra ID token validation; per-app subscriptions; managed identity to Azure OpenAI, so apps hold no model keys.</w:t>
            </w:r>
          </w:p>
        </w:tc>
      </w:tr>
      <w:tr>
        <w:trPr>
          <w:cantSplit/>
        </w:trPr>
        <w:tc>
          <w:tcPr>
            <w:tcW w:type="dxa" w:w="1897"/>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Routing (C10)</w:t>
            </w:r>
          </w:p>
        </w:tc>
        <w:tc>
          <w:tcPr>
            <w:tcW w:type="dxa" w:w="7463"/>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Weighted pools per version run blue/green and canary; circuit breaker with cross-region failover; GPT-4o → GPT-4o-mini fallback when throttled.</w:t>
            </w:r>
          </w:p>
        </w:tc>
      </w:tr>
      <w:tr>
        <w:trPr>
          <w:cantSplit/>
        </w:trPr>
        <w:tc>
          <w:tcPr>
            <w:tcW w:type="dxa" w:w="189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Quotas and cost (C11)</w:t>
            </w:r>
          </w:p>
        </w:tc>
        <w:tc>
          <w:tcPr>
            <w:tcW w:type="dxa" w:w="746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Daily token budgets (AskRetail 4.5M, StockSense 1.2M, HRHelper 0.8M); token metrics tagged by CostCenter for showback; semantic cache for AskRetail.</w:t>
            </w:r>
          </w:p>
        </w:tc>
      </w:tr>
      <w:tr>
        <w:trPr>
          <w:cantSplit/>
        </w:trPr>
        <w:tc>
          <w:tcPr>
            <w:tcW w:type="dxa" w:w="1897"/>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API versioning (C12)</w:t>
            </w:r>
          </w:p>
        </w:tc>
        <w:tc>
          <w:tcPr>
            <w:tcW w:type="dxa" w:w="7463"/>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Path versions (/askretail/v2) for breaking changes, revisions otherwise; 60-day deprecation headers.</w:t>
            </w:r>
          </w:p>
        </w:tc>
      </w:tr>
      <w:tr>
        <w:trPr>
          <w:cantSplit/>
        </w:trPr>
        <w:tc>
          <w:tcPr>
            <w:tcW w:type="dxa" w:w="189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Safety</w:t>
            </w:r>
          </w:p>
        </w:tc>
        <w:tc>
          <w:tcPr>
            <w:tcW w:type="dxa" w:w="746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Content Safety and Prompt Shields; mandatory for HRHelper.</w:t>
            </w:r>
          </w:p>
        </w:tc>
      </w:tr>
    </w:tbl>
    <w:p>
      <w:pPr>
        <w:pStyle w:val="Heading2"/>
        <w:keepNext/>
        <w:spacing w:after="70" w:before="170"/>
      </w:pPr>
      <w:r>
        <w:rPr>
          <w:rFonts w:ascii="Calibri" w:cs="Calibri" w:eastAsia="Calibri" w:hAnsi="Calibri"/>
          <w:b/>
          <w:bCs/>
          <w:color w:val="1E2A44"/>
          <w:sz w:val="23"/>
          <w:szCs w:val="23"/>
        </w:rPr>
        <w:t xml:space="preserve">3.2 Progressive rollout per app (C7)</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AskRetail: blue/green.</w:t>
      </w:r>
      <w:r>
        <w:rPr>
          <w:rFonts w:ascii="Calibri" w:cs="Calibri" w:eastAsia="Calibri" w:hAnsi="Calibri"/>
          <w:b w:val="false"/>
          <w:bCs w:val="false"/>
          <w:i w:val="false"/>
          <w:iCs w:val="false"/>
          <w:color w:val="1E2533"/>
          <w:sz w:val="21"/>
          <w:szCs w:val="21"/>
        </w:rPr>
        <w:t xml:space="preserve"> Zero downtime is the CDO’s priority, and one APIM weight change reverses a release in under 3 minutes, protecting the 15-minute MTTR target. After a 20-scenario synthetic suite, AskRetail’s volume surfaces regressions within 15 minutes, faster than a multi-hour canary. Only emergency fixes ship during BFCM.</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StockSense: canary 10% → 50% → 100%.</w:t>
      </w:r>
      <w:r>
        <w:rPr>
          <w:rFonts w:ascii="Calibri" w:cs="Calibri" w:eastAsia="Calibri" w:hAnsi="Calibri"/>
          <w:b w:val="false"/>
          <w:bCs w:val="false"/>
          <w:i w:val="false"/>
          <w:iCs w:val="false"/>
          <w:color w:val="1E2533"/>
          <w:sz w:val="21"/>
          <w:szCs w:val="21"/>
        </w:rPr>
        <w:t xml:space="preserve"> Accuracy outranks speed and MAPE is only measurable on real batch output, so the canary must run production batches; 385 internal users tolerate a slow rollout. The Tier 2 window (Mon/Wed 06:00–08:00 ET) overlaps the morning batch, so the canary holds at 10% until the 09:00 deadline is met, limiting a bad build to one batch job.</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HRHelper: blue/green, 30-minute observation.</w:t>
      </w:r>
      <w:r>
        <w:rPr>
          <w:rFonts w:ascii="Calibri" w:cs="Calibri" w:eastAsia="Calibri" w:hAnsi="Calibri"/>
          <w:b w:val="false"/>
          <w:bCs w:val="false"/>
          <w:i w:val="false"/>
          <w:iCs w:val="false"/>
          <w:color w:val="1E2533"/>
          <w:sz w:val="21"/>
          <w:szCs w:val="21"/>
        </w:rPr>
        <w:t xml:space="preserve"> A canary would split sensitive multi-turn conversations across versions and muddy the audit trail; blue/green keeps one auditable version per conversation behind zero-tolerance gates. A/B testing runs only offline, via evaluation replay.</w:t>
      </w:r>
    </w:p>
    <w:p>
      <w:pPr>
        <w:pStyle w:val="Heading2"/>
        <w:keepNext/>
        <w:spacing w:after="70" w:before="170"/>
      </w:pPr>
      <w:r>
        <w:rPr>
          <w:rFonts w:ascii="Calibri" w:cs="Calibri" w:eastAsia="Calibri" w:hAnsi="Calibri"/>
          <w:b/>
          <w:bCs/>
          <w:color w:val="1E2A44"/>
          <w:sz w:val="23"/>
          <w:szCs w:val="23"/>
        </w:rPr>
        <w:t xml:space="preserve">3.3 Orchestrators and model/prompt versioning (C13–C14)</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AskRetail → AKS:</w:t>
      </w:r>
      <w:r>
        <w:rPr>
          <w:rFonts w:ascii="Calibri" w:cs="Calibri" w:eastAsia="Calibri" w:hAnsi="Calibri"/>
          <w:b w:val="false"/>
          <w:bCs w:val="false"/>
          <w:i w:val="false"/>
          <w:iCs w:val="false"/>
          <w:color w:val="1E2533"/>
          <w:sz w:val="21"/>
          <w:szCs w:val="21"/>
        </w:rPr>
        <w:t xml:space="preserve"> zone-redundant pools in two regions with HPA and KEDA pre-scaling for BFCM; sub-second latency needs warm capacity.</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StockSense → Azure Container Apps:</w:t>
      </w:r>
      <w:r>
        <w:rPr>
          <w:rFonts w:ascii="Calibri" w:cs="Calibri" w:eastAsia="Calibri" w:hAnsi="Calibri"/>
          <w:b w:val="false"/>
          <w:bCs w:val="false"/>
          <w:i w:val="false"/>
          <w:iCs w:val="false"/>
          <w:color w:val="1E2533"/>
          <w:sz w:val="21"/>
          <w:szCs w:val="21"/>
        </w:rPr>
        <w:t xml:space="preserve"> jobs run the batch and scale to zero after 09:00, revisions give weighted canaries, and time-series models stay on Azure ML endpoints, so NRC pays only for the batch window.</w:t>
      </w:r>
    </w:p>
    <w:p>
      <w:pPr>
        <w:pStyle w:val="ListParagraph"/>
        <w:numPr>
          <w:ilvl w:val="0"/>
          <w:numId w:val="2"/>
        </w:numPr>
        <w:spacing w:after="60" w:line="250"/>
      </w:pPr>
      <w:r>
        <w:rPr>
          <w:rFonts w:ascii="Calibri" w:cs="Calibri" w:eastAsia="Calibri" w:hAnsi="Calibri"/>
          <w:b/>
          <w:bCs/>
          <w:i w:val="false"/>
          <w:iCs w:val="false"/>
          <w:color w:val="1E2533"/>
          <w:sz w:val="21"/>
          <w:szCs w:val="21"/>
        </w:rPr>
        <w:t xml:space="preserve">HRHelper → dedicated private AKS</w:t>
      </w:r>
      <w:r>
        <w:rPr>
          <w:rFonts w:ascii="Calibri" w:cs="Calibri" w:eastAsia="Calibri" w:hAnsi="Calibri"/>
          <w:b w:val="false"/>
          <w:bCs w:val="false"/>
          <w:i w:val="false"/>
          <w:iCs w:val="false"/>
          <w:color w:val="1E2533"/>
          <w:sz w:val="21"/>
          <w:szCs w:val="21"/>
        </w:rPr>
        <w:t xml:space="preserve"> in its own spoke VNet, so no shared node touches employee data.</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Versioning is orchestrator-neutral: containers carry code only; every runtime reads model deployment, prompt version and feature flags from a per-release Azure App Configuration snapshot. Promotion and rollback change only the snapshot label and APIM weight, so releases behave identically on AKS and Container Apps, and a reverted snapshot reaches pods within 30 seconds.</w:t>
      </w:r>
    </w:p>
    <w:p>
      <w:pPr>
        <w:sectPr>
          <w:footerReference w:type="default" r:id="rId9"/>
          <w:pgSz w:w="12240" w:h="15840" w:orient="portrait"/>
          <w:pgMar w:top="1000" w:right="1440" w:bottom="940" w:left="1440" w:header="708" w:footer="708" w:gutter="0"/>
          <w:pgNumType/>
          <w:docGrid w:linePitch="360"/>
        </w:sectPr>
      </w:pPr>
    </w:p>
    <w:p>
      <w:pPr>
        <w:keepNext/>
        <w:spacing w:after="80"/>
        <w:jc w:val="center"/>
      </w:pPr>
      <w:r>
        <w:drawing>
          <wp:inline distT="0" distB="0" distL="0" distR="0">
            <wp:extent cx="9144000" cy="6191250"/>
            <wp:effectExtent t="0" r="0" b="0" l="0"/>
            <wp:docPr id="1" name="fig2_gateway.png" descr="Figure 2. AI gateway surfaces, per-app orchestrators and release control plane. Callouts C9–C14 map to §3."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0" cy="6191250"/>
                    </a:xfrm>
                    <a:prstGeom prst="rect">
                      <a:avLst/>
                    </a:prstGeom>
                  </pic:spPr>
                </pic:pic>
              </a:graphicData>
            </a:graphic>
          </wp:inline>
        </w:drawing>
      </w:r>
    </w:p>
    <w:p>
      <w:pPr>
        <w:spacing w:after="0"/>
        <w:jc w:val="center"/>
      </w:pPr>
      <w:r>
        <w:rPr>
          <w:rFonts w:ascii="Calibri" w:cs="Calibri" w:eastAsia="Calibri" w:hAnsi="Calibri"/>
          <w:b w:val="false"/>
          <w:bCs w:val="false"/>
          <w:i/>
          <w:iCs/>
          <w:color w:val="5B6575"/>
          <w:sz w:val="19"/>
          <w:szCs w:val="19"/>
        </w:rPr>
        <w:t xml:space="preserve">Figure 2. AI gateway surfaces, per-app orchestrators and release control plane. Callouts C9–C14 map to §3.</w:t>
      </w:r>
    </w:p>
    <w:p>
      <w:pPr>
        <w:sectPr>
          <w:footerReference w:type="default" r:id="rId10"/>
          <w:pgSz w:w="15840" w:h="12240" w:orient="landscape"/>
          <w:pgMar w:top="720" w:right="720" w:bottom="720" w:left="720" w:header="708" w:footer="708" w:gutter="0"/>
          <w:pgNumType/>
          <w:docGrid w:linePitch="360"/>
        </w:sectPr>
      </w:pPr>
    </w:p>
    <w:p>
      <w:pPr>
        <w:pStyle w:val="Heading1"/>
        <w:keepNext/>
        <w:pBdr>
          <w:bottom w:val="single" w:color="C9CED8" w:sz="6" w:space="4"/>
        </w:pBdr>
        <w:spacing w:after="110" w:before="240"/>
      </w:pPr>
      <w:r>
        <w:rPr>
          <w:rFonts w:ascii="Calibri" w:cs="Calibri" w:eastAsia="Calibri" w:hAnsi="Calibri"/>
          <w:b/>
          <w:bCs/>
          <w:color w:val="1E2A44"/>
          <w:sz w:val="28"/>
          <w:szCs w:val="28"/>
        </w:rPr>
        <w:t xml:space="preserve">4. Observability Architecture</w:t>
      </w:r>
    </w:p>
    <w:p>
      <w:pPr>
        <w:pStyle w:val="Heading2"/>
        <w:keepNext/>
        <w:spacing w:after="70" w:before="170"/>
      </w:pPr>
      <w:r>
        <w:rPr>
          <w:rFonts w:ascii="Calibri" w:cs="Calibri" w:eastAsia="Calibri" w:hAnsi="Calibri"/>
          <w:b/>
          <w:bCs/>
          <w:color w:val="1E2A44"/>
          <w:sz w:val="23"/>
          <w:szCs w:val="23"/>
        </w:rPr>
        <w:t xml:space="preserve">4.1 Tracing and telemetry capture points (C15)</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W3C Trace Context propagates through six capture points (gateway, orchestrator, retrieval, inference, safety/quality, audit), exported via OpenTelemetry to Application Insights (Figure 3). Spans carry app version, pinned model, tokens, groundedness, hallucination flag, retrieval source and region, so regressions tie to a release, model or index. Sampling keeps all Tier 1 errors and 10% of successes.</w:t>
      </w:r>
    </w:p>
    <w:p>
      <w:pPr>
        <w:pStyle w:val="Heading2"/>
        <w:keepNext/>
        <w:spacing w:after="70" w:before="170"/>
      </w:pPr>
      <w:r>
        <w:rPr>
          <w:rFonts w:ascii="Calibri" w:cs="Calibri" w:eastAsia="Calibri" w:hAnsi="Calibri"/>
          <w:b/>
          <w:bCs/>
          <w:color w:val="1E2A44"/>
          <w:sz w:val="23"/>
          <w:szCs w:val="23"/>
        </w:rPr>
        <w:t xml:space="preserve">4.2 LLM-specific metrics (C16)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8"/>
        <w:gridCol w:w="3099"/>
        <w:gridCol w:w="4553"/>
      </w:tblGrid>
      <w:tr>
        <w:trPr>
          <w:cantSplit/>
          <w:tblHeader/>
        </w:trPr>
        <w:tc>
          <w:tcPr>
            <w:tcW w:type="dxa" w:w="1708"/>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Metric</w:t>
            </w:r>
          </w:p>
        </w:tc>
        <w:tc>
          <w:tcPr>
            <w:tcW w:type="dxa" w:w="3099"/>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Measurement</w:t>
            </w:r>
          </w:p>
        </w:tc>
        <w:tc>
          <w:tcPr>
            <w:tcW w:type="dxa" w:w="4553"/>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Threshold (AskRetail / HRHelper) → alert</w:t>
            </w:r>
          </w:p>
        </w:tc>
      </w:tr>
      <w:tr>
        <w:trPr>
          <w:cantSplit/>
        </w:trPr>
        <w:tc>
          <w:tcPr>
            <w:tcW w:type="dxa" w:w="1708"/>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Groundedness</w:t>
            </w:r>
          </w:p>
        </w:tc>
        <w:tc>
          <w:tcPr>
            <w:tcW w:type="dxa" w:w="3099"/>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AI Evaluation SDK (supported ÷ total claims)</w:t>
            </w:r>
          </w:p>
        </w:tc>
        <w:tc>
          <w:tcPr>
            <w:tcW w:type="dxa" w:w="455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 0.92 / ≥ 0.90; breached on &gt; 5% of requests in 10 min → P2</w:t>
            </w:r>
          </w:p>
        </w:tc>
      </w:tr>
      <w:tr>
        <w:trPr>
          <w:cantSplit/>
        </w:trPr>
        <w:tc>
          <w:tcPr>
            <w:tcW w:type="dxa" w:w="1708"/>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Hallucination</w:t>
            </w:r>
          </w:p>
        </w:tc>
        <w:tc>
          <w:tcPr>
            <w:tcW w:type="dxa" w:w="3099"/>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Content Safety + self-consistency</w:t>
            </w:r>
          </w:p>
        </w:tc>
        <w:tc>
          <w:tcPr>
            <w:tcW w:type="dxa" w:w="4553"/>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&lt; 1.5% / &lt; 2.0%; &gt; 3% in 30 min → P1, canary halt</w:t>
            </w:r>
          </w:p>
        </w:tc>
      </w:tr>
      <w:tr>
        <w:trPr>
          <w:cantSplit/>
        </w:trPr>
        <w:tc>
          <w:tcPr>
            <w:tcW w:type="dxa" w:w="1708"/>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Semantic drift</w:t>
            </w:r>
          </w:p>
        </w:tc>
        <w:tc>
          <w:tcPr>
            <w:tcW w:type="dxa" w:w="3099"/>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Embeddings vs. baseline (7 days)</w:t>
            </w:r>
          </w:p>
        </w:tc>
        <w:tc>
          <w:tcPr>
            <w:tcW w:type="dxa" w:w="455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KS &gt; 0.15 or Wasserstein &gt; 0.3 for 2 h → P2, replay</w:t>
            </w:r>
          </w:p>
        </w:tc>
      </w:tr>
      <w:tr>
        <w:trPr>
          <w:cantSplit/>
        </w:trPr>
        <w:tc>
          <w:tcPr>
            <w:tcW w:type="dxa" w:w="1708"/>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Tokens and cost</w:t>
            </w:r>
          </w:p>
        </w:tc>
        <w:tc>
          <w:tcPr>
            <w:tcW w:type="dxa" w:w="3099"/>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APIM token metrics</w:t>
            </w:r>
          </w:p>
        </w:tc>
        <w:tc>
          <w:tcPr>
            <w:tcW w:type="dxa" w:w="4553"/>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Quota &gt; 75% → P3; cost &gt; 150% of budget → P2</w:t>
            </w:r>
          </w:p>
        </w:tc>
      </w:tr>
      <w:tr>
        <w:trPr>
          <w:cantSplit/>
        </w:trPr>
        <w:tc>
          <w:tcPr>
            <w:tcW w:type="dxa" w:w="1708"/>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Safety and PII</w:t>
            </w:r>
          </w:p>
        </w:tc>
        <w:tc>
          <w:tcPr>
            <w:tcW w:type="dxa" w:w="3099"/>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Content Safety (0–6), Presidio</w:t>
            </w:r>
          </w:p>
        </w:tc>
        <w:tc>
          <w:tcPr>
            <w:tcW w:type="dxa" w:w="4553"/>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Severity ≥ 2 blocked; ≥ 4 → P1; PII leak → P0</w:t>
            </w:r>
          </w:p>
        </w:tc>
      </w:tr>
    </w:tbl>
    <w:p>
      <w:pPr>
        <w:pStyle w:val="Heading2"/>
        <w:keepNext/>
        <w:spacing w:after="70" w:before="170"/>
      </w:pPr>
      <w:r>
        <w:rPr>
          <w:rFonts w:ascii="Calibri" w:cs="Calibri" w:eastAsia="Calibri" w:hAnsi="Calibri"/>
          <w:b/>
          <w:bCs/>
          <w:color w:val="1E2A44"/>
          <w:sz w:val="23"/>
          <w:szCs w:val="23"/>
        </w:rPr>
        <w:t xml:space="preserve">4.3 Continuous evaluation (C17)</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Event Hub samples live traffic (AskRetail 2%, every 4 h; StockSense 5% of batches; HRHelper 3%, every 6 h). An AKS job replays them against current and candidate model/prompt with the Azure AI Evaluation SDK; results land in Cosmos DB. Drift (two AskRetail metrics down &gt; 5%, StockSense MAPE up &gt; 1%, any HRHelper safety metric down) blocks promotion and alerts the owner, closing the loop to CI/CD.</w:t>
      </w:r>
    </w:p>
    <w:p>
      <w:pPr>
        <w:pStyle w:val="Heading2"/>
        <w:keepNext/>
        <w:spacing w:after="70" w:before="170"/>
      </w:pPr>
      <w:r>
        <w:rPr>
          <w:rFonts w:ascii="Calibri" w:cs="Calibri" w:eastAsia="Calibri" w:hAnsi="Calibri"/>
          <w:b/>
          <w:bCs/>
          <w:color w:val="1E2A44"/>
          <w:sz w:val="23"/>
          <w:szCs w:val="23"/>
        </w:rPr>
        <w:t xml:space="preserve">4.4 Alert-to-severity mapping (C18)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9"/>
        <w:gridCol w:w="1455"/>
        <w:gridCol w:w="1202"/>
        <w:gridCol w:w="3414"/>
      </w:tblGrid>
      <w:tr>
        <w:trPr>
          <w:cantSplit/>
          <w:tblHeader/>
        </w:trPr>
        <w:tc>
          <w:tcPr>
            <w:tcW w:type="dxa" w:w="3289"/>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Alert</w:t>
            </w:r>
          </w:p>
        </w:tc>
        <w:tc>
          <w:tcPr>
            <w:tcW w:type="dxa" w:w="1455"/>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Severity</w:t>
            </w:r>
          </w:p>
        </w:tc>
        <w:tc>
          <w:tcPr>
            <w:tcW w:type="dxa" w:w="1202"/>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Response</w:t>
            </w:r>
          </w:p>
        </w:tc>
        <w:tc>
          <w:tcPr>
            <w:tcW w:type="dxa" w:w="3414"/>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Routing</w:t>
            </w:r>
          </w:p>
        </w:tc>
      </w:tr>
      <w:tr>
        <w:trPr>
          <w:cantSplit/>
        </w:trPr>
        <w:tc>
          <w:tcPr>
            <w:tcW w:type="dxa" w:w="3289"/>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P0</w:t>
            </w:r>
            <w:r>
              <w:rPr>
                <w:rFonts w:ascii="Calibri" w:cs="Calibri" w:eastAsia="Calibri" w:hAnsi="Calibri"/>
                <w:b w:val="false"/>
                <w:bCs w:val="false"/>
                <w:i w:val="false"/>
                <w:iCs w:val="false"/>
                <w:color w:val="1E2533"/>
                <w:sz w:val="18"/>
                <w:szCs w:val="18"/>
              </w:rPr>
              <w:t xml:space="preserve">: outage, PII leak</w:t>
            </w:r>
          </w:p>
        </w:tc>
        <w:tc>
          <w:tcPr>
            <w:tcW w:type="dxa" w:w="145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SEV-0</w:t>
            </w:r>
          </w:p>
        </w:tc>
        <w:tc>
          <w:tcPr>
            <w:tcW w:type="dxa" w:w="120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&lt; 5 min</w:t>
            </w:r>
          </w:p>
        </w:tc>
        <w:tc>
          <w:tcPr>
            <w:tcW w:type="dxa" w:w="3414"/>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PagerDuty: SRE + VP Platform; CISO if security</w:t>
            </w:r>
          </w:p>
        </w:tc>
      </w:tr>
      <w:tr>
        <w:trPr>
          <w:cantSplit/>
        </w:trPr>
        <w:tc>
          <w:tcPr>
            <w:tcW w:type="dxa" w:w="3289"/>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P1</w:t>
            </w:r>
            <w:r>
              <w:rPr>
                <w:rFonts w:ascii="Calibri" w:cs="Calibri" w:eastAsia="Calibri" w:hAnsi="Calibri"/>
                <w:b w:val="false"/>
                <w:bCs w:val="false"/>
                <w:i w:val="false"/>
                <w:iCs w:val="false"/>
                <w:color w:val="1E2533"/>
                <w:sz w:val="18"/>
                <w:szCs w:val="18"/>
              </w:rPr>
              <w:t xml:space="preserve">: severe degradation, safety violation</w:t>
            </w:r>
          </w:p>
        </w:tc>
        <w:tc>
          <w:tcPr>
            <w:tcW w:type="dxa" w:w="1455"/>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SEV-1</w:t>
            </w:r>
          </w:p>
        </w:tc>
        <w:tc>
          <w:tcPr>
            <w:tcW w:type="dxa" w:w="1202"/>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&lt; 15 min</w:t>
            </w:r>
          </w:p>
        </w:tc>
        <w:tc>
          <w:tcPr>
            <w:tcW w:type="dxa" w:w="3414"/>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PagerDuty: SRE + App Owner</w:t>
            </w:r>
          </w:p>
        </w:tc>
      </w:tr>
      <w:tr>
        <w:trPr>
          <w:cantSplit/>
        </w:trPr>
        <w:tc>
          <w:tcPr>
            <w:tcW w:type="dxa" w:w="3289"/>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P2</w:t>
            </w:r>
            <w:r>
              <w:rPr>
                <w:rFonts w:ascii="Calibri" w:cs="Calibri" w:eastAsia="Calibri" w:hAnsi="Calibri"/>
                <w:b w:val="false"/>
                <w:bCs w:val="false"/>
                <w:i w:val="false"/>
                <w:iCs w:val="false"/>
                <w:color w:val="1E2533"/>
                <w:sz w:val="18"/>
                <w:szCs w:val="18"/>
              </w:rPr>
              <w:t xml:space="preserve">: quality or cost anomaly</w:t>
            </w:r>
          </w:p>
        </w:tc>
        <w:tc>
          <w:tcPr>
            <w:tcW w:type="dxa" w:w="145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SEV-2</w:t>
            </w:r>
          </w:p>
        </w:tc>
        <w:tc>
          <w:tcPr>
            <w:tcW w:type="dxa" w:w="120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&lt; 1 h</w:t>
            </w:r>
          </w:p>
        </w:tc>
        <w:tc>
          <w:tcPr>
            <w:tcW w:type="dxa" w:w="3414"/>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Teams + ticket</w:t>
            </w:r>
          </w:p>
        </w:tc>
      </w:tr>
      <w:tr>
        <w:trPr>
          <w:cantSplit/>
        </w:trPr>
        <w:tc>
          <w:tcPr>
            <w:tcW w:type="dxa" w:w="3289"/>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P3</w:t>
            </w:r>
            <w:r>
              <w:rPr>
                <w:rFonts w:ascii="Calibri" w:cs="Calibri" w:eastAsia="Calibri" w:hAnsi="Calibri"/>
                <w:b w:val="false"/>
                <w:bCs w:val="false"/>
                <w:i w:val="false"/>
                <w:iCs w:val="false"/>
                <w:color w:val="1E2533"/>
                <w:sz w:val="18"/>
                <w:szCs w:val="18"/>
              </w:rPr>
              <w:t xml:space="preserve">: minor breach</w:t>
            </w:r>
          </w:p>
        </w:tc>
        <w:tc>
          <w:tcPr>
            <w:tcW w:type="dxa" w:w="1455"/>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SEV-3</w:t>
            </w:r>
          </w:p>
        </w:tc>
        <w:tc>
          <w:tcPr>
            <w:tcW w:type="dxa" w:w="1202"/>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&lt; 4 h</w:t>
            </w:r>
          </w:p>
        </w:tc>
        <w:tc>
          <w:tcPr>
            <w:tcW w:type="dxa" w:w="3414"/>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Email + next-day ticket</w:t>
            </w:r>
          </w:p>
        </w:tc>
      </w:tr>
      <w:tr>
        <w:trPr>
          <w:cantSplit/>
        </w:trPr>
        <w:tc>
          <w:tcPr>
            <w:tcW w:type="dxa" w:w="3289"/>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P4</w:t>
            </w:r>
            <w:r>
              <w:rPr>
                <w:rFonts w:ascii="Calibri" w:cs="Calibri" w:eastAsia="Calibri" w:hAnsi="Calibri"/>
                <w:b w:val="false"/>
                <w:bCs w:val="false"/>
                <w:i w:val="false"/>
                <w:iCs w:val="false"/>
                <w:color w:val="1E2533"/>
                <w:sz w:val="18"/>
                <w:szCs w:val="18"/>
              </w:rPr>
              <w:t xml:space="preserve">: informational</w:t>
            </w:r>
          </w:p>
        </w:tc>
        <w:tc>
          <w:tcPr>
            <w:tcW w:type="dxa" w:w="1455"/>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None</w:t>
            </w:r>
          </w:p>
        </w:tc>
        <w:tc>
          <w:tcPr>
            <w:tcW w:type="dxa" w:w="120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None</w:t>
            </w:r>
          </w:p>
        </w:tc>
        <w:tc>
          <w:tcPr>
            <w:tcW w:type="dxa" w:w="3414"/>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Dashboard only</w:t>
            </w:r>
          </w:p>
        </w:tc>
      </w:tr>
    </w:tbl>
    <w:p>
      <w:pPr>
        <w:pStyle w:val="Heading2"/>
        <w:keepNext/>
        <w:spacing w:after="70" w:before="170"/>
      </w:pPr>
      <w:r>
        <w:rPr>
          <w:rFonts w:ascii="Calibri" w:cs="Calibri" w:eastAsia="Calibri" w:hAnsi="Calibri"/>
          <w:b/>
          <w:bCs/>
          <w:color w:val="1E2A44"/>
          <w:sz w:val="23"/>
          <w:szCs w:val="23"/>
        </w:rPr>
        <w:t xml:space="preserve">4.5 Dashboards (C19)</w:t>
      </w:r>
    </w:p>
    <w:p>
      <w:pPr>
        <w:keepNext w:val="false"/>
        <w:spacing w:after="110" w:before="0" w:line="252"/>
        <w:jc w:val="left"/>
      </w:pPr>
      <w:r>
        <w:rPr>
          <w:rFonts w:ascii="Calibri" w:cs="Calibri" w:eastAsia="Calibri" w:hAnsi="Calibri"/>
          <w:b/>
          <w:bCs/>
          <w:i w:val="false"/>
          <w:iCs w:val="false"/>
          <w:color w:val="1E2533"/>
          <w:sz w:val="21"/>
          <w:szCs w:val="21"/>
        </w:rPr>
        <w:t xml:space="preserve">Platform Ops</w:t>
      </w:r>
      <w:r>
        <w:rPr>
          <w:rFonts w:ascii="Calibri" w:cs="Calibri" w:eastAsia="Calibri" w:hAnsi="Calibri"/>
          <w:b w:val="false"/>
          <w:bCs w:val="false"/>
          <w:i w:val="false"/>
          <w:iCs w:val="false"/>
          <w:color w:val="1E2533"/>
          <w:sz w:val="21"/>
          <w:szCs w:val="21"/>
        </w:rPr>
        <w:t xml:space="preserve"> (Managed Grafana, 30 s refresh): health, latency, errors, tokens vs. quota, cost, alerts, releases. </w:t>
      </w:r>
      <w:r>
        <w:rPr>
          <w:rFonts w:ascii="Calibri" w:cs="Calibri" w:eastAsia="Calibri" w:hAnsi="Calibri"/>
          <w:b/>
          <w:bCs/>
          <w:i w:val="false"/>
          <w:iCs w:val="false"/>
          <w:color w:val="1E2533"/>
          <w:sz w:val="21"/>
          <w:szCs w:val="21"/>
        </w:rPr>
        <w:t xml:space="preserve">App Owner</w:t>
      </w:r>
      <w:r>
        <w:rPr>
          <w:rFonts w:ascii="Calibri" w:cs="Calibri" w:eastAsia="Calibri" w:hAnsi="Calibri"/>
          <w:b w:val="false"/>
          <w:bCs w:val="false"/>
          <w:i w:val="false"/>
          <w:iCs w:val="false"/>
          <w:color w:val="1E2533"/>
          <w:sz w:val="21"/>
          <w:szCs w:val="21"/>
        </w:rPr>
        <w:t xml:space="preserve"> workbooks: groundedness and hallucination (AskRetail), MAPE and batch timeline (StockSense), escalation accuracy, safety and audit completeness (HRHelper). </w:t>
      </w:r>
      <w:r>
        <w:rPr>
          <w:rFonts w:ascii="Calibri" w:cs="Calibri" w:eastAsia="Calibri" w:hAnsi="Calibri"/>
          <w:b/>
          <w:bCs/>
          <w:i w:val="false"/>
          <w:iCs w:val="false"/>
          <w:color w:val="1E2533"/>
          <w:sz w:val="21"/>
          <w:szCs w:val="21"/>
        </w:rPr>
        <w:t xml:space="preserve">Executive/CFO</w:t>
      </w:r>
      <w:r>
        <w:rPr>
          <w:rFonts w:ascii="Calibri" w:cs="Calibri" w:eastAsia="Calibri" w:hAnsi="Calibri"/>
          <w:b w:val="false"/>
          <w:bCs w:val="false"/>
          <w:i w:val="false"/>
          <w:iCs w:val="false"/>
          <w:color w:val="1E2533"/>
          <w:sz w:val="21"/>
          <w:szCs w:val="21"/>
        </w:rPr>
        <w:t xml:space="preserve"> Power BI: spend vs. the $1.4M target, cost per outcome, ROI, compliance.</w:t>
      </w:r>
    </w:p>
    <w:p>
      <w:pPr>
        <w:sectPr>
          <w:footerReference w:type="default" r:id="rId11"/>
          <w:pgSz w:w="12240" w:h="15840" w:orient="portrait"/>
          <w:pgMar w:top="1000" w:right="1440" w:bottom="940" w:left="1440" w:header="708" w:footer="708" w:gutter="0"/>
          <w:pgNumType/>
          <w:docGrid w:linePitch="360"/>
        </w:sectPr>
      </w:pPr>
    </w:p>
    <w:p>
      <w:pPr>
        <w:keepNext/>
        <w:spacing w:after="80"/>
        <w:jc w:val="center"/>
      </w:pPr>
      <w:r>
        <w:drawing>
          <wp:inline distT="0" distB="0" distL="0" distR="0">
            <wp:extent cx="9144000" cy="6191250"/>
            <wp:effectExtent t="0" r="0" b="0" l="0"/>
            <wp:docPr id="1" name="fig3_observability.png" descr="Figure 3. Trace capture, telemetry, continuous evaluation, alert routing and dashboards. Callouts C15–C20 map to §4 and §5."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44000" cy="6191250"/>
                    </a:xfrm>
                    <a:prstGeom prst="rect">
                      <a:avLst/>
                    </a:prstGeom>
                  </pic:spPr>
                </pic:pic>
              </a:graphicData>
            </a:graphic>
          </wp:inline>
        </w:drawing>
      </w:r>
    </w:p>
    <w:p>
      <w:pPr>
        <w:spacing w:after="0"/>
        <w:jc w:val="center"/>
      </w:pPr>
      <w:r>
        <w:rPr>
          <w:rFonts w:ascii="Calibri" w:cs="Calibri" w:eastAsia="Calibri" w:hAnsi="Calibri"/>
          <w:b w:val="false"/>
          <w:bCs w:val="false"/>
          <w:i/>
          <w:iCs/>
          <w:color w:val="5B6575"/>
          <w:sz w:val="19"/>
          <w:szCs w:val="19"/>
        </w:rPr>
        <w:t xml:space="preserve">Figure 3. Trace capture, telemetry, continuous evaluation, alert routing and dashboards. Callouts C15–C20 map to §4 and §5.</w:t>
      </w:r>
    </w:p>
    <w:p>
      <w:pPr>
        <w:sectPr>
          <w:footerReference w:type="default" r:id="rId12"/>
          <w:pgSz w:w="15840" w:h="12240" w:orient="landscape"/>
          <w:pgMar w:top="720" w:right="720" w:bottom="720" w:left="720" w:header="708" w:footer="708" w:gutter="0"/>
          <w:pgNumType/>
          <w:docGrid w:linePitch="360"/>
        </w:sectPr>
      </w:pPr>
    </w:p>
    <w:p>
      <w:pPr>
        <w:pStyle w:val="Heading1"/>
        <w:keepNext/>
        <w:pBdr>
          <w:bottom w:val="single" w:color="C9CED8" w:sz="6" w:space="4"/>
        </w:pBdr>
        <w:spacing w:after="110" w:before="240"/>
      </w:pPr>
      <w:r>
        <w:rPr>
          <w:rFonts w:ascii="Calibri" w:cs="Calibri" w:eastAsia="Calibri" w:hAnsi="Calibri"/>
          <w:b/>
          <w:bCs/>
          <w:color w:val="1E2A44"/>
          <w:sz w:val="28"/>
          <w:szCs w:val="28"/>
        </w:rPr>
        <w:t xml:space="preserve">5. Deployment Operations Runbook (C20)</w:t>
      </w:r>
    </w:p>
    <w:p>
      <w:pPr>
        <w:pStyle w:val="Heading2"/>
        <w:keepNext/>
        <w:spacing w:after="70" w:before="170"/>
      </w:pPr>
      <w:r>
        <w:rPr>
          <w:rFonts w:ascii="Calibri" w:cs="Calibri" w:eastAsia="Calibri" w:hAnsi="Calibri"/>
          <w:b/>
          <w:bCs/>
          <w:color w:val="1E2A44"/>
          <w:sz w:val="23"/>
          <w:szCs w:val="23"/>
        </w:rPr>
        <w:t xml:space="preserve">5.1 Roles and escalation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7"/>
        <w:gridCol w:w="4111"/>
        <w:gridCol w:w="3162"/>
      </w:tblGrid>
      <w:tr>
        <w:trPr>
          <w:cantSplit/>
          <w:tblHeader/>
        </w:trPr>
        <w:tc>
          <w:tcPr>
            <w:tcW w:type="dxa" w:w="2087"/>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Role</w:t>
            </w:r>
          </w:p>
        </w:tc>
        <w:tc>
          <w:tcPr>
            <w:tcW w:type="dxa" w:w="4111"/>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Contact</w:t>
            </w:r>
          </w:p>
        </w:tc>
        <w:tc>
          <w:tcPr>
            <w:tcW w:type="dxa" w:w="3162"/>
            <w:tcBorders>
              <w:top w:val="single" w:color="C9CED8" w:sz="4"/>
              <w:left w:val="single" w:color="C9CED8" w:sz="4"/>
              <w:bottom w:val="single" w:color="C9CED8" w:sz="4"/>
              <w:right w:val="single" w:color="C9CED8" w:sz="4"/>
            </w:tcBorders>
            <w:shd w:fill="1E2A44"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FFFFFF"/>
                <w:sz w:val="18"/>
                <w:szCs w:val="18"/>
              </w:rPr>
              <w:t xml:space="preserve">Responsibility</w:t>
            </w:r>
          </w:p>
        </w:tc>
      </w:tr>
      <w:tr>
        <w:trPr>
          <w:cantSplit/>
        </w:trPr>
        <w:tc>
          <w:tcPr>
            <w:tcW w:type="dxa" w:w="208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On-call SRE</w:t>
            </w:r>
          </w:p>
        </w:tc>
        <w:tc>
          <w:tcPr>
            <w:tcW w:type="dxa" w:w="4111"/>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sre-oncall@nrc.internal; PagerDuty NRC-GenAI-SRE</w:t>
            </w:r>
          </w:p>
        </w:tc>
        <w:tc>
          <w:tcPr>
            <w:tcW w:type="dxa" w:w="316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Deploys, rollbacks, first response</w:t>
            </w:r>
          </w:p>
        </w:tc>
      </w:tr>
      <w:tr>
        <w:trPr>
          <w:cantSplit/>
        </w:trPr>
        <w:tc>
          <w:tcPr>
            <w:tcW w:type="dxa" w:w="2087"/>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Incident Commander</w:t>
            </w:r>
          </w:p>
        </w:tc>
        <w:tc>
          <w:tcPr>
            <w:tcW w:type="dxa" w:w="4111"/>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Senior SRE on rotation</w:t>
            </w:r>
          </w:p>
        </w:tc>
        <w:tc>
          <w:tcPr>
            <w:tcW w:type="dxa" w:w="3162"/>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Status updates, closure, post-mortem</w:t>
            </w:r>
          </w:p>
        </w:tc>
      </w:tr>
      <w:tr>
        <w:trPr>
          <w:cantSplit/>
        </w:trPr>
        <w:tc>
          <w:tcPr>
            <w:tcW w:type="dxa" w:w="208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VP Platform Engineering</w:t>
            </w:r>
          </w:p>
        </w:tc>
        <w:tc>
          <w:tcPr>
            <w:tcW w:type="dxa" w:w="4111"/>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platform-vp@nrc.internal</w:t>
            </w:r>
          </w:p>
        </w:tc>
        <w:tc>
          <w:tcPr>
            <w:tcW w:type="dxa" w:w="316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Escalation after 15 min (SEV-0/1)</w:t>
            </w:r>
          </w:p>
        </w:tc>
      </w:tr>
      <w:tr>
        <w:trPr>
          <w:cantSplit/>
        </w:trPr>
        <w:tc>
          <w:tcPr>
            <w:tcW w:type="dxa" w:w="2087"/>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CISO Security Operations</w:t>
            </w:r>
          </w:p>
        </w:tc>
        <w:tc>
          <w:tcPr>
            <w:tcW w:type="dxa" w:w="4111"/>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soc@nrc.internal</w:t>
            </w:r>
          </w:p>
        </w:tc>
        <w:tc>
          <w:tcPr>
            <w:tcW w:type="dxa" w:w="3162"/>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Security incidents only</w:t>
            </w:r>
          </w:p>
        </w:tc>
      </w:tr>
      <w:tr>
        <w:trPr>
          <w:cantSplit/>
        </w:trPr>
        <w:tc>
          <w:tcPr>
            <w:tcW w:type="dxa" w:w="2087"/>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App Owners</w:t>
            </w:r>
          </w:p>
        </w:tc>
        <w:tc>
          <w:tcPr>
            <w:tcW w:type="dxa" w:w="4111"/>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askretail-, stocksense-, hrhelper-owner@nrc.internal</w:t>
            </w:r>
          </w:p>
        </w:tc>
        <w:tc>
          <w:tcPr>
            <w:tcW w:type="dxa" w:w="3162"/>
            <w:tcBorders>
              <w:top w:val="single" w:color="C9CED8" w:sz="4"/>
              <w:left w:val="single" w:color="C9CED8" w:sz="4"/>
              <w:bottom w:val="single" w:color="C9CED8" w:sz="4"/>
              <w:right w:val="single" w:color="C9CED8" w:sz="4"/>
            </w:tcBorders>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Business impact, approvals</w:t>
            </w:r>
          </w:p>
        </w:tc>
      </w:tr>
      <w:tr>
        <w:trPr>
          <w:cantSplit/>
        </w:trPr>
        <w:tc>
          <w:tcPr>
            <w:tcW w:type="dxa" w:w="2087"/>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bCs/>
                <w:i w:val="false"/>
                <w:iCs w:val="false"/>
                <w:color w:val="1E2533"/>
                <w:sz w:val="18"/>
                <w:szCs w:val="18"/>
              </w:rPr>
              <w:t xml:space="preserve">Compliance Officer, Legal</w:t>
            </w:r>
          </w:p>
        </w:tc>
        <w:tc>
          <w:tcPr>
            <w:tcW w:type="dxa" w:w="4111"/>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Via HRHelper owner</w:t>
            </w:r>
          </w:p>
        </w:tc>
        <w:tc>
          <w:tcPr>
            <w:tcW w:type="dxa" w:w="3162"/>
            <w:tcBorders>
              <w:top w:val="single" w:color="C9CED8" w:sz="4"/>
              <w:left w:val="single" w:color="C9CED8" w:sz="4"/>
              <w:bottom w:val="single" w:color="C9CED8" w:sz="4"/>
              <w:right w:val="single" w:color="C9CED8" w:sz="4"/>
            </w:tcBorders>
            <w:shd w:fill="F4F6F9" w:color="auto" w:val="clear"/>
            <w:tcMar>
              <w:top w:type="dxa" w:w="40"/>
              <w:left w:type="dxa" w:w="90"/>
              <w:bottom w:type="dxa" w:w="40"/>
              <w:right w:type="dxa" w:w="90"/>
            </w:tcMar>
          </w:tcPr>
          <w:p>
            <w:pPr>
              <w:spacing w:after="0" w:line="240"/>
            </w:pPr>
            <w:r>
              <w:rPr>
                <w:rFonts w:ascii="Calibri" w:cs="Calibri" w:eastAsia="Calibri" w:hAnsi="Calibri"/>
                <w:b w:val="false"/>
                <w:bCs w:val="false"/>
                <w:i w:val="false"/>
                <w:iCs w:val="false"/>
                <w:color w:val="1E2533"/>
                <w:sz w:val="18"/>
                <w:szCs w:val="18"/>
              </w:rPr>
              <w:t xml:space="preserve">HRHelper standby, sign-off</w:t>
            </w:r>
          </w:p>
        </w:tc>
      </w:tr>
    </w:tbl>
    <w:p>
      <w:pPr>
        <w:pStyle w:val="Heading2"/>
        <w:keepNext/>
        <w:spacing w:after="70" w:before="170"/>
      </w:pPr>
      <w:r>
        <w:rPr>
          <w:rFonts w:ascii="Calibri" w:cs="Calibri" w:eastAsia="Calibri" w:hAnsi="Calibri"/>
          <w:b/>
          <w:bCs/>
          <w:color w:val="1E2A44"/>
          <w:sz w:val="23"/>
          <w:szCs w:val="23"/>
        </w:rPr>
        <w:t xml:space="preserve">5.2 Standard deployment</w:t>
      </w:r>
    </w:p>
    <w:p>
      <w:pPr>
        <w:pStyle w:val="ListParagraph"/>
        <w:numPr>
          <w:ilvl w:val="0"/>
          <w:numId w:val="3"/>
        </w:numPr>
        <w:spacing w:after="50" w:line="250"/>
      </w:pPr>
      <w:r>
        <w:rPr>
          <w:rFonts w:ascii="Calibri" w:cs="Calibri" w:eastAsia="Calibri" w:hAnsi="Calibri"/>
          <w:b w:val="false"/>
          <w:bCs w:val="false"/>
          <w:i w:val="false"/>
          <w:iCs w:val="false"/>
          <w:color w:val="1E2533"/>
          <w:sz w:val="21"/>
          <w:szCs w:val="21"/>
        </w:rPr>
        <w:t xml:space="preserve">Confirm the pinned release (semver, artifact SHA, no “latest”) and an all-PASS evaluation report.</w:t>
      </w:r>
    </w:p>
    <w:p>
      <w:pPr>
        <w:pStyle w:val="ListParagraph"/>
        <w:numPr>
          <w:ilvl w:val="0"/>
          <w:numId w:val="3"/>
        </w:numPr>
        <w:spacing w:after="50" w:line="250"/>
      </w:pPr>
      <w:r>
        <w:rPr>
          <w:rFonts w:ascii="Calibri" w:cs="Calibri" w:eastAsia="Calibri" w:hAnsi="Calibri"/>
          <w:b w:val="false"/>
          <w:bCs w:val="false"/>
          <w:i w:val="false"/>
          <w:iCs w:val="false"/>
          <w:color w:val="1E2533"/>
          <w:sz w:val="21"/>
          <w:szCs w:val="21"/>
        </w:rPr>
        <w:t xml:space="preserve">Check the window: Tier 1 Tue/Thu 02:00–04:00 ET; Tier 2 Mon/Wed 06:00–08:00 ET.</w:t>
      </w:r>
    </w:p>
    <w:p>
      <w:pPr>
        <w:pStyle w:val="ListParagraph"/>
        <w:numPr>
          <w:ilvl w:val="0"/>
          <w:numId w:val="3"/>
        </w:numPr>
        <w:spacing w:after="50" w:line="250"/>
      </w:pPr>
      <w:r>
        <w:rPr>
          <w:rFonts w:ascii="Calibri" w:cs="Calibri" w:eastAsia="Calibri" w:hAnsi="Calibri"/>
          <w:b w:val="false"/>
          <w:bCs w:val="false"/>
          <w:i w:val="false"/>
          <w:iCs w:val="false"/>
          <w:color w:val="1E2533"/>
          <w:sz w:val="21"/>
          <w:szCs w:val="21"/>
        </w:rPr>
        <w:t xml:space="preserve">Back up digest, prompt version, model reference and APIM config to production-backups/{app}/{date}.</w:t>
      </w:r>
    </w:p>
    <w:p>
      <w:pPr>
        <w:pStyle w:val="ListParagraph"/>
        <w:numPr>
          <w:ilvl w:val="0"/>
          <w:numId w:val="3"/>
        </w:numPr>
        <w:spacing w:after="50" w:line="250"/>
      </w:pPr>
      <w:r>
        <w:rPr>
          <w:rFonts w:ascii="Calibri" w:cs="Calibri" w:eastAsia="Calibri" w:hAnsi="Calibri"/>
          <w:b w:val="false"/>
          <w:bCs w:val="false"/>
          <w:i w:val="false"/>
          <w:iCs w:val="false"/>
          <w:color w:val="1E2533"/>
          <w:sz w:val="21"/>
          <w:szCs w:val="21"/>
        </w:rPr>
        <w:t xml:space="preserve">Announce in #genai-deployments; on-call acknowledges in PagerDuty (HRHelper: Compliance Officer on standby).</w:t>
      </w:r>
    </w:p>
    <w:p>
      <w:pPr>
        <w:pStyle w:val="ListParagraph"/>
        <w:numPr>
          <w:ilvl w:val="0"/>
          <w:numId w:val="3"/>
        </w:numPr>
        <w:spacing w:after="50" w:line="250"/>
      </w:pPr>
      <w:r>
        <w:rPr>
          <w:rFonts w:ascii="Calibri" w:cs="Calibri" w:eastAsia="Calibri" w:hAnsi="Calibri"/>
          <w:b w:val="false"/>
          <w:bCs w:val="false"/>
          <w:i w:val="false"/>
          <w:iCs w:val="false"/>
          <w:color w:val="1E2533"/>
          <w:sz w:val="21"/>
          <w:szCs w:val="21"/>
        </w:rPr>
        <w:t xml:space="preserve">Run the pipeline; staging smoke tests pass 5/5; record approvals.</w:t>
      </w:r>
    </w:p>
    <w:p>
      <w:pPr>
        <w:pStyle w:val="ListParagraph"/>
        <w:numPr>
          <w:ilvl w:val="0"/>
          <w:numId w:val="3"/>
        </w:numPr>
        <w:spacing w:after="50" w:line="250"/>
      </w:pPr>
      <w:r>
        <w:rPr>
          <w:rFonts w:ascii="Calibri" w:cs="Calibri" w:eastAsia="Calibri" w:hAnsi="Calibri"/>
          <w:b w:val="false"/>
          <w:bCs w:val="false"/>
          <w:i w:val="false"/>
          <w:iCs w:val="false"/>
          <w:color w:val="1E2533"/>
          <w:sz w:val="21"/>
          <w:szCs w:val="21"/>
        </w:rPr>
        <w:t xml:space="preserve">Validate: three-region probes 100%, tier error limit met, groundedness ≥ threshold − 0.02, cost &lt; 110% of baseline, pods healthy, 0 Critical/High findings.</w:t>
      </w:r>
    </w:p>
    <w:p>
      <w:pPr>
        <w:pStyle w:val="ListParagraph"/>
        <w:numPr>
          <w:ilvl w:val="0"/>
          <w:numId w:val="3"/>
        </w:numPr>
        <w:spacing w:after="50" w:line="250"/>
      </w:pPr>
      <w:r>
        <w:rPr>
          <w:rFonts w:ascii="Calibri" w:cs="Calibri" w:eastAsia="Calibri" w:hAnsi="Calibri"/>
          <w:b w:val="false"/>
          <w:bCs w:val="false"/>
          <w:i w:val="false"/>
          <w:iCs w:val="false"/>
          <w:color w:val="1E2533"/>
          <w:sz w:val="21"/>
          <w:szCs w:val="21"/>
        </w:rPr>
        <w:t xml:space="preserve">Update the CMDB; close the ServiceNow change.</w:t>
      </w:r>
    </w:p>
    <w:p>
      <w:pPr>
        <w:pStyle w:val="Heading2"/>
        <w:keepNext/>
        <w:spacing w:after="70" w:before="170"/>
      </w:pPr>
      <w:r>
        <w:rPr>
          <w:rFonts w:ascii="Calibri" w:cs="Calibri" w:eastAsia="Calibri" w:hAnsi="Calibri"/>
          <w:b/>
          <w:bCs/>
          <w:color w:val="1E2A44"/>
          <w:sz w:val="23"/>
          <w:szCs w:val="23"/>
        </w:rPr>
        <w:t xml:space="preserve">5.3 Progressive rollout</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Follow §3.2 without skipping windows: </w:t>
      </w:r>
      <w:r>
        <w:rPr>
          <w:rFonts w:ascii="Calibri" w:cs="Calibri" w:eastAsia="Calibri" w:hAnsi="Calibri"/>
          <w:b/>
          <w:bCs/>
          <w:i w:val="false"/>
          <w:iCs w:val="false"/>
          <w:color w:val="1E2533"/>
          <w:sz w:val="21"/>
          <w:szCs w:val="21"/>
        </w:rPr>
        <w:t xml:space="preserve">AskRetail</w:t>
      </w:r>
      <w:r>
        <w:rPr>
          <w:rFonts w:ascii="Calibri" w:cs="Calibri" w:eastAsia="Calibri" w:hAnsi="Calibri"/>
          <w:b w:val="false"/>
          <w:bCs w:val="false"/>
          <w:i w:val="false"/>
          <w:iCs w:val="false"/>
          <w:color w:val="1E2533"/>
          <w:sz w:val="21"/>
          <w:szCs w:val="21"/>
        </w:rPr>
        <w:t xml:space="preserve"> observes 15 min and keeps blue 7 days; </w:t>
      </w:r>
      <w:r>
        <w:rPr>
          <w:rFonts w:ascii="Calibri" w:cs="Calibri" w:eastAsia="Calibri" w:hAnsi="Calibri"/>
          <w:b/>
          <w:bCs/>
          <w:i w:val="false"/>
          <w:iCs w:val="false"/>
          <w:color w:val="1E2533"/>
          <w:sz w:val="21"/>
          <w:szCs w:val="21"/>
        </w:rPr>
        <w:t xml:space="preserve">StockSense</w:t>
      </w:r>
      <w:r>
        <w:rPr>
          <w:rFonts w:ascii="Calibri" w:cs="Calibri" w:eastAsia="Calibri" w:hAnsi="Calibri"/>
          <w:b w:val="false"/>
          <w:bCs w:val="false"/>
          <w:i w:val="false"/>
          <w:iCs w:val="false"/>
          <w:color w:val="1E2533"/>
          <w:sz w:val="21"/>
          <w:szCs w:val="21"/>
        </w:rPr>
        <w:t xml:space="preserve"> steps 10% → 50% (three batch runs) → 100%, keeping the old version warm 2 h; </w:t>
      </w:r>
      <w:r>
        <w:rPr>
          <w:rFonts w:ascii="Calibri" w:cs="Calibri" w:eastAsia="Calibri" w:hAnsi="Calibri"/>
          <w:b/>
          <w:bCs/>
          <w:i w:val="false"/>
          <w:iCs w:val="false"/>
          <w:color w:val="1E2533"/>
          <w:sz w:val="21"/>
          <w:szCs w:val="21"/>
        </w:rPr>
        <w:t xml:space="preserve">HRHelper</w:t>
      </w:r>
      <w:r>
        <w:rPr>
          <w:rFonts w:ascii="Calibri" w:cs="Calibri" w:eastAsia="Calibri" w:hAnsi="Calibri"/>
          <w:b w:val="false"/>
          <w:bCs w:val="false"/>
          <w:i w:val="false"/>
          <w:iCs w:val="false"/>
          <w:color w:val="1E2533"/>
          <w:sz w:val="21"/>
          <w:szCs w:val="21"/>
        </w:rPr>
        <w:t xml:space="preserve"> observes 30 min, then needs Compliance Officer sign-off after 2 h.</w:t>
      </w:r>
    </w:p>
    <w:p>
      <w:pPr>
        <w:pStyle w:val="Heading2"/>
        <w:keepNext/>
        <w:spacing w:after="70" w:before="170"/>
      </w:pPr>
      <w:r>
        <w:rPr>
          <w:rFonts w:ascii="Calibri" w:cs="Calibri" w:eastAsia="Calibri" w:hAnsi="Calibri"/>
          <w:b/>
          <w:bCs/>
          <w:color w:val="1E2A44"/>
          <w:sz w:val="23"/>
          <w:szCs w:val="23"/>
        </w:rPr>
        <w:t xml:space="preserve">5.4 Incident detection and response (SEV-0/1)</w:t>
      </w:r>
    </w:p>
    <w:p>
      <w:pPr>
        <w:pStyle w:val="ListParagraph"/>
        <w:numPr>
          <w:ilvl w:val="0"/>
          <w:numId w:val="4"/>
        </w:numPr>
        <w:spacing w:after="50" w:line="250"/>
      </w:pPr>
      <w:r>
        <w:rPr>
          <w:rFonts w:ascii="Calibri" w:cs="Calibri" w:eastAsia="Calibri" w:hAnsi="Calibri"/>
          <w:b/>
          <w:bCs/>
          <w:i w:val="false"/>
          <w:iCs w:val="false"/>
          <w:color w:val="1E2533"/>
          <w:sz w:val="21"/>
          <w:szCs w:val="21"/>
        </w:rPr>
        <w:t xml:space="preserve">Detect:</w:t>
      </w:r>
      <w:r>
        <w:rPr>
          <w:rFonts w:ascii="Calibri" w:cs="Calibri" w:eastAsia="Calibri" w:hAnsi="Calibri"/>
          <w:b w:val="false"/>
          <w:bCs w:val="false"/>
          <w:i w:val="false"/>
          <w:iCs w:val="false"/>
          <w:color w:val="1E2533"/>
          <w:sz w:val="21"/>
          <w:szCs w:val="21"/>
        </w:rPr>
        <w:t xml:space="preserve"> acknowledge within 5 min; open #incident-{timestamp}.</w:t>
      </w:r>
    </w:p>
    <w:p>
      <w:pPr>
        <w:pStyle w:val="ListParagraph"/>
        <w:numPr>
          <w:ilvl w:val="0"/>
          <w:numId w:val="4"/>
        </w:numPr>
        <w:spacing w:after="50" w:line="250"/>
      </w:pPr>
      <w:r>
        <w:rPr>
          <w:rFonts w:ascii="Calibri" w:cs="Calibri" w:eastAsia="Calibri" w:hAnsi="Calibri"/>
          <w:b/>
          <w:bCs/>
          <w:i w:val="false"/>
          <w:iCs w:val="false"/>
          <w:color w:val="1E2533"/>
          <w:sz w:val="21"/>
          <w:szCs w:val="21"/>
        </w:rPr>
        <w:t xml:space="preserve">Triage:</w:t>
      </w:r>
      <w:r>
        <w:rPr>
          <w:rFonts w:ascii="Calibri" w:cs="Calibri" w:eastAsia="Calibri" w:hAnsi="Calibri"/>
          <w:b w:val="false"/>
          <w:bCs w:val="false"/>
          <w:i w:val="false"/>
          <w:iCs w:val="false"/>
          <w:color w:val="1E2533"/>
          <w:sz w:val="21"/>
          <w:szCs w:val="21"/>
        </w:rPr>
        <w:t xml:space="preserve"> classify (§4.4); notify App Owner, VP Platform, CISO (security), Legal (HRHelper).</w:t>
      </w:r>
    </w:p>
    <w:p>
      <w:pPr>
        <w:pStyle w:val="ListParagraph"/>
        <w:numPr>
          <w:ilvl w:val="0"/>
          <w:numId w:val="4"/>
        </w:numPr>
        <w:spacing w:after="50" w:line="250"/>
      </w:pPr>
      <w:r>
        <w:rPr>
          <w:rFonts w:ascii="Calibri" w:cs="Calibri" w:eastAsia="Calibri" w:hAnsi="Calibri"/>
          <w:b/>
          <w:bCs/>
          <w:i w:val="false"/>
          <w:iCs w:val="false"/>
          <w:color w:val="1E2533"/>
          <w:sz w:val="21"/>
          <w:szCs w:val="21"/>
        </w:rPr>
        <w:t xml:space="preserve">Contain:</w:t>
      </w:r>
      <w:r>
        <w:rPr>
          <w:rFonts w:ascii="Calibri" w:cs="Calibri" w:eastAsia="Calibri" w:hAnsi="Calibri"/>
          <w:b w:val="false"/>
          <w:bCs w:val="false"/>
          <w:i w:val="false"/>
          <w:iCs w:val="false"/>
          <w:color w:val="1E2533"/>
          <w:sz w:val="21"/>
          <w:szCs w:val="21"/>
        </w:rPr>
        <w:t xml:space="preserve"> roll back (§5.5) or set the app’s APIM rate limit to 0; preserve evidence.</w:t>
      </w:r>
    </w:p>
    <w:p>
      <w:pPr>
        <w:pStyle w:val="ListParagraph"/>
        <w:numPr>
          <w:ilvl w:val="0"/>
          <w:numId w:val="4"/>
        </w:numPr>
        <w:spacing w:after="50" w:line="250"/>
      </w:pPr>
      <w:r>
        <w:rPr>
          <w:rFonts w:ascii="Calibri" w:cs="Calibri" w:eastAsia="Calibri" w:hAnsi="Calibri"/>
          <w:b/>
          <w:bCs/>
          <w:i w:val="false"/>
          <w:iCs w:val="false"/>
          <w:color w:val="1E2533"/>
          <w:sz w:val="21"/>
          <w:szCs w:val="21"/>
        </w:rPr>
        <w:t xml:space="preserve">Communicate:</w:t>
      </w:r>
      <w:r>
        <w:rPr>
          <w:rFonts w:ascii="Calibri" w:cs="Calibri" w:eastAsia="Calibri" w:hAnsi="Calibri"/>
          <w:b w:val="false"/>
          <w:bCs w:val="false"/>
          <w:i w:val="false"/>
          <w:iCs w:val="false"/>
          <w:color w:val="1E2533"/>
          <w:sz w:val="21"/>
          <w:szCs w:val="21"/>
        </w:rPr>
        <w:t xml:space="preserve"> status.nrc.internal within 10 min, then every 30 min; executives within 15 min (SEV-0).</w:t>
      </w:r>
    </w:p>
    <w:p>
      <w:pPr>
        <w:pStyle w:val="ListParagraph"/>
        <w:numPr>
          <w:ilvl w:val="0"/>
          <w:numId w:val="4"/>
        </w:numPr>
        <w:spacing w:after="50" w:line="250"/>
      </w:pPr>
      <w:r>
        <w:rPr>
          <w:rFonts w:ascii="Calibri" w:cs="Calibri" w:eastAsia="Calibri" w:hAnsi="Calibri"/>
          <w:b/>
          <w:bCs/>
          <w:i w:val="false"/>
          <w:iCs w:val="false"/>
          <w:color w:val="1E2533"/>
          <w:sz w:val="21"/>
          <w:szCs w:val="21"/>
        </w:rPr>
        <w:t xml:space="preserve">Investigate</w:t>
      </w:r>
      <w:r>
        <w:rPr>
          <w:rFonts w:ascii="Calibri" w:cs="Calibri" w:eastAsia="Calibri" w:hAnsi="Calibri"/>
          <w:b w:val="false"/>
          <w:bCs w:val="false"/>
          <w:i w:val="false"/>
          <w:iCs w:val="false"/>
          <w:color w:val="1E2533"/>
          <w:sz w:val="21"/>
          <w:szCs w:val="21"/>
        </w:rPr>
        <w:t xml:space="preserve"> via the decision tree: all apps → infrastructure; latency only → model or retrieval; quality only → model, prompt or index; security → CISO. No unapproved production changes.</w:t>
      </w:r>
    </w:p>
    <w:p>
      <w:pPr>
        <w:pStyle w:val="ListParagraph"/>
        <w:numPr>
          <w:ilvl w:val="0"/>
          <w:numId w:val="4"/>
        </w:numPr>
        <w:spacing w:after="50" w:line="250"/>
      </w:pPr>
      <w:r>
        <w:rPr>
          <w:rFonts w:ascii="Calibri" w:cs="Calibri" w:eastAsia="Calibri" w:hAnsi="Calibri"/>
          <w:b/>
          <w:bCs/>
          <w:i w:val="false"/>
          <w:iCs w:val="false"/>
          <w:color w:val="1E2533"/>
          <w:sz w:val="21"/>
          <w:szCs w:val="21"/>
        </w:rPr>
        <w:t xml:space="preserve">Resolve:</w:t>
      </w:r>
      <w:r>
        <w:rPr>
          <w:rFonts w:ascii="Calibri" w:cs="Calibri" w:eastAsia="Calibri" w:hAnsi="Calibri"/>
          <w:b w:val="false"/>
          <w:bCs w:val="false"/>
          <w:i w:val="false"/>
          <w:iCs w:val="false"/>
          <w:color w:val="1E2533"/>
          <w:sz w:val="21"/>
          <w:szCs w:val="21"/>
        </w:rPr>
        <w:t xml:space="preserve"> re-run §5.2 step 6; monitor 1 h (SEV-1) or 4 h (SEV-0) before the all-clear.</w:t>
      </w:r>
    </w:p>
    <w:p>
      <w:pPr>
        <w:pStyle w:val="Heading2"/>
        <w:keepNext/>
        <w:spacing w:after="70" w:before="170"/>
      </w:pPr>
      <w:r>
        <w:rPr>
          <w:rFonts w:ascii="Calibri" w:cs="Calibri" w:eastAsia="Calibri" w:hAnsi="Calibri"/>
          <w:b/>
          <w:bCs/>
          <w:color w:val="1E2A44"/>
          <w:sz w:val="23"/>
          <w:szCs w:val="23"/>
        </w:rPr>
        <w:t xml:space="preserve">5.5 Rollback execution</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Shift APIM weight to the last-known-good release (blue/green 100%, canary 0%); revert the App Configuration snapshot; redeploy the old image only if the artifact is faulty; pass 5/5 smoke tests and watch 15 min; announce “Rollback to vX.Y.Z complete”; keep failed artifacts 30 days. Targets: under 3 min (AskRetail, HRHelper), under 5 min (StockSense).</w:t>
      </w:r>
    </w:p>
    <w:p>
      <w:pPr>
        <w:pStyle w:val="Heading2"/>
        <w:keepNext/>
        <w:spacing w:after="70" w:before="170"/>
      </w:pPr>
      <w:r>
        <w:rPr>
          <w:rFonts w:ascii="Calibri" w:cs="Calibri" w:eastAsia="Calibri" w:hAnsi="Calibri"/>
          <w:b/>
          <w:bCs/>
          <w:color w:val="1E2A44"/>
          <w:sz w:val="23"/>
          <w:szCs w:val="23"/>
        </w:rPr>
        <w:t xml:space="preserve">5.6 Post-incident review</w:t>
      </w:r>
    </w:p>
    <w:p>
      <w:pPr>
        <w:keepNext w:val="false"/>
        <w:spacing w:after="110" w:before="0" w:line="252"/>
        <w:jc w:val="left"/>
      </w:pPr>
      <w:r>
        <w:rPr>
          <w:rFonts w:ascii="Calibri" w:cs="Calibri" w:eastAsia="Calibri" w:hAnsi="Calibri"/>
          <w:b w:val="false"/>
          <w:bCs w:val="false"/>
          <w:i w:val="false"/>
          <w:iCs w:val="false"/>
          <w:color w:val="1E2533"/>
          <w:sz w:val="21"/>
          <w:szCs w:val="21"/>
        </w:rPr>
        <w:t xml:space="preserve">Confirm 24 h of baseline metrics, complete audit logs and recorded cost impact; lock evidence in WORM storage. Hold a blameless post-mortem within 24 h (SEV-0), 48 h (SEV-1) or 5 business days (SEV-2): timeline, 5-Whys root cause, impact, detection gaps and owned actions. Update this runbook after every SEV-0/1.</w:t>
      </w:r>
    </w:p>
    <w:p>
      <w:pPr>
        <w:keepNext w:val="false"/>
        <w:spacing w:after="110" w:before="120" w:line="252"/>
        <w:jc w:val="left"/>
      </w:pPr>
      <w:r>
        <w:rPr>
          <w:rFonts w:ascii="Calibri" w:cs="Calibri" w:eastAsia="Calibri" w:hAnsi="Calibri"/>
          <w:b/>
          <w:bCs/>
          <w:i w:val="false"/>
          <w:iCs w:val="false"/>
          <w:color w:val="5B6575"/>
          <w:sz w:val="18"/>
          <w:szCs w:val="18"/>
        </w:rPr>
        <w:t xml:space="preserve">Sources:</w:t>
      </w:r>
      <w:r>
        <w:rPr>
          <w:rFonts w:ascii="Calibri" w:cs="Calibri" w:eastAsia="Calibri" w:hAnsi="Calibri"/>
          <w:b w:val="false"/>
          <w:bCs w:val="false"/>
          <w:i w:val="false"/>
          <w:iCs w:val="false"/>
          <w:color w:val="5B6575"/>
          <w:sz w:val="18"/>
          <w:szCs w:val="18"/>
        </w:rPr>
        <w:t xml:space="preserve"> NRC Scenario Brief, CI/CD Pipeline Diagram Template, Observability Metric Examples and Deployment Operations Runbook (v2026.1); Azure Well-Architected Framework; NIST AI RMF 1.0.</w:t>
      </w:r>
    </w:p>
    <w:sectPr>
      <w:footerReference w:type="default" r:id="rId13"/>
      <w:pgSz w:w="12240" w:h="15840" w:orient="portrait"/>
      <w:pgMar w:top="1000" w:right="1440" w:bottom="9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575"/>
        <w:sz w:val="16"/>
        <w:szCs w:val="16"/>
      </w:rPr>
      <w:t xml:space="preserve">Dennis · Enterprise Deployment and Monitoring Architecture · National Retail Corp</w:t>
    </w:r>
    <w:r>
      <w:rPr>
        <w:rFonts w:ascii="Calibri" w:cs="Calibri" w:eastAsia="Calibri" w:hAnsi="Calibri"/>
        <w:color w:val="5B6575"/>
        <w:sz w:val="16"/>
        <w:szCs w:val="16"/>
      </w:rPr>
      <w:tab/>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575"/>
        <w:sz w:val="16"/>
        <w:szCs w:val="16"/>
      </w:rPr>
      <w:t xml:space="preserve">Dennis · Enterprise Deployment and Monitoring Architecture · National Retail Corp</w:t>
    </w:r>
    <w:r>
      <w:rPr>
        <w:rFonts w:ascii="Calibri" w:cs="Calibri" w:eastAsia="Calibri" w:hAnsi="Calibri"/>
        <w:color w:val="5B6575"/>
        <w:sz w:val="16"/>
        <w:szCs w:val="16"/>
      </w:rPr>
      <w:tab/>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575"/>
        <w:sz w:val="16"/>
        <w:szCs w:val="16"/>
      </w:rPr>
      <w:t xml:space="preserve">Dennis · Enterprise Deployment and Monitoring Architecture · National Retail Corp</w:t>
    </w:r>
    <w:r>
      <w:rPr>
        <w:rFonts w:ascii="Calibri" w:cs="Calibri" w:eastAsia="Calibri" w:hAnsi="Calibri"/>
        <w:color w:val="5B6575"/>
        <w:sz w:val="16"/>
        <w:szCs w:val="16"/>
      </w:rPr>
      <w:tab/>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575"/>
        <w:sz w:val="16"/>
        <w:szCs w:val="16"/>
      </w:rPr>
      <w:t xml:space="preserve">Dennis · Enterprise Deployment and Monitoring Architecture · National Retail Corp</w:t>
    </w:r>
    <w:r>
      <w:rPr>
        <w:rFonts w:ascii="Calibri" w:cs="Calibri" w:eastAsia="Calibri" w:hAnsi="Calibri"/>
        <w:color w:val="5B6575"/>
        <w:sz w:val="16"/>
        <w:szCs w:val="16"/>
      </w:rPr>
      <w:tab/>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575"/>
        <w:sz w:val="16"/>
        <w:szCs w:val="16"/>
      </w:rPr>
      <w:t xml:space="preserve">Dennis · Enterprise Deployment and Monitoring Architecture · National Retail Corp</w:t>
    </w:r>
    <w:r>
      <w:rPr>
        <w:rFonts w:ascii="Calibri" w:cs="Calibri" w:eastAsia="Calibri" w:hAnsi="Calibri"/>
        <w:color w:val="5B6575"/>
        <w:sz w:val="16"/>
        <w:szCs w:val="16"/>
      </w:rPr>
      <w:tab/>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575"/>
        <w:sz w:val="16"/>
        <w:szCs w:val="16"/>
      </w:rPr>
      <w:t xml:space="preserve">Dennis · Enterprise Deployment and Monitoring Architecture · National Retail Corp</w:t>
    </w:r>
    <w:r>
      <w:rPr>
        <w:rFonts w:ascii="Calibri" w:cs="Calibri" w:eastAsia="Calibri" w:hAnsi="Calibri"/>
        <w:color w:val="5B6575"/>
        <w:sz w:val="16"/>
        <w:szCs w:val="16"/>
      </w:rPr>
      <w:tab/>
      <w:t xml:space="preserve">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575"/>
        <w:sz w:val="16"/>
        <w:szCs w:val="16"/>
      </w:rPr>
      <w:t xml:space="preserve">Dennis · Enterprise Deployment and Monitoring Architecture · National Retail Corp</w:t>
    </w:r>
    <w:r>
      <w:rPr>
        <w:rFonts w:ascii="Calibri" w:cs="Calibri" w:eastAsia="Calibri" w:hAnsi="Calibri"/>
        <w:color w:val="5B6575"/>
        <w:sz w:val="16"/>
        <w:szCs w:val="16"/>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5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1ab654d276e9fb8e0360862972251b93468cc024.png"/><Relationship Id="rId15" Type="http://schemas.openxmlformats.org/officeDocument/2006/relationships/image" Target="media/2f420fa88ff8197ae02718dd0b131b58a6b8ef8b.png"/><Relationship Id="rId16" Type="http://schemas.openxmlformats.org/officeDocument/2006/relationships/image" Target="media/059f6a756b5fc9c1c15a042673e1f0f66d3f9fa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Deployment and Monitoring Architecture</dc:title>
  <dc:creator>Dennis</dc:creator>
  <dc:description>National Retail Corp GenAI platform: CI/CD, AI gateway, observability and runbook</dc:description>
  <cp:lastModifiedBy>Un-named</cp:lastModifiedBy>
  <cp:revision>1</cp:revision>
  <dcterms:created xsi:type="dcterms:W3CDTF">2026-10-12T13:17:10.499Z</dcterms:created>
  <dcterms:modified xsi:type="dcterms:W3CDTF">2026-10-12T13:17:10.500Z</dcterms:modified>
</cp:coreProperties>
</file>

<file path=docProps/custom.xml><?xml version="1.0" encoding="utf-8"?>
<Properties xmlns="http://schemas.openxmlformats.org/officeDocument/2006/custom-properties" xmlns:vt="http://schemas.openxmlformats.org/officeDocument/2006/docPropsVTypes"/>
</file>