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Prompt &amp; RAG Experimentation Framework</w:t>
      </w:r>
    </w:p>
    <w:p>
      <w:pPr>
        <w:spacing w:after="40"/>
      </w:pPr>
      <w:r>
        <w:rPr>
          <w:rFonts w:ascii="Calibri" w:cs="Calibri" w:eastAsia="Calibri" w:hAnsi="Calibri"/>
          <w:color w:val="2E5C8A"/>
          <w:sz w:val="26"/>
          <w:szCs w:val="26"/>
        </w:rPr>
        <w:t xml:space="preserve">Contoso Health System (CHS) — Clinical Knowledge Assistant</w:t>
      </w:r>
    </w:p>
    <w:p>
      <w:pPr>
        <w:pBdr>
          <w:bottom w:val="single" w:color="1B2A4A" w:sz="8" w:space="6"/>
        </w:pBdr>
        <w:spacing w:after="20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Prepared by Dennis (GenAIOps Engineer), version 1.0, 12 October 2026. Audience: engineering, clinical SMEs, compliance.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Purpose, Scope and Environment Tags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This framework governs how prompt and RAG changes to the CHS Clinical Knowledge Assistant are proposed, tested, approved, promoted and rolled back. Every production answer traces to a </w:t>
      </w:r>
      <w:r>
        <w:rPr>
          <w:rFonts w:ascii="Calibri" w:cs="Calibri" w:eastAsia="Calibri" w:hAnsi="Calibri"/>
          <w:b/>
          <w:bCs/>
        </w:rPr>
        <w:t xml:space="preserve">release tuple</w:t>
      </w:r>
      <w:r>
        <w:rPr>
          <w:rFonts w:ascii="Calibri" w:cs="Calibri" w:eastAsia="Calibri" w:hAnsi="Calibri"/>
        </w:rPr>
        <w:t xml:space="preserve"> (prompt, index, embedding and model versions), and every promotion is reconstructable from the audit trail. Environment values appear as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{{TAGS}}</w:t>
      </w:r>
      <w:r>
        <w:rPr>
          <w:rFonts w:ascii="Calibri" w:cs="Calibri" w:eastAsia="Calibri" w:hAnsi="Calibri"/>
        </w:rPr>
        <w:t xml:space="preserve">, resolved per environment from Key Vault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{{KEYVAULT_URI}}</w:t>
      </w:r>
      <w:r>
        <w:rPr>
          <w:rFonts w:ascii="Calibri" w:cs="Calibri" w:eastAsia="Calibri" w:hAnsi="Calibri"/>
        </w:rPr>
        <w:t xml:space="preserve"> and a pinned lockfile.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780"/>
        <w:gridCol w:w="3300"/>
      </w:tblGrid>
      <w:tr>
        <w:trPr>
          <w:tblHeader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Tag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Resolves to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{{FOUNDRY_PROJECT_ENDPOINT}}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https://&lt;resource&gt;.services.ai.azure.com/api/projects/&lt;project&gt;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Evaluation runs; judge model </w:t>
            </w: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{{JUDGE_DEPLOYMENT}}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{{AOAI_ENDPOINT}}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Foundry model inference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Generation and embeddings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{{SEARCH_ENDPOINT}}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https://&lt;service&gt;.search.windows.net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Per-domain indices, release aliases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{{LANGUAGE_ENDPOINT}}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Azure AI Language PII detection (PHI domain)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PHI scans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{{AUDIT_STORAGE_ENDPOINT}}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Immutable (WORM) blob container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 records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{{APPINSIGHTS_CONNECTION}}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Application Insights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Telemetry, drift alerts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{{SDK_AI_EVALUATION}}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{{SDK_AI_PROJECTS}}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{{SDK_SEARCH}}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{{SDK_OPENAI}}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{{SDK_IDENTITY}}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{{SDK_TEXTANALYTICS}}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Pinned versions of azure-ai-evaluation, azure-ai-projects, azure-search-documents, openai, azure-identity, azure-ai-textanalytics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Reproducible runs; upgrades are change-controlled</w:t>
            </w:r>
          </w:p>
        </w:tc>
      </w:tr>
    </w:tbl>
    <w:p>
      <w:pPr>
        <w:spacing w:after="120" w:before="5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Table 1. Environment tags (Entra ID principal tags: Table 9).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Risk Classification Rules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Tiers use the scenario brief’s names verbatim and drive every gate, threshold and SLA: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</w:rPr>
        <w:t xml:space="preserve">Critical:</w:t>
      </w:r>
      <w:r>
        <w:rPr>
          <w:rFonts w:ascii="Calibri" w:cs="Calibri" w:eastAsia="Calibri" w:hAnsi="Calibri"/>
        </w:rPr>
        <w:t xml:space="preserve"> output can directly change a medication decision.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</w:rPr>
        <w:t xml:space="preserve">Medium-High:</w:t>
      </w:r>
      <w:r>
        <w:rPr>
          <w:rFonts w:ascii="Calibri" w:cs="Calibri" w:eastAsia="Calibri" w:hAnsi="Calibri"/>
        </w:rPr>
        <w:t xml:space="preserve"> output guides clinical action a clinician reviews first, or is patient-facing.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</w:rPr>
        <w:t xml:space="preserve">Low:</w:t>
      </w:r>
      <w:r>
        <w:rPr>
          <w:rFonts w:ascii="Calibri" w:cs="Calibri" w:eastAsia="Calibri" w:hAnsi="Calibri"/>
        </w:rPr>
        <w:t xml:space="preserve"> no direct clinical consequence.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</w:rPr>
        <w:t xml:space="preserve">Highest tier wins:</w:t>
      </w:r>
      <w:r>
        <w:rPr>
          <w:rFonts w:ascii="Calibri" w:cs="Calibri" w:eastAsia="Calibri" w:hAnsi="Calibri"/>
        </w:rPr>
        <w:t xml:space="preserve"> anything spanning tiers takes the highest (a leaflet mentioning an interaction is Critical); shared components inherit the highest tier they feed.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</w:rPr>
        <w:t xml:space="preserve">Most restrictive state:</w:t>
      </w:r>
      <w:r>
        <w:rPr>
          <w:rFonts w:ascii="Calibri" w:cs="Calibri" w:eastAsia="Calibri" w:hAnsi="Calibri"/>
        </w:rPr>
        <w:t xml:space="preserve"> content must satisfy the strictest of the five state pharmacy boards.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900"/>
        <w:gridCol w:w="1500"/>
        <w:gridCol w:w="2280"/>
        <w:gridCol w:w="2700"/>
      </w:tblGrid>
      <w:tr>
        <w:trPr>
          <w:tblHeader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2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Primary reviewer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Drug-interaction checks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DDI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8E1E1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GATE-CRITICAL-v1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Pharmacy SME + Clinical Safety Officer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Protocol lookup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E9C8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22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GATE-MEDHIGH-v1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Specialty-matched Clinical SME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Patient education generation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PED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E9C8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22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GATE-MEDHIGH-v1 + readability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Clinical SME + Health Literacy reviewer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Administrative guidance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2EFD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22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GATE-LOW-v1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Departmental owner (spot-check)</w:t>
            </w:r>
          </w:p>
        </w:tc>
      </w:tr>
    </w:tbl>
    <w:p>
      <w:pPr>
        <w:spacing w:after="120" w:before="5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Table 2. Use-case risk classification.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PromptOps Governance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Versioning and naming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</w:rPr>
        <w:t xml:space="preserve">Prompts: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PMT-{DOMAIN}-{NNN}</w:t>
      </w:r>
      <w:r>
        <w:rPr>
          <w:rFonts w:ascii="Calibri" w:cs="Calibri" w:eastAsia="Calibri" w:hAnsi="Calibri"/>
        </w:rPr>
        <w:t xml:space="preserve"> with SemVer, e.g.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PMT-DDI-004 v2.1.0</w:t>
      </w:r>
      <w:r>
        <w:rPr>
          <w:rFonts w:ascii="Calibri" w:cs="Calibri" w:eastAsia="Calibri" w:hAnsi="Calibri"/>
        </w:rPr>
        <w:t xml:space="preserve">. MAJOR = clinical instruction, safety rule or output format; MINOR = wording or examples; PATCH = formatting. A MAJOR change resets SME approval.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</w:rPr>
        <w:t xml:space="preserve">Embeddings and indices: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EMB-{model}-{ver}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IDX-{DOMAIN}-{EMB}-{CHUNK}-{YYYYMMDD}</w:t>
      </w:r>
      <w:r>
        <w:rPr>
          <w:rFonts w:ascii="Calibri" w:cs="Calibri" w:eastAsia="Calibri" w:hAnsi="Calibri"/>
        </w:rPr>
        <w:t xml:space="preserve">, e.g.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IDX-DDI-modelB-v2-SEM15-20261101</w:t>
      </w:r>
      <w:r>
        <w:rPr>
          <w:rFonts w:ascii="Calibri" w:cs="Calibri" w:eastAsia="Calibri" w:hAnsi="Calibri"/>
        </w:rPr>
        <w:t xml:space="preserve">. Production reaches an index only through its release alias (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ddi-prod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</w:rPr>
        <w:t xml:space="preserve">Experiments: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EXP-{YYYY}-{NNNN}</w:t>
      </w:r>
      <w:r>
        <w:rPr>
          <w:rFonts w:ascii="Calibri" w:cs="Calibri" w:eastAsia="Calibri" w:hAnsi="Calibri"/>
        </w:rPr>
        <w:t xml:space="preserve">, one manifest each. Prompts and manifests live in Git, not application code.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Change control and approval gates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Every change needs a manifest, a change-control ticket and two-person pull-request review. SME and compliance approvals are required-reviewer approvals on the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{{ENV_PROD_APPROVAL}}</w:t>
      </w:r>
      <w:r>
        <w:rPr>
          <w:rFonts w:ascii="Calibri" w:cs="Calibri" w:eastAsia="Calibri" w:hAnsi="Calibri"/>
        </w:rPr>
        <w:t xml:space="preserve"> environment, and gates fail closed: an expired SLA escalates, never auto-approves.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5480"/>
        <w:gridCol w:w="2900"/>
      </w:tblGrid>
      <w:tr>
        <w:trPr>
          <w:tblHeader/>
        </w:trP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54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Approvals before any production exposure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Exposure path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8E1E1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</w:t>
            </w:r>
          </w:p>
        </w:tc>
        <w:tc>
          <w:tcPr>
            <w:tcW w:type="dxa" w:w="54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Automated gate + Pharmacy SME (Clinical Safety Officer on escalation) + Compliance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Shadow only after pharmacist sign-off, then staged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E9C8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54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Automated gate + specialty SME (+ Health Literacy for PED) + Compliance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Shadow during review, then staged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2EFD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54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Automated gate alone; departmental owner spot-checks weekly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Staged</w:t>
            </w:r>
          </w:p>
        </w:tc>
      </w:tr>
    </w:tbl>
    <w:p>
      <w:pPr>
        <w:spacing w:after="120" w:before="5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Table 3. Approval gates. Staged rollout: one site, one region, then all 12 hospitals, each after a clean monitoring window.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Critical changes enter shadow mode only after pharmacist sign-off, because the brief counts shadow mode as production exposure; the supplied workflow placed it before review. Emergency formulary recalls get an expedited pharmacy re-index but keep the Critical gate.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Authoring standards and PHI minimization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</w:rPr>
        <w:t xml:space="preserve">No PHI in prompts, examples, logs or evaluation datasets; datasets are synthetic or de-identified (HIPAA Safe Harbor), PHI-scanned via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{{LANGUAGE_ENDPOINT}}</w:t>
      </w:r>
      <w:r>
        <w:rPr>
          <w:rFonts w:ascii="Calibri" w:cs="Calibri" w:eastAsia="Calibri" w:hAnsi="Calibri"/>
        </w:rPr>
        <w:t xml:space="preserve"> before snapshotting, and exclude 42 CFR Part 2 content.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</w:rPr>
        <w:t xml:space="preserve">Clinical prompts are cite-or-abstain: answer only from retrieved passages with the passage ID, otherwise state “not found in approved sources” and refer onward.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</w:rPr>
        <w:t xml:space="preserve">Responses carry a decision-support disclaimer; PED output targets a grade 6–8 reading level.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</w:rPr>
        <w:t xml:space="preserve">Query logs hash user IDs and redact free text; retention follows compliance policy.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Required healthcare metadata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7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Fields (manifest and audit record)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Identity</w:t>
            </w:r>
          </w:p>
        </w:tc>
        <w:tc>
          <w:tcPr>
            <w:tcW w:type="dxa" w:w="7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experiment_id, use_case, clinical_risk_tier, prompt_id, semantic_version, author, change_control_ticket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Clinical provenance</w:t>
            </w:r>
          </w:p>
        </w:tc>
        <w:tc>
          <w:tcPr>
            <w:tcW w:type="dxa" w:w="7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source_corpus_version,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formulary_effective_date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states_validated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regulatory_refs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(HIPAA, 42 CFR Part 2, state boards, FDA labeling)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Privacy</w:t>
            </w:r>
          </w:p>
        </w:tc>
        <w:tc>
          <w:tcPr>
            <w:tcW w:type="dxa" w:w="7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phi_attestation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phi_scan_result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dataset_snapshot_id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Approval and audit</w:t>
            </w:r>
          </w:p>
        </w:tc>
        <w:tc>
          <w:tcPr>
            <w:tcW w:type="dxa" w:w="7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gate_thresholds_ref, automated_gate_result, sme_approver_id, sme_decision + timestamp,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compliance_approver_id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audit_token, retention_policy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Rollback</w:t>
            </w:r>
          </w:p>
        </w:tc>
        <w:tc>
          <w:tcPr>
            <w:tcW w:type="dxa" w:w="7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rollback_target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(last known-good release tuple), rollback_flag, rollback_reason</w:t>
            </w:r>
          </w:p>
        </w:tc>
      </w:tr>
    </w:tbl>
    <w:p>
      <w:pPr>
        <w:spacing w:after="120" w:before="5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Table 4. Required metadata. Bold fields extend the supplied manifest skeleton.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Rollback triggers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580"/>
        <w:gridCol w:w="2200"/>
        <w:gridCol w:w="900"/>
        <w:gridCol w:w="900"/>
      </w:tblGrid>
      <w:tr>
        <w:trPr>
          <w:tblHeader/>
        </w:trP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45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Incident triggers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SLA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Review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8E1E1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</w:t>
            </w:r>
          </w:p>
        </w:tc>
        <w:tc>
          <w:tcPr>
            <w:tcW w:type="dxa" w:w="45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Groundedness below 4.6 for 2 consecutive monitoring windows; any clinician-reported interaction error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GenAIOps on-call; Clinical Safety Officer notified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 days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E9C8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45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Groundedness below 4.25 for 3 consecutive windows; clinician-reported inaccurate protocol guidance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GenAIOps on-call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120 min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 days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2EFD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45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3+ user-reported factual errors per week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GenAIOps on-call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480 min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days</w:t>
            </w:r>
          </w:p>
        </w:tc>
      </w:tr>
    </w:tbl>
    <w:p>
      <w:pPr>
        <w:spacing w:after="120" w:before="5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Table 5. Rollback triggers and SLAs.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Rollback repoints the affected domain’s release alias to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rollback_target</w:t>
      </w:r>
      <w:r>
        <w:rPr>
          <w:rFonts w:ascii="Calibri" w:cs="Calibri" w:eastAsia="Calibri" w:hAnsi="Calibri"/>
        </w:rPr>
        <w:t xml:space="preserve">; domain-segmented indices mean a pharmacy rollback leaves other domains untouched. On-call engineers activate the deploy permission just-in-time through Privileged Identity Management, and each rollback is audited.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RAG Experiment Matrix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Each experiment changes one dimension against the production baseline, offline, on a frozen PHI-free dataset. Priority weighs expected impact against the safety cost of a regression; P1 runs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1800"/>
        <w:gridCol w:w="3500"/>
        <w:gridCol w:w="1060"/>
        <w:gridCol w:w="900"/>
        <w:gridCol w:w="1300"/>
        <w:gridCol w:w="1000"/>
      </w:tblGrid>
      <w:tr>
        <w:trPr>
          <w:tblHeader/>
        </w:trPr>
        <w:tc>
          <w:tcPr>
            <w:tcW w:type="dxa" w:w="5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Variants (baseline first)</w:t>
            </w:r>
          </w:p>
        </w:tc>
        <w:tc>
          <w:tcPr>
            <w:tcW w:type="dxa" w:w="10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Safety risk</w:t>
            </w:r>
          </w:p>
        </w:tc>
        <w:tc>
          <w:tcPr>
            <w:tcW w:type="dxa" w:w="1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R1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Chunking: drug monographs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Fixed 512 tokens/10% overlap vs. interaction-atomic (one drug pair per chunk)</w:t>
            </w:r>
          </w:p>
        </w:tc>
        <w:tc>
          <w:tcPr>
            <w:tcW w:type="dxa" w:w="10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DDI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8E1E1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R2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Chunking: protocols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Fixed 512/10% vs. semantic, heading-aware, 15% overlap</w:t>
            </w:r>
          </w:p>
        </w:tc>
        <w:tc>
          <w:tcPr>
            <w:tcW w:type="dxa" w:w="10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E9C8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1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R3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Retrieval mode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Dense vs. hybrid dense + BM25 (exact drug names, doses)</w:t>
            </w:r>
          </w:p>
        </w:tc>
        <w:tc>
          <w:tcPr>
            <w:tcW w:type="dxa" w:w="10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DDI, PRO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8E1E1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R4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Prompt grounding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Cite-or-abstain v1 vs. v2 (stricter refusal)</w:t>
            </w:r>
          </w:p>
        </w:tc>
        <w:tc>
          <w:tcPr>
            <w:tcW w:type="dxa" w:w="10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DDI, PRO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8E1E1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R5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Embedding model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modelA-v1 vs. modelB-v2 (full re-index per domain)</w:t>
            </w:r>
          </w:p>
        </w:tc>
        <w:tc>
          <w:tcPr>
            <w:tcW w:type="dxa" w:w="10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8E1E1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R6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Retrieval depth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top_k 3 / 5 / 8 with reranker-threshold sweep</w:t>
            </w:r>
          </w:p>
        </w:tc>
        <w:tc>
          <w:tcPr>
            <w:tcW w:type="dxa" w:w="10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E9C8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1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R7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Context window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4k vs. 8k tokens of retrieved context</w:t>
            </w:r>
          </w:p>
        </w:tc>
        <w:tc>
          <w:tcPr>
            <w:tcW w:type="dxa" w:w="10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PRO, PED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E9C8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1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R8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Readability prompt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Grade 8 vs. grade 6 instruction</w:t>
            </w:r>
          </w:p>
        </w:tc>
        <w:tc>
          <w:tcPr>
            <w:tcW w:type="dxa" w:w="10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PED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E9C8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1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R9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Index strategy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Per-domain vs. unified (offline only: unified loses independent freshness and rollback)</w:t>
            </w:r>
          </w:p>
        </w:tc>
        <w:tc>
          <w:tcPr>
            <w:tcW w:type="dxa" w:w="10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  <w:tc>
          <w:tcPr>
            <w:tcW w:type="dxa" w:w="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8E1E1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P3</w:t>
            </w:r>
          </w:p>
        </w:tc>
      </w:tr>
    </w:tbl>
    <w:p>
      <w:pPr>
        <w:spacing w:after="120" w:before="5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Table 6. RAG experiment matrix.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Reproducibility checklist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</w:rPr>
        <w:t xml:space="preserve">Manifest committed and linked to its ticket before the run.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</w:rPr>
        <w:t xml:space="preserve">Immutable, PHI-scanned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dataset_snapshot_id</w:t>
      </w:r>
      <w:r>
        <w:rPr>
          <w:rFonts w:ascii="Calibri" w:cs="Calibri" w:eastAsia="Calibri" w:hAnsi="Calibri"/>
        </w:rPr>
        <w:t xml:space="preserve">; fixed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random_seed</w:t>
      </w:r>
      <w:r>
        <w:rPr>
          <w:rFonts w:ascii="Calibri" w:cs="Calibri" w:eastAsia="Calibri" w:hAnsi="Calibri"/>
        </w:rPr>
        <w:t xml:space="preserve">; temperature 0 for evaluation runs.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</w:rPr>
        <w:t xml:space="preserve">Pinned judge model (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evaluator_model_version</w:t>
      </w:r>
      <w:r>
        <w:rPr>
          <w:rFonts w:ascii="Calibri" w:cs="Calibri" w:eastAsia="Calibri" w:hAnsi="Calibri"/>
        </w:rPr>
        <w:t xml:space="preserve">); evaluators run three times and are averaged to absorb judge variance.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</w:rPr>
        <w:t xml:space="preserve">SDK versions from lockfile tags; chunker commit SHA, index, embedding and formulary versions recorded.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</w:rPr>
        <w:t xml:space="preserve">Rerunning from the manifest alone reproduces gate scores within ±0.1; raw outputs stored in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{{AUDIT_STORAGE_ENDPOINT}}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Evaluation Framework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Metrics and automated gates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The runner calls azure-ai-evaluation (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{{SDK_AI_EVALUATION}}</w:t>
      </w:r>
      <w:r>
        <w:rPr>
          <w:rFonts w:ascii="Calibri" w:cs="Calibri" w:eastAsia="Calibri" w:hAnsi="Calibri"/>
        </w:rPr>
        <w:t xml:space="preserve">) against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{{FOUNDRY_PROJECT_ENDPOINT}}</w:t>
      </w:r>
      <w:r>
        <w:rPr>
          <w:rFonts w:ascii="Calibri" w:cs="Calibri" w:eastAsia="Calibri" w:hAnsi="Calibri"/>
        </w:rPr>
        <w:t xml:space="preserve">, scoring on the native 1–5 scale with gates from evaluation_gates.yaml.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1850"/>
        <w:gridCol w:w="3080"/>
        <w:gridCol w:w="2900"/>
        <w:gridCol w:w="1300"/>
      </w:tblGrid>
      <w:tr>
        <w:trPr>
          <w:tblHeader/>
        </w:trPr>
        <w:tc>
          <w:tcPr>
            <w:tcW w:type="dxa" w:w="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30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Quality thresholds (1–5)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Safety and domain checks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 fail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DDI</w:t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GATE-CRITICAL-v1</w:t>
            </w:r>
          </w:p>
        </w:tc>
        <w:tc>
          <w:tcPr>
            <w:tcW w:type="dxa" w:w="30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Groundedness ≥4.6 (mean and every response); relevance ≥4.3; retrieval ≥4.2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safety: any flag; drug_interaction_accuracy: 0 missed, 0 fabricated; PHI leak: 0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Block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</w:t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GATE-MEDHIGH-v1</w:t>
            </w:r>
          </w:p>
        </w:tc>
        <w:tc>
          <w:tcPr>
            <w:tcW w:type="dxa" w:w="30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Groundedness ≥4.25; relevance ≥4.0; coherence ≥3.8; completeness ≥3.8 (preview, provisional)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safety; citation present; PHI leak: 0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for SME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PED</w:t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GATE-MEDHIGH-v1</w:t>
            </w:r>
          </w:p>
        </w:tc>
        <w:tc>
          <w:tcPr>
            <w:tcW w:type="dxa" w:w="30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PRO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PRO, plus readability grade ≤8 (custom)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for SME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</w:t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GATE-LOW-v1</w:t>
            </w:r>
          </w:p>
        </w:tc>
        <w:tc>
          <w:tcPr>
            <w:tcW w:type="dxa" w:w="30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Relevance ≥3.6; fluency ≥3.6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safety; PHI leak: 0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Block</w:t>
            </w:r>
          </w:p>
        </w:tc>
      </w:tr>
    </w:tbl>
    <w:p>
      <w:pPr>
        <w:spacing w:after="120" w:before="5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Table 7. Metrics by use case. Content safety and PHI checks run at every tier (extends the sample YAML).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Built-in groundedness checks support by retrieved context, not pharmacological correctness: a stale monograph can be perfectly “grounded”. Hence the SME-curated drug_interaction_accuracy evaluator blocks independently, and R1 and R3 also require labelled recall@k of 1.0 on known interaction pairs.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Human-in-the-loop triggers and SLAs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3780"/>
        <w:gridCol w:w="2000"/>
        <w:gridCol w:w="7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Triggers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Reviewer</w:t>
            </w:r>
          </w:p>
        </w:tc>
        <w:tc>
          <w:tcPr>
            <w:tcW w:type="dxa" w:w="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SLA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8E1E1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safety flag or custom-evaluator failure; any response below 4.6 groundedness; drug entity unseen in 90 days of evaluation sets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Pharmacy SME; Clinical Safety Officer escalation</w:t>
            </w:r>
          </w:p>
        </w:tc>
        <w:tc>
          <w:tcPr>
            <w:tcW w:type="dxa" w:w="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 h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Pause promotion; page via </w:t>
            </w: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{{PAGING_SYSTEM}}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E9C8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evaluator below threshold; groundedness drift above 0.3 vs. 30-day production baseline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Specialty SME or Health Literacy reviewer</w:t>
            </w:r>
          </w:p>
        </w:tc>
        <w:tc>
          <w:tcPr>
            <w:tcW w:type="dxa" w:w="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24 h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in shadow; queue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2EFD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37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 failure in 3 or more consecutive runs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Departmental owner</w:t>
            </w:r>
          </w:p>
        </w:tc>
        <w:tc>
          <w:tcPr>
            <w:tcW w:type="dxa" w:w="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48 h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Weekly spot-check</w:t>
            </w:r>
          </w:p>
        </w:tc>
      </w:tr>
    </w:tbl>
    <w:p>
      <w:pPr>
        <w:spacing w:after="120" w:before="5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Table 8. Review triggers. A missed SLA escalates one level and the change stays blocked.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Production monitoring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Continuous evaluation reruns each tier’s evaluators on PHI-scrubbed production samples every monitoring window; </w:t>
      </w:r>
      <w:r>
        <w:rPr>
          <w:rFonts w:ascii="Consolas" w:cs="Consolas" w:eastAsia="Consolas" w:hAnsi="Consolas"/>
          <w:color w:val="1F3B63"/>
          <w:sz w:val="17"/>
          <w:szCs w:val="17"/>
        </w:rPr>
        <w:t xml:space="preserve">{{APPINSIGHTS_CONNECTION}}</w:t>
      </w:r>
      <w:r>
        <w:rPr>
          <w:rFonts w:ascii="Calibri" w:cs="Calibri" w:eastAsia="Calibri" w:hAnsi="Calibri"/>
        </w:rPr>
        <w:t xml:space="preserve"> alerts implement the Section 3.5 triggers. A freshness guard switches drug-interaction answers to abstain-and-refer whenever the pharmacy index lags the licensed formulary, until re-indexing passes the Critical gate. Clinician error reports feed review queues and rollback counts.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Experimentation Workflow and Roles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Figure 1 (next page) traces an experiment through callouts 1–10. Gate failures and SME rejections return to engineering as a new version in the same experiment lineage; production incidents trigger rollback, and every decision is written to the audit trail.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100"/>
        <w:gridCol w:w="3880"/>
        <w:gridCol w:w="2100"/>
      </w:tblGrid>
      <w:tr>
        <w:trPr>
          <w:tblHeader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Principal tag</w:t>
            </w:r>
          </w:p>
        </w:tc>
        <w:tc>
          <w:tcPr>
            <w:tcW w:type="dxa" w:w="3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Entra ID role assignments (scope)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B2A4A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Callouts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GenAIOps engineers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{{GRP_GENAIOPS}}</w:t>
            </w:r>
          </w:p>
        </w:tc>
        <w:tc>
          <w:tcPr>
            <w:tcW w:type="dxa" w:w="3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Foundry User (dev/test); Search Index Data Contributor (dev indices); Reader (prod)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 2, refine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Evaluation runner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{{MI_EVAL_RUNNER}}</w:t>
            </w:r>
          </w:p>
        </w:tc>
        <w:tc>
          <w:tcPr>
            <w:tcW w:type="dxa" w:w="3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Foundry User (eval project); Search Index Data Reader; Storage Blob Data Contributor (audit)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3, 10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Clinical SMEs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{{GRP_PHARM_SME}}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{{GRP_CLIN_SME}}</w:t>
            </w:r>
          </w:p>
        </w:tc>
        <w:tc>
          <w:tcPr>
            <w:tcW w:type="dxa" w:w="3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data-plane roles; required reviewers on </w:t>
            </w: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{{ENV_PROD_APPROVAL}}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Compliance and privacy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{{GRP_COMPLIANCE}}</w:t>
            </w:r>
          </w:p>
        </w:tc>
        <w:tc>
          <w:tcPr>
            <w:tcW w:type="dxa" w:w="3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Reader; Log Analytics Reader; required reviewer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Deployment pipeline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{{MI_DEPLOY}}</w:t>
            </w:r>
          </w:p>
        </w:tc>
        <w:tc>
          <w:tcPr>
            <w:tcW w:type="dxa" w:w="3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Index Data Contributor (prod); only principal that repoints aliases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GenAIOps on-call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{{GRP_ONCALL}}</w:t>
            </w:r>
          </w:p>
        </w:tc>
        <w:tc>
          <w:tcPr>
            <w:tcW w:type="dxa" w:w="3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PIM-eligible, time-bound deploy role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Assistant runtime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{{MI_APP_RUNTIME}}</w:t>
            </w:r>
          </w:p>
        </w:tc>
        <w:tc>
          <w:tcPr>
            <w:tcW w:type="dxa" w:w="3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Foundry User; Search Index Data Reader (read-only)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6F8FB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Audit owner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3B63"/>
                <w:sz w:val="14"/>
                <w:szCs w:val="14"/>
              </w:rPr>
              <w:t xml:space="preserve">{{GRP_AUDIT}}</w:t>
            </w:r>
          </w:p>
        </w:tc>
        <w:tc>
          <w:tcPr>
            <w:tcW w:type="dxa" w:w="3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Storage Blob Data Reader (audit); Log Analytics Reader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</w:tr>
    </w:tbl>
    <w:p>
      <w:pPr>
        <w:spacing w:after="120" w:before="5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Table 9. Roles and Entra ID assignments (Foundry User was formerly named Azure AI User).</w:t>
      </w:r>
    </w:p>
    <w:p>
      <w:pPr>
        <w:sectPr>
          <w:footerReference w:type="default" r:id="rId7"/>
          <w:pgSz w:w="12240" w:h="15840" w:orient="portrait"/>
          <w:pgMar w:top="1008" w:right="1080" w:bottom="1008" w:left="1080" w:header="708" w:footer="708" w:gutter="0"/>
          <w:pgNumType/>
          <w:docGrid w:linePitch="360"/>
        </w:sectPr>
      </w:pPr>
    </w:p>
    <w:p>
      <w:pPr>
        <w:spacing w:after="60"/>
        <w:jc w:val="center"/>
      </w:pPr>
      <w:r>
        <w:drawing>
          <wp:inline distT="0" distB="0" distL="0" distR="0">
            <wp:extent cx="8686800" cy="6162675"/>
            <wp:effectExtent t="0" r="0" b="0" l="0"/>
            <wp:docPr id="1" name="workflow" descr="Swimlane workflow from proposal to production with risk-tier gates, rollback and audit trail; numbered callouts map to document sections." title="Experimentation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Figure 1. Experimentation workflow; numbered callouts map to document sections (also supplied as Dennis_PromptRAG_Diagram.pdf/.png).</w:t>
      </w:r>
    </w:p>
    <w:sectPr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Dennis_PromptRAG_Framework  |  CHS Clinical Knowledge Assistant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Dennis_PromptRAG_Framework  |  CHS Clinical Knowledge Assistant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90" w:before="220"/>
      <w:outlineLvl w:val="0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70" w:before="160"/>
      <w:outlineLvl w:val="1"/>
    </w:pPr>
    <w:rPr>
      <w:rFonts w:ascii="Calibri" w:cs="Calibri" w:eastAsia="Calibri" w:hAnsi="Calibri"/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17aa85bd83cf20cd0e991d561330faf0ae132e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&amp; RAG Experimentation Framework</dc:title>
  <dc:creator>Dennis</dc:creator>
  <dc:description>Contoso Health System Clinical Knowledge Assistant</dc:description>
  <cp:lastModifiedBy>Un-named</cp:lastModifiedBy>
  <cp:revision>1</cp:revision>
  <dcterms:created xsi:type="dcterms:W3CDTF">2026-10-12T12:42:07.788Z</dcterms:created>
  <dcterms:modified xsi:type="dcterms:W3CDTF">2026-10-12T12:42:07.790Z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