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7365D"/>
          <w:sz w:val="40"/>
          <w:szCs w:val="40"/>
        </w:rPr>
        <w:t xml:space="preserve">Global Logistics Corp GenAIOps Operating Model</w:t>
      </w:r>
    </w:p>
    <w:p>
      <w:pPr>
        <w:spacing w:after="60"/>
      </w:pPr>
      <w:r>
        <w:rPr>
          <w:rFonts w:ascii="Calibri" w:cs="Calibri" w:eastAsia="Calibri" w:hAnsi="Calibri"/>
          <w:color w:val="2F5597"/>
          <w:sz w:val="24"/>
          <w:szCs w:val="24"/>
        </w:rPr>
        <w:t xml:space="preserve">Seven-component operating model for regional generative AI under centralized governance</w:t>
      </w:r>
    </w:p>
    <w:p>
      <w:pPr>
        <w:pBdr>
          <w:bottom w:val="single" w:color="17365D" w:sz="8" w:space="6"/>
        </w:pBdr>
        <w:spacing w:after="240"/>
      </w:pPr>
      <w:r>
        <w:rPr>
          <w:rFonts w:ascii="Calibri" w:cs="Calibri" w:eastAsia="Calibri" w:hAnsi="Calibri"/>
          <w:i/>
          <w:iCs/>
          <w:color w:val="595959"/>
          <w:sz w:val="18"/>
          <w:szCs w:val="18"/>
        </w:rPr>
        <w:t xml:space="preserve">Prepared by Dennis, GenAIOps Lead, for the GLC executive leadership team · 13 October 2026 · Main body 3,866 words (assumptions page and Components 1–7, including tables); appendices, references and diagrams excluded · All volumes, rates and thresholds are illustrative course inputs</w:t>
      </w:r>
    </w:p>
    <w:p>
      <w:pPr>
        <w:pStyle w:val="Heading1"/>
        <w:keepNext/>
        <w:spacing w:after="100" w:before="240"/>
      </w:pPr>
      <w:r>
        <w:rPr>
          <w:rFonts w:ascii="Calibri" w:cs="Calibri" w:eastAsia="Calibri" w:hAnsi="Calibri"/>
          <w:b/>
          <w:bCs/>
          <w:color w:val="17365D"/>
          <w:sz w:val="28"/>
          <w:szCs w:val="28"/>
        </w:rPr>
        <w:t xml:space="preserve">Assumptions and constraints</w:t>
      </w:r>
    </w:p>
    <w:p>
      <w:pPr>
        <w:spacing w:after="110" w:line="252"/>
      </w:pPr>
      <w:r>
        <w:rPr>
          <w:rFonts w:ascii="Calibri" w:cs="Calibri" w:eastAsia="Calibri" w:hAnsi="Calibri"/>
          <w:b w:val="false"/>
          <w:bCs w:val="false"/>
          <w:sz w:val="21"/>
          <w:szCs w:val="21"/>
        </w:rPr>
        <w:t xml:space="preserve">This package covers four workloads (GLC-CX-Chat, GLC-NetAssist, GLC-DocSum and GLC-ExceptionAgent) across the EU, Brazil, India and the United States. Token rates stay at the illustrative USD 2.50 input and USD 10.00 output per million tokens until FinOps loads contracted SKU rates. Agent tokens per task are a bottom-up estimate; 5×, 12× and 30× are sensitivity checks only. Where the brief is silent, this design assumes that 40% of chats are status or FAQ intents, 27% of documents are templated forms, peak traffic is three times the monthly average, and the agent launches in the EU and US first. Brazil and India exception cases stay with human teams until a regional agent stack and legal review are complete. Four constraints from the brief apply throughout: no action executes without an application identity, a user or service identity, a policy result and a trace ID; raw prompts and responses are not retained by default; a content-safety result never grants action permission; and preview features need explicit acceptance and a production fallback.</w:t>
      </w:r>
    </w:p>
    <w:p>
      <w:pPr>
        <w:spacing w:after="110" w:line="252"/>
      </w:pPr>
      <w:r>
        <w:rPr>
          <w:rFonts w:ascii="Calibri" w:cs="Calibri" w:eastAsia="Calibri" w:hAnsi="Calibri"/>
          <w:b/>
          <w:bCs/>
          <w:sz w:val="21"/>
          <w:szCs w:val="21"/>
        </w:rPr>
        <w:t xml:space="preserve">EU AI Act position.</w:t>
      </w:r>
      <w:r>
        <w:rPr>
          <w:rFonts w:ascii="Calibri" w:cs="Calibri" w:eastAsia="Calibri" w:hAnsi="Calibri"/>
          <w:b w:val="false"/>
          <w:bCs w:val="false"/>
          <w:sz w:val="21"/>
          <w:szCs w:val="21"/>
        </w:rPr>
        <w:t xml:space="preserve"> The agent's intended purpose, rerouting shipments and granting service credits, is not an Annex III use case, so financial consequences alone do not make it high-risk. GLC-CX-Chat talks directly to customers, so the Article 50 transparency duty, applicable since 2 August 2026, requires telling them they are using AI. Regulation (EU) 2026/1744 sets 2 December 2027 as the application date for the Annex III high-risk requirements in Chapter III, Sections 1–3; the Commission's 2026 classification guidelines remain guidance, and their final status must be checked at deployment. Oversight, logging, testing, authority limits and incident controls apply whatever the final classification. </w:t>
      </w:r>
      <w:r>
        <w:rPr>
          <w:rFonts w:ascii="Calibri" w:cs="Calibri" w:eastAsia="Calibri" w:hAnsi="Calibri"/>
          <w:b/>
          <w:bCs/>
          <w:sz w:val="21"/>
          <w:szCs w:val="21"/>
        </w:rPr>
        <w:t xml:space="preserve">Legal owner:</w:t>
      </w:r>
      <w:r>
        <w:rPr>
          <w:rFonts w:ascii="Calibri" w:cs="Calibri" w:eastAsia="Calibri" w:hAnsi="Calibri"/>
          <w:b w:val="false"/>
          <w:bCs w:val="false"/>
          <w:sz w:val="21"/>
          <w:szCs w:val="21"/>
        </w:rPr>
        <w:t xml:space="preserve"> AI Regulatory Counsel. </w:t>
      </w:r>
      <w:r>
        <w:rPr>
          <w:rFonts w:ascii="Calibri" w:cs="Calibri" w:eastAsia="Calibri" w:hAnsi="Calibri"/>
          <w:b/>
          <w:bCs/>
          <w:sz w:val="21"/>
          <w:szCs w:val="21"/>
        </w:rPr>
        <w:t xml:space="preserve">Privacy owner:</w:t>
      </w:r>
      <w:r>
        <w:rPr>
          <w:rFonts w:ascii="Calibri" w:cs="Calibri" w:eastAsia="Calibri" w:hAnsi="Calibri"/>
          <w:b w:val="false"/>
          <w:bCs w:val="false"/>
          <w:sz w:val="21"/>
          <w:szCs w:val="21"/>
        </w:rPr>
        <w:t xml:space="preserve"> the Data Protection Officer (DPO), who owns the GDPR DPIA, the LGPD impact report and the DPDP assessment. </w:t>
      </w:r>
      <w:r>
        <w:rPr>
          <w:rFonts w:ascii="Calibri" w:cs="Calibri" w:eastAsia="Calibri" w:hAnsi="Calibri"/>
          <w:b/>
          <w:bCs/>
          <w:sz w:val="21"/>
          <w:szCs w:val="21"/>
        </w:rPr>
        <w:t xml:space="preserve">Reassessment triggers:</w:t>
      </w:r>
      <w:r>
        <w:rPr>
          <w:rFonts w:ascii="Calibri" w:cs="Calibri" w:eastAsia="Calibri" w:hAnsi="Calibri"/>
          <w:b w:val="false"/>
          <w:bCs w:val="false"/>
          <w:sz w:val="21"/>
          <w:szCs w:val="21"/>
        </w:rPr>
        <w:t xml:space="preserve"> creditworthiness or credit scoring of natural persons, decisions on access to essential services, profiling for an Annex III purpose, use as an Annex I safety component, new jurisdictions, higher authority thresholds, and an annual review.</w:t>
      </w:r>
    </w:p>
    <w:p>
      <w:pPr>
        <w:keepNext/>
        <w:spacing w:after="60" w:before="120"/>
      </w:pPr>
      <w:r>
        <w:rPr>
          <w:rFonts w:ascii="Calibri" w:cs="Calibri" w:eastAsia="Calibri" w:hAnsi="Calibri"/>
          <w:b/>
          <w:bCs/>
          <w:color w:val="17365D"/>
          <w:sz w:val="18"/>
          <w:szCs w:val="18"/>
        </w:rPr>
        <w:t xml:space="preserve">Table 1. Assumption register (Day 1 = 2 November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4608"/>
        <w:gridCol w:w="2664"/>
      </w:tblGrid>
      <w:tr>
        <w:trPr>
          <w:cantSplit/>
          <w:tblHeader/>
        </w:trPr>
        <w:tc>
          <w:tcPr>
            <w:tcW w:type="dxa" w:w="208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Assumption</w:t>
            </w:r>
          </w:p>
        </w:tc>
        <w:tc>
          <w:tcPr>
            <w:tcW w:type="dxa" w:w="460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Value or decision</w:t>
            </w:r>
          </w:p>
        </w:tc>
        <w:tc>
          <w:tcPr>
            <w:tcW w:type="dxa" w:w="266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Validation owner and date</w:t>
            </w:r>
          </w:p>
        </w:tc>
      </w:tr>
      <w:tr>
        <w:trPr>
          <w:cantSplit/>
        </w:trPr>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Model rates</w:t>
            </w:r>
          </w:p>
        </w:tc>
        <w:tc>
          <w:tcPr>
            <w:tcW w:type="dxa" w:w="46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USD 2.50 / 10.00 per 1M tokens; replace with contracted SKUs</w:t>
            </w:r>
          </w:p>
        </w:tc>
        <w:tc>
          <w:tcPr>
            <w:tcW w:type="dxa" w:w="26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lead, 11 Nov 2026</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tokens per task</w:t>
            </w:r>
          </w:p>
        </w:tc>
        <w:tc>
          <w:tcPr>
            <w:tcW w:type="dxa" w:w="46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21,590 base (7,810 low; 60,050 high) until traces replace it</w:t>
            </w:r>
          </w:p>
        </w:tc>
        <w:tc>
          <w:tcPr>
            <w:tcW w:type="dxa" w:w="26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lead, 6 Dec 2026</w:t>
            </w:r>
          </w:p>
        </w:tc>
      </w:tr>
      <w:tr>
        <w:trPr>
          <w:cantSplit/>
        </w:trPr>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Deployment boundary</w:t>
            </w:r>
          </w:p>
        </w:tc>
        <w:tc>
          <w:tcPr>
            <w:tcW w:type="dxa" w:w="46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 Zone EU/US; regional Brazil and India; Global only for non-personal NetAssist data</w:t>
            </w:r>
          </w:p>
        </w:tc>
        <w:tc>
          <w:tcPr>
            <w:tcW w:type="dxa" w:w="26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engineering + DPO, 21 Nov 2026</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Retention</w:t>
            </w:r>
          </w:p>
        </w:tc>
        <w:tc>
          <w:tcPr>
            <w:tcW w:type="dxa" w:w="46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Record-class schedule RC1–RC6 (Table 7)</w:t>
            </w:r>
          </w:p>
        </w:tc>
        <w:tc>
          <w:tcPr>
            <w:tcW w:type="dxa" w:w="26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DPO + AI Regulatory Counsel, 26 Nov 2026</w:t>
            </w:r>
          </w:p>
        </w:tc>
      </w:tr>
      <w:tr>
        <w:trPr>
          <w:cantSplit/>
        </w:trPr>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Incident targets</w:t>
            </w:r>
          </w:p>
        </w:tc>
        <w:tc>
          <w:tcPr>
            <w:tcW w:type="dxa" w:w="46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Course defaults: SEV1 acknowledge ≤ 15 min, contain ≤ 30 min</w:t>
            </w:r>
          </w:p>
        </w:tc>
        <w:tc>
          <w:tcPr>
            <w:tcW w:type="dxa" w:w="26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incident manager, 16 Dec 2026</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Budget</w:t>
            </w:r>
          </w:p>
        </w:tc>
        <w:tc>
          <w:tcPr>
            <w:tcW w:type="dxa" w:w="46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USD 50,000 a month; 25% reduction target</w:t>
            </w:r>
          </w:p>
        </w:tc>
        <w:tc>
          <w:tcPr>
            <w:tcW w:type="dxa" w:w="26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CFO delegate, 11 Nov 2026</w:t>
            </w:r>
          </w:p>
        </w:tc>
      </w:tr>
    </w:tbl>
    <w:p>
      <w:pPr>
        <w:pStyle w:val="Heading1"/>
        <w:keepNext/>
        <w:pageBreakBefore/>
        <w:spacing w:after="100" w:before="0"/>
      </w:pPr>
      <w:r>
        <w:rPr>
          <w:rFonts w:ascii="Calibri" w:cs="Calibri" w:eastAsia="Calibri" w:hAnsi="Calibri"/>
          <w:b/>
          <w:bCs/>
          <w:color w:val="17365D"/>
          <w:sz w:val="28"/>
          <w:szCs w:val="28"/>
        </w:rPr>
        <w:t xml:space="preserve">Component 1: Operating model overview and executive summary</w:t>
      </w:r>
    </w:p>
    <w:p>
      <w:pPr>
        <w:spacing w:after="110" w:line="252"/>
      </w:pPr>
      <w:r>
        <w:rPr>
          <w:rFonts w:ascii="Calibri" w:cs="Calibri" w:eastAsia="Calibri" w:hAnsi="Calibri"/>
          <w:b/>
          <w:bCs/>
          <w:sz w:val="21"/>
          <w:szCs w:val="21"/>
        </w:rPr>
        <w:t xml:space="preserve">Executive outcome.</w:t>
      </w:r>
      <w:r>
        <w:rPr>
          <w:rFonts w:ascii="Calibri" w:cs="Calibri" w:eastAsia="Calibri" w:hAnsi="Calibri"/>
          <w:b w:val="false"/>
          <w:bCs w:val="false"/>
          <w:sz w:val="21"/>
          <w:szCs w:val="21"/>
        </w:rPr>
        <w:t xml:space="preserve"> Global Logistics Corp (GLC) runs customer chatbots, internal assistants and an exception agent that can reroute shipments and issue credits for a 200,000-person business in 50 countries. Because these systems touch customers, money and personal data under four privacy regimes, a loose set of policies and scripts is not enough. This operating model shows leadership how GLC will govern usage, manage cost, protect people and operate agents safely at scale. It covers 2.86 million AI tasks a month and commits to three outcomes: a 25% lower model bill at equal quality, faster exception handling through bounded autonomy, and audit-ready evidence for every agent decision.</w:t>
      </w:r>
    </w:p>
    <w:p>
      <w:pPr>
        <w:spacing w:after="110" w:line="252"/>
      </w:pPr>
      <w:r>
        <w:rPr>
          <w:rFonts w:ascii="Calibri" w:cs="Calibri" w:eastAsia="Calibri" w:hAnsi="Calibri"/>
          <w:b/>
          <w:bCs/>
          <w:sz w:val="21"/>
          <w:szCs w:val="21"/>
        </w:rPr>
        <w:t xml:space="preserve">Most important design decision.</w:t>
      </w:r>
      <w:r>
        <w:rPr>
          <w:rFonts w:ascii="Calibri" w:cs="Calibri" w:eastAsia="Calibri" w:hAnsi="Calibri"/>
          <w:b w:val="false"/>
          <w:bCs w:val="false"/>
          <w:sz w:val="21"/>
          <w:szCs w:val="21"/>
        </w:rPr>
        <w:t xml:space="preserve"> Every model call and every agent action passes through one logically centralized policy enforcement plane, deployed as regional gateway units so that no single region is a point of failure. The plane routes each request to a deployment that matches the data's jurisdiction: EU and US Data Zone Standard for personal data, regional deployments in Brazil and India, and Global Standard only for NetAssist's non-personal operational data. Model processing is only half the boundary, so the search index, storage, thread store and Application Insights for each workload stay in the same geography and are verified at every release.</w:t>
      </w:r>
    </w:p>
    <w:p>
      <w:pPr>
        <w:spacing w:after="110" w:line="252"/>
      </w:pPr>
      <w:r>
        <w:rPr>
          <w:rFonts w:ascii="Calibri" w:cs="Calibri" w:eastAsia="Calibri" w:hAnsi="Calibri"/>
          <w:b/>
          <w:bCs/>
          <w:sz w:val="21"/>
          <w:szCs w:val="21"/>
        </w:rPr>
        <w:t xml:space="preserve">Authority design.</w:t>
      </w:r>
      <w:r>
        <w:rPr>
          <w:rFonts w:ascii="Calibri" w:cs="Calibri" w:eastAsia="Calibri" w:hAnsi="Calibri"/>
          <w:b w:val="false"/>
          <w:bCs w:val="false"/>
          <w:sz w:val="21"/>
          <w:szCs w:val="21"/>
        </w:rPr>
        <w:t xml:space="preserve"> GLC-ExceptionAgent proposes; the Action Policy Service decides. The agent holds no write credentials. It may auto-execute only service credits up to USD 250 and reroutes up to USD 1,000 that meet every scenario condition. Everything else needs recorded human approval, and customs, sanctions, dangerous-goods, personal-data and data-boundary decisions are human-only (Figure 4). Nobody can approve an action they requested, and approvals above USD 2,500 need two different people from Finance and Legal.</w:t>
      </w:r>
    </w:p>
    <w:p>
      <w:pPr>
        <w:spacing w:after="110" w:line="252"/>
      </w:pPr>
      <w:r>
        <w:rPr>
          <w:rFonts w:ascii="Calibri" w:cs="Calibri" w:eastAsia="Calibri" w:hAnsi="Calibri"/>
          <w:b/>
          <w:bCs/>
          <w:sz w:val="21"/>
          <w:szCs w:val="21"/>
        </w:rPr>
        <w:t xml:space="preserve">Operating loop.</w:t>
      </w:r>
      <w:r>
        <w:rPr>
          <w:rFonts w:ascii="Calibri" w:cs="Calibri" w:eastAsia="Calibri" w:hAnsi="Calibri"/>
          <w:b w:val="false"/>
          <w:bCs w:val="false"/>
          <w:sz w:val="21"/>
          <w:szCs w:val="21"/>
        </w:rPr>
        <w:t xml:space="preserve"> Governance sets policy. FinOps, safety and privacy, and AgentOps turn it into quotas, filter profiles and authority limits that the plane enforces. Evidence lands in regional stores, drives incident response and improvement, and returns to governance as change requests and maturity evidence (Figure 1).</w:t>
      </w:r>
    </w:p>
    <w:p>
      <w:pPr>
        <w:keepNext/>
        <w:spacing w:after="60" w:before="120"/>
      </w:pPr>
      <w:r>
        <w:rPr>
          <w:rFonts w:ascii="Calibri" w:cs="Calibri" w:eastAsia="Calibri" w:hAnsi="Calibri"/>
          <w:b/>
          <w:bCs/>
          <w:color w:val="17365D"/>
          <w:sz w:val="18"/>
          <w:szCs w:val="18"/>
        </w:rPr>
        <w:t xml:space="preserve">Table 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672"/>
        <w:gridCol w:w="1656"/>
        <w:gridCol w:w="1872"/>
      </w:tblGrid>
      <w:tr>
        <w:trPr>
          <w:cantSplit/>
          <w:tblHeader/>
        </w:trPr>
        <w:tc>
          <w:tcPr>
            <w:tcW w:type="dxa" w:w="216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Metric</w:t>
            </w:r>
          </w:p>
        </w:tc>
        <w:tc>
          <w:tcPr>
            <w:tcW w:type="dxa" w:w="36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Target</w:t>
            </w:r>
          </w:p>
        </w:tc>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Owner</w:t>
            </w:r>
          </w:p>
        </w:tc>
        <w:tc>
          <w:tcPr>
            <w:tcW w:type="dxa" w:w="18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Data source</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Model-cost reduction</w:t>
            </w:r>
          </w:p>
        </w:tc>
        <w:tc>
          <w:tcPr>
            <w:tcW w:type="dxa" w:w="36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25% below the USD 22,697 monthly base with ≤ 2-point quality decline</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lead</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 Management reconciliation; evaluation suite</w:t>
            </w:r>
          </w:p>
        </w:tc>
      </w:tr>
      <w:tr>
        <w:trPr>
          <w:cantSplit/>
        </w:trPr>
        <w:tc>
          <w:tcPr>
            <w:tcW w:type="dxa" w:w="216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autonomous resolution</w:t>
            </w:r>
          </w:p>
        </w:tc>
        <w:tc>
          <w:tcPr>
            <w:tcW w:type="dxa" w:w="36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55–70% of exception cases resolved within auto-execute limits, 0 approval-gate bypasses, ≥ 99% approved-action success</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product owner</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Decision-attribution records</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Audit completeness</w:t>
            </w:r>
          </w:p>
        </w:tc>
        <w:tc>
          <w:tcPr>
            <w:tcW w:type="dxa" w:w="36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99.5% decision-record completeness; ≥ 98% of model spend allocated</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engineering + DPO</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Application Insights query; monthly reconciliation</w:t>
            </w:r>
          </w:p>
        </w:tc>
      </w:tr>
    </w:tbl>
    <w:p>
      <w:pPr>
        <w:spacing w:after="60"/>
      </w:pPr>
    </w:p>
    <w:p>
      <w:pPr>
        <w:spacing w:after="110" w:line="252"/>
      </w:pPr>
      <w:r>
        <w:rPr>
          <w:rFonts w:ascii="Calibri" w:cs="Calibri" w:eastAsia="Calibri" w:hAnsi="Calibri"/>
          <w:b w:val="false"/>
          <w:bCs w:val="false"/>
          <w:sz w:val="21"/>
          <w:szCs w:val="21"/>
        </w:rPr>
        <w:t xml:space="preserve">The 55–70% range is an assumption to confirm from the first 30 days of traces. Critical containment within 30 minutes is tracked as a control target in Component 4.</w:t>
      </w:r>
    </w:p>
    <w:p>
      <w:pPr>
        <w:keepNext/>
        <w:spacing w:after="40" w:before="120"/>
        <w:jc w:val="center"/>
      </w:pPr>
      <w:r>
        <w:drawing>
          <wp:inline distT="0" distB="0" distL="0" distR="0">
            <wp:extent cx="5943600" cy="4962525"/>
            <wp:effectExtent t="0" r="0" b="0" l="0"/>
            <wp:docPr id="1" name="operating_model_loop.png" descr="Figure 1. Operating model loop with owners and evidence flows" title="Figure 1. Operating model loop with owners and evidence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962525"/>
                    </a:xfrm>
                    <a:prstGeom prst="rect">
                      <a:avLst/>
                    </a:prstGeom>
                  </pic:spPr>
                </pic:pic>
              </a:graphicData>
            </a:graphic>
          </wp:inline>
        </w:drawing>
      </w:r>
    </w:p>
    <w:p>
      <w:pPr>
        <w:spacing w:after="160"/>
        <w:jc w:val="center"/>
      </w:pPr>
      <w:r>
        <w:rPr>
          <w:rFonts w:ascii="Calibri" w:cs="Calibri" w:eastAsia="Calibri" w:hAnsi="Calibri"/>
          <w:b/>
          <w:bCs/>
          <w:color w:val="17365D"/>
          <w:sz w:val="18"/>
          <w:szCs w:val="18"/>
        </w:rPr>
        <w:t xml:space="preserve">Figure 1. Operating model loop with owners and evidence flows</w:t>
      </w:r>
    </w:p>
    <w:p>
      <w:pPr>
        <w:pStyle w:val="Heading1"/>
        <w:keepNext/>
        <w:pageBreakBefore/>
        <w:spacing w:after="100" w:before="0"/>
      </w:pPr>
      <w:r>
        <w:rPr>
          <w:rFonts w:ascii="Calibri" w:cs="Calibri" w:eastAsia="Calibri" w:hAnsi="Calibri"/>
          <w:b/>
          <w:bCs/>
          <w:color w:val="17365D"/>
          <w:sz w:val="28"/>
          <w:szCs w:val="28"/>
        </w:rPr>
        <w:t xml:space="preserve">Component 2: FinOps governance framework</w:t>
      </w:r>
    </w:p>
    <w:p>
      <w:pPr>
        <w:spacing w:after="110" w:line="252"/>
      </w:pPr>
      <w:r>
        <w:rPr>
          <w:rFonts w:ascii="Calibri" w:cs="Calibri" w:eastAsia="Calibri" w:hAnsi="Calibri"/>
          <w:b/>
          <w:bCs/>
          <w:sz w:val="21"/>
          <w:szCs w:val="21"/>
        </w:rPr>
        <w:t xml:space="preserve">Cost model.</w:t>
      </w:r>
      <w:r>
        <w:rPr>
          <w:rFonts w:ascii="Calibri" w:cs="Calibri" w:eastAsia="Calibri" w:hAnsi="Calibri"/>
          <w:b w:val="false"/>
          <w:bCs w:val="false"/>
          <w:sz w:val="21"/>
          <w:szCs w:val="21"/>
        </w:rPr>
        <w:t xml:space="preserve"> The workbook multiplies monthly tasks by input and output tokens per call, calls per task and the illustrative rates. The base-case portfolio costs USD 22,697 a month, 45% of the USD 50,000 budget (Appendix A). GLC-CX-Chat is the largest line at USD 9,500 and already uses 79% of its budget, above the 70% alert.</w:t>
      </w:r>
    </w:p>
    <w:p>
      <w:pPr>
        <w:spacing w:after="110" w:line="252"/>
      </w:pPr>
      <w:r>
        <w:rPr>
          <w:rFonts w:ascii="Calibri" w:cs="Calibri" w:eastAsia="Calibri" w:hAnsi="Calibri"/>
          <w:b/>
          <w:bCs/>
          <w:sz w:val="21"/>
          <w:szCs w:val="21"/>
        </w:rPr>
        <w:t xml:space="preserve">Agent cases.</w:t>
      </w:r>
      <w:r>
        <w:rPr>
          <w:rFonts w:ascii="Calibri" w:cs="Calibri" w:eastAsia="Calibri" w:hAnsi="Calibri"/>
          <w:b w:val="false"/>
          <w:bCs w:val="false"/>
          <w:sz w:val="21"/>
          <w:szCs w:val="21"/>
        </w:rPr>
        <w:t xml:space="preserve"> Agent cost is built from model calls, tool context, retries and outputs (Table 3), with the course multipliers kept as a cross-check.</w:t>
      </w:r>
    </w:p>
    <w:p>
      <w:pPr>
        <w:keepNext/>
        <w:spacing w:after="60" w:before="120"/>
      </w:pPr>
      <w:r>
        <w:rPr>
          <w:rFonts w:ascii="Calibri" w:cs="Calibri" w:eastAsia="Calibri" w:hAnsi="Calibri"/>
          <w:b/>
          <w:bCs/>
          <w:color w:val="17365D"/>
          <w:sz w:val="18"/>
          <w:szCs w:val="18"/>
        </w:rPr>
        <w:t xml:space="preserve">Table 3. Exception-agent cost cases (60,000 tasks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Driver</w:t>
            </w:r>
          </w:p>
        </w:tc>
        <w:tc>
          <w:tcPr>
            <w:tcW w:type="dxa" w:w="18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Low</w:t>
            </w:r>
          </w:p>
        </w:tc>
        <w:tc>
          <w:tcPr>
            <w:tcW w:type="dxa" w:w="18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Base</w:t>
            </w:r>
          </w:p>
        </w:tc>
        <w:tc>
          <w:tcPr>
            <w:tcW w:type="dxa" w:w="18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High</w:t>
            </w:r>
          </w:p>
        </w:tc>
      </w:tr>
      <w:tr>
        <w:trPr>
          <w:cantSplit/>
        </w:trPr>
        <w:tc>
          <w:tcPr>
            <w:tcW w:type="dxa" w:w="37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Model calls per task; retry rate</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 0%</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 10%</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8; 30%</w:t>
            </w:r>
          </w:p>
        </w:tc>
      </w:tr>
      <w:tr>
        <w:trPr>
          <w:cantSplit/>
        </w:trPr>
        <w:tc>
          <w:tcPr>
            <w:tcW w:type="dxa" w:w="37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Tool-schema tokens per call</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600</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1,200</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2,000</w:t>
            </w:r>
          </w:p>
        </w:tc>
      </w:tr>
      <w:tr>
        <w:trPr>
          <w:cantSplit/>
        </w:trPr>
        <w:tc>
          <w:tcPr>
            <w:tcW w:type="dxa" w:w="37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Instructions, case context and tool results per call</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1,800</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2,500</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3,500</w:t>
            </w:r>
          </w:p>
        </w:tc>
      </w:tr>
      <w:tr>
        <w:trPr>
          <w:cantSplit/>
        </w:trPr>
        <w:tc>
          <w:tcPr>
            <w:tcW w:type="dxa" w:w="37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Input / output tokens per task</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7,200 / 610</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20,350 / 1,240</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57,200 / 2,850</w:t>
            </w:r>
          </w:p>
        </w:tc>
      </w:tr>
      <w:tr>
        <w:trPr>
          <w:cantSplit/>
        </w:trPr>
        <w:tc>
          <w:tcPr>
            <w:tcW w:type="dxa" w:w="37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Monthly cost</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USD 1,446</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USD 3,797</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USD 10,290</w:t>
            </w:r>
          </w:p>
        </w:tc>
      </w:tr>
      <w:tr>
        <w:trPr>
          <w:cantSplit/>
        </w:trPr>
        <w:tc>
          <w:tcPr>
            <w:tcW w:type="dxa" w:w="37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Equivalent multiplier (sensitivity case cost)</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5.1× (5×: USD 1,425)</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13.3× (12×: USD 3,420)</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36.1× (30×: USD 8,550)</w:t>
            </w:r>
          </w:p>
        </w:tc>
      </w:tr>
    </w:tbl>
    <w:p>
      <w:pPr>
        <w:spacing w:after="60"/>
      </w:pPr>
    </w:p>
    <w:p>
      <w:pPr>
        <w:spacing w:after="110" w:line="252"/>
      </w:pPr>
      <w:r>
        <w:rPr>
          <w:rFonts w:ascii="Calibri" w:cs="Calibri" w:eastAsia="Calibri" w:hAnsi="Calibri"/>
          <w:b w:val="false"/>
          <w:bCs w:val="false"/>
          <w:sz w:val="21"/>
          <w:szCs w:val="21"/>
        </w:rPr>
        <w:t xml:space="preserve">Two findings shape the controls. Tool schemas are 32% of agent input tokens, so pruning them is the cheapest agent saving. The 30× stress case understates a plausible runaway by USD 1,740 a month, so a 45,000-token ceiling per task (about twice the base case) stops a run and hands the case to a human.</w:t>
      </w:r>
    </w:p>
    <w:p>
      <w:pPr>
        <w:spacing w:after="110" w:line="252"/>
      </w:pPr>
      <w:r>
        <w:rPr>
          <w:rFonts w:ascii="Calibri" w:cs="Calibri" w:eastAsia="Calibri" w:hAnsi="Calibri"/>
          <w:b/>
          <w:bCs/>
          <w:sz w:val="21"/>
          <w:szCs w:val="21"/>
        </w:rPr>
        <w:t xml:space="preserve">Agent measurement.</w:t>
      </w:r>
      <w:r>
        <w:rPr>
          <w:rFonts w:ascii="Calibri" w:cs="Calibri" w:eastAsia="Calibri" w:hAnsi="Calibri"/>
          <w:b w:val="false"/>
          <w:bCs w:val="false"/>
          <w:sz w:val="21"/>
          <w:szCs w:val="21"/>
        </w:rPr>
        <w:t xml:space="preserve"> Foundry tracing records input and output tokens, tool calls and retries for each span in Application Insights; GLC's instrumentation adds tool-schema and cached token counts to each run. The planning estimate retires on Day 35, once 30 days of traces and at least 10,000 runs show P50 and P95 tokens per task stable within ±10% week over week. The measured P50 then becomes the base case.</w:t>
      </w:r>
    </w:p>
    <w:p>
      <w:pPr>
        <w:spacing w:after="110" w:line="252"/>
      </w:pPr>
      <w:r>
        <w:rPr>
          <w:rFonts w:ascii="Calibri" w:cs="Calibri" w:eastAsia="Calibri" w:hAnsi="Calibri"/>
          <w:b/>
          <w:bCs/>
          <w:sz w:val="21"/>
          <w:szCs w:val="21"/>
        </w:rPr>
        <w:t xml:space="preserve">Allocation.</w:t>
      </w:r>
      <w:r>
        <w:rPr>
          <w:rFonts w:ascii="Calibri" w:cs="Calibri" w:eastAsia="Calibri" w:hAnsi="Calibri"/>
          <w:b w:val="false"/>
          <w:bCs w:val="false"/>
          <w:sz w:val="21"/>
          <w:szCs w:val="21"/>
        </w:rPr>
        <w:t xml:space="preserve"> The chargeback unit is cost per resolved task: per conversation, summary or exception case. Spend is tagged by application ID, subscription, region, model SKU, deployment type and cost center. The gateway emits token metrics with these dimensions, and FinOps reconciles them monthly to Azure Cost Management, because gateway counters are not the financial ledger. Target coverage is 98% of spend.</w:t>
      </w:r>
    </w:p>
    <w:p>
      <w:pPr>
        <w:spacing w:after="110" w:line="252"/>
      </w:pPr>
      <w:r>
        <w:rPr>
          <w:rFonts w:ascii="Calibri" w:cs="Calibri" w:eastAsia="Calibri" w:hAnsi="Calibri"/>
          <w:b/>
          <w:bCs/>
          <w:sz w:val="21"/>
          <w:szCs w:val="21"/>
        </w:rPr>
        <w:t xml:space="preserve">Controls.</w:t>
      </w:r>
      <w:r>
        <w:rPr>
          <w:rFonts w:ascii="Calibri" w:cs="Calibri" w:eastAsia="Calibri" w:hAnsi="Calibri"/>
          <w:b w:val="false"/>
          <w:bCs w:val="false"/>
          <w:sz w:val="21"/>
          <w:szCs w:val="21"/>
        </w:rPr>
        <w:t xml:space="preserve"> Alerts fire at 70% (owner and FinOps notified) and 85% (optimization or exception plan required). Token-rate limits sit at three times average demand: 160,000 tokens per minute (TPM) for chat, 130,000 for DocSum, 90,000 for the agent and 50,000 for NetAssist. Hard monthly quotas apply only where a cut-off is business-safe: NetAssist and the DocSum batch lane. Chat shifts eligible intents to the lower-cost tier instead of stopping, and the agent sends new cases to the human exception queue. Break-glass exceptions last at most seven days, with a named owner and automatic expiry.</w:t>
      </w:r>
    </w:p>
    <w:p>
      <w:pPr>
        <w:keepNext/>
        <w:spacing w:after="60" w:before="120"/>
      </w:pPr>
      <w:r>
        <w:rPr>
          <w:rFonts w:ascii="Calibri" w:cs="Calibri" w:eastAsia="Calibri" w:hAnsi="Calibri"/>
          <w:b/>
          <w:bCs/>
          <w:color w:val="17365D"/>
          <w:sz w:val="18"/>
          <w:szCs w:val="18"/>
        </w:rPr>
        <w:t xml:space="preserve">Table 4. Optimization tactics tied to the 25%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2520"/>
        <w:gridCol w:w="1800"/>
        <w:gridCol w:w="1440"/>
        <w:gridCol w:w="1656"/>
      </w:tblGrid>
      <w:tr>
        <w:trPr>
          <w:cantSplit/>
          <w:tblHeader/>
        </w:trPr>
        <w:tc>
          <w:tcPr>
            <w:tcW w:type="dxa" w:w="194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Tactic</w:t>
            </w:r>
          </w:p>
        </w:tc>
        <w:tc>
          <w:tcPr>
            <w:tcW w:type="dxa" w:w="252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Baseline and change</w:t>
            </w:r>
          </w:p>
        </w:tc>
        <w:tc>
          <w:tcPr>
            <w:tcW w:type="dxa" w:w="18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Saving a month (range)</w:t>
            </w:r>
          </w:p>
        </w:tc>
        <w:tc>
          <w:tcPr>
            <w:tcW w:type="dxa" w:w="144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Owner</w:t>
            </w:r>
          </w:p>
        </w:tc>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Guardrail; verification</w:t>
            </w:r>
          </w:p>
        </w:tc>
      </w:tr>
      <w:tr>
        <w:trPr>
          <w:cantSplit/>
        </w:trPr>
        <w:tc>
          <w:tcPr>
            <w:tcW w:type="dxa" w:w="1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T1 Model routing</w:t>
            </w:r>
          </w:p>
        </w:tc>
        <w:tc>
          <w:tcPr>
            <w:tcW w:type="dxa" w:w="2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Chat status and FAQ intents (40%), templated documents (27%) to a lower-cost tier</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USD 4,100 (2,700–5,200)</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engineering lead</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2-point drop per intent; A/B evaluation</w:t>
            </w:r>
          </w:p>
        </w:tc>
      </w:tr>
      <w:tr>
        <w:trPr>
          <w:cantSplit/>
        </w:trPr>
        <w:tc>
          <w:tcPr>
            <w:tcW w:type="dxa" w:w="19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T2 Prompt and tool-schema reduction</w:t>
            </w:r>
          </w:p>
        </w:tc>
        <w:tc>
          <w:tcPr>
            <w:tcW w:type="dxa" w:w="252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Instructions trimmed 5%; agent schemas 1,200 to 600 tokens a call</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USD 1,234 (700–1,700)</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lead</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0 new safety failures; trace token breakdown</w:t>
            </w:r>
          </w:p>
        </w:tc>
      </w:tr>
      <w:tr>
        <w:trPr>
          <w:cantSplit/>
        </w:trPr>
        <w:tc>
          <w:tcPr>
            <w:tcW w:type="dxa" w:w="1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T3 Retry and output caps</w:t>
            </w:r>
          </w:p>
        </w:tc>
        <w:tc>
          <w:tcPr>
            <w:tcW w:type="dxa" w:w="2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retries 10% to 3%; NetAssist output 600 to 450 tokens</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USD 617 (300–900)</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lead</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 completion loss; retry count</w:t>
            </w:r>
          </w:p>
        </w:tc>
      </w:tr>
      <w:tr>
        <w:trPr>
          <w:cantSplit/>
        </w:trPr>
        <w:tc>
          <w:tcPr>
            <w:tcW w:type="dxa" w:w="19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Combined</w:t>
            </w:r>
          </w:p>
        </w:tc>
        <w:tc>
          <w:tcPr>
            <w:tcW w:type="dxa" w:w="252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Applied in sequence per workload; chat falls to 53% of its budget</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bCs/>
                <w:sz w:val="17"/>
                <w:szCs w:val="17"/>
              </w:rPr>
              <w:t xml:space="preserve">USD 5,951 (26.2%)</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Caching waits for contracted cached-input pricing</w:t>
            </w:r>
          </w:p>
        </w:tc>
      </w:tr>
    </w:tbl>
    <w:p>
      <w:pPr>
        <w:pStyle w:val="Heading1"/>
        <w:keepNext/>
        <w:pageBreakBefore/>
        <w:spacing w:after="100" w:before="0"/>
      </w:pPr>
      <w:r>
        <w:rPr>
          <w:rFonts w:ascii="Calibri" w:cs="Calibri" w:eastAsia="Calibri" w:hAnsi="Calibri"/>
          <w:b/>
          <w:bCs/>
          <w:color w:val="17365D"/>
          <w:sz w:val="28"/>
          <w:szCs w:val="28"/>
        </w:rPr>
        <w:t xml:space="preserve">Component 3: AI governance architecture</w:t>
      </w:r>
    </w:p>
    <w:p>
      <w:pPr>
        <w:spacing w:after="110" w:line="252"/>
      </w:pPr>
      <w:r>
        <w:rPr>
          <w:rFonts w:ascii="Calibri" w:cs="Calibri" w:eastAsia="Calibri" w:hAnsi="Calibri"/>
          <w:b/>
          <w:bCs/>
          <w:sz w:val="21"/>
          <w:szCs w:val="21"/>
        </w:rPr>
        <w:t xml:space="preserve">Identity and authorization.</w:t>
      </w:r>
      <w:r>
        <w:rPr>
          <w:rFonts w:ascii="Calibri" w:cs="Calibri" w:eastAsia="Calibri" w:hAnsi="Calibri"/>
          <w:b w:val="false"/>
          <w:bCs w:val="false"/>
          <w:sz w:val="21"/>
          <w:szCs w:val="21"/>
        </w:rPr>
        <w:t xml:space="preserve"> Employees sign in with Microsoft Entra ID, MFA and Conditional Access; customers use Entra External ID scoped to their own shipments. Each application and the agent run under their own managed identity with no stored keys. Administrator roles are eligible-only through Privileged Identity Management (PIM) and reviewed quarterly. Table 6 is the access-control matrix.</w:t>
      </w:r>
    </w:p>
    <w:p>
      <w:pPr>
        <w:spacing w:after="110" w:line="252"/>
      </w:pPr>
      <w:r>
        <w:rPr>
          <w:rFonts w:ascii="Calibri" w:cs="Calibri" w:eastAsia="Calibri" w:hAnsi="Calibri"/>
          <w:b/>
          <w:bCs/>
          <w:sz w:val="21"/>
          <w:szCs w:val="21"/>
        </w:rPr>
        <w:t xml:space="preserve">Policy enforcement plane.</w:t>
      </w:r>
      <w:r>
        <w:rPr>
          <w:rFonts w:ascii="Calibri" w:cs="Calibri" w:eastAsia="Calibri" w:hAnsi="Calibri"/>
          <w:b w:val="false"/>
          <w:bCs w:val="false"/>
          <w:sz w:val="21"/>
          <w:szCs w:val="21"/>
        </w:rPr>
        <w:t xml:space="preserve"> Azure API Management (APIM) is the AI gateway, with regional units in the EU, US, Brazil and India and policies deployed from one Git repository (Figure 2). Every request passes six steps: authentication; app-to-deployment authorization; a data-boundary check that denies requests whose case geography differs from the deployment zone; schema validation and token limits; content filters and Prompt Shields; and trace emission. A failed regional unit fails over only within its geography, and agent actions fail closed. The Action Policy Service is a separate deterministic decision point and the only identity that can write to the transport management system (TMS), billing and carrier APIs. It rejects any action that lacks an application identity, a user or service identity, a policy result or a trace ID.</w:t>
      </w:r>
    </w:p>
    <w:p>
      <w:pPr>
        <w:keepNext/>
        <w:spacing w:after="60" w:before="120"/>
      </w:pPr>
      <w:r>
        <w:rPr>
          <w:rFonts w:ascii="Calibri" w:cs="Calibri" w:eastAsia="Calibri" w:hAnsi="Calibri"/>
          <w:b/>
          <w:bCs/>
          <w:color w:val="17365D"/>
          <w:sz w:val="18"/>
          <w:szCs w:val="18"/>
        </w:rPr>
        <w:t xml:space="preserve">Table 5. Deployment-boundary decision (Global versus Data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4464"/>
        <w:gridCol w:w="2880"/>
      </w:tblGrid>
      <w:tr>
        <w:trPr>
          <w:cantSplit/>
          <w:tblHeader/>
        </w:trPr>
        <w:tc>
          <w:tcPr>
            <w:tcW w:type="dxa" w:w="201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Workload</w:t>
            </w:r>
          </w:p>
        </w:tc>
        <w:tc>
          <w:tcPr>
            <w:tcW w:type="dxa" w:w="446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Decision</w:t>
            </w:r>
          </w:p>
        </w:tc>
        <w:tc>
          <w:tcPr>
            <w:tcW w:type="dxa" w:w="28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Reason</w:t>
            </w:r>
          </w:p>
        </w:tc>
      </w:tr>
      <w:tr>
        <w:trPr>
          <w:cantSplit/>
        </w:trPr>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CX-Chat, DocSum</w:t>
            </w:r>
          </w:p>
        </w:tc>
        <w:tc>
          <w:tcPr>
            <w:tcW w:type="dxa" w:w="44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EU and US Data Zone Standard; Brazil South regional, else US zone with ANPD standard clauses; Central India regional, or APAC zone after DPDP review</w:t>
            </w:r>
          </w:p>
        </w:tc>
        <w:tc>
          <w:tcPr>
            <w:tcW w:type="dxa" w:w="28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Customer, shipment and customs personal data</w:t>
            </w:r>
          </w:p>
        </w:tc>
      </w:tr>
      <w:tr>
        <w:trPr>
          <w:cantSplit/>
        </w:trPr>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ExceptionAgent</w:t>
            </w:r>
          </w:p>
        </w:tc>
        <w:tc>
          <w:tcPr>
            <w:tcW w:type="dxa" w:w="44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EU and US Data Zone with same-geography connected services; Brazil and India human-handled for now</w:t>
            </w:r>
          </w:p>
        </w:tc>
        <w:tc>
          <w:tcPr>
            <w:tcW w:type="dxa" w:w="28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Decisions on personal data; limits cross-border risk</w:t>
            </w:r>
          </w:p>
        </w:tc>
      </w:tr>
      <w:tr>
        <w:trPr>
          <w:cantSplit/>
        </w:trPr>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NetAssist</w:t>
            </w:r>
          </w:p>
        </w:tc>
        <w:tc>
          <w:tcPr>
            <w:tcW w:type="dxa" w:w="44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Global Standard; gateway denies requests with personal data</w:t>
            </w:r>
          </w:p>
        </w:tc>
        <w:tc>
          <w:tcPr>
            <w:tcW w:type="dxa" w:w="28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Non-personal operational data; highest capacity</w:t>
            </w:r>
          </w:p>
        </w:tc>
      </w:tr>
    </w:tbl>
    <w:p>
      <w:pPr>
        <w:spacing w:after="60"/>
      </w:pPr>
    </w:p>
    <w:p>
      <w:pPr>
        <w:spacing w:after="110" w:line="252"/>
      </w:pPr>
      <w:r>
        <w:rPr>
          <w:rFonts w:ascii="Calibri" w:cs="Calibri" w:eastAsia="Calibri" w:hAnsi="Calibri"/>
          <w:b w:val="false"/>
          <w:bCs w:val="false"/>
          <w:sz w:val="21"/>
          <w:szCs w:val="21"/>
        </w:rPr>
        <w:t xml:space="preserve">Data Zone processing can occur anywhere in the zone, so workloads with a single-country obligation use regional deployments.</w:t>
      </w:r>
    </w:p>
    <w:p>
      <w:pPr>
        <w:keepNext/>
        <w:spacing w:after="60" w:before="120"/>
      </w:pPr>
      <w:r>
        <w:rPr>
          <w:rFonts w:ascii="Calibri" w:cs="Calibri" w:eastAsia="Calibri" w:hAnsi="Calibri"/>
          <w:b/>
          <w:bCs/>
          <w:color w:val="17365D"/>
          <w:sz w:val="18"/>
          <w:szCs w:val="18"/>
        </w:rPr>
        <w:t xml:space="preserve">Table 6. Access-control matrix (U use · A approve · O operate through PIM · R read redacted telemetry · K kill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224"/>
        <w:gridCol w:w="1224"/>
        <w:gridCol w:w="1224"/>
        <w:gridCol w:w="1800"/>
        <w:gridCol w:w="1584"/>
      </w:tblGrid>
      <w:tr>
        <w:trPr>
          <w:cantSplit/>
          <w:tblHeader/>
        </w:trPr>
        <w:tc>
          <w:tcPr>
            <w:tcW w:type="dxa" w:w="230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Identity</w:t>
            </w:r>
          </w:p>
        </w:tc>
        <w:tc>
          <w:tcPr>
            <w:tcW w:type="dxa" w:w="122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CX-Chat</w:t>
            </w:r>
          </w:p>
        </w:tc>
        <w:tc>
          <w:tcPr>
            <w:tcW w:type="dxa" w:w="122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NetAssist</w:t>
            </w:r>
          </w:p>
        </w:tc>
        <w:tc>
          <w:tcPr>
            <w:tcW w:type="dxa" w:w="122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DocSum</w:t>
            </w:r>
          </w:p>
        </w:tc>
        <w:tc>
          <w:tcPr>
            <w:tcW w:type="dxa" w:w="18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ExceptionAgent</w:t>
            </w:r>
          </w:p>
        </w:tc>
        <w:tc>
          <w:tcPr>
            <w:tcW w:type="dxa" w:w="158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Evidence</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Customer (External ID)</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 own shipments</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Network planner; document clerk</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 (planner)</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 (clerk)</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Exception analyst</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Operations manager</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 up to USD 2,500</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Finance and Legal approvers</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 above USD 2,500, dual</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Customs and trade specialist</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 human-only cases</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lead; Security incident manager</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K</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K</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K</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K</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raw vault with DPO approval</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DPO; internal audit</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 DPO approves raw vault and holds</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analyst</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Cost data</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Application managed identities</w:t>
            </w:r>
          </w:p>
        </w:tc>
        <w:tc>
          <w:tcPr>
            <w:tcW w:type="dxa" w:w="7056"/>
            <w:gridSpan w:val="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Own deployments in own geography only</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managed identity</w:t>
            </w:r>
          </w:p>
        </w:tc>
        <w:tc>
          <w:tcPr>
            <w:tcW w:type="dxa" w:w="7056"/>
            <w:gridSpan w:val="5"/>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Model deployments and Action Policy Service; no business-system write</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Action Policy Service identity</w:t>
            </w:r>
          </w:p>
        </w:tc>
        <w:tc>
          <w:tcPr>
            <w:tcW w:type="dxa" w:w="7056"/>
            <w:gridSpan w:val="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Writes TMS, billing and carrier APIs for approved actions only</w:t>
            </w:r>
          </w:p>
        </w:tc>
      </w:tr>
    </w:tbl>
    <w:p>
      <w:pPr>
        <w:spacing w:after="60"/>
      </w:pPr>
    </w:p>
    <w:p>
      <w:pPr>
        <w:spacing w:after="110" w:line="252"/>
      </w:pPr>
      <w:r>
        <w:rPr>
          <w:rFonts w:ascii="Calibri" w:cs="Calibri" w:eastAsia="Calibri" w:hAnsi="Calibri"/>
          <w:b w:val="false"/>
          <w:bCs w:val="false"/>
          <w:sz w:val="21"/>
          <w:szCs w:val="21"/>
        </w:rPr>
        <w:t xml:space="preserve">People are scoped to their own geography. Global roles see metadata from every geography but content only in-region.</w:t>
      </w:r>
    </w:p>
    <w:p>
      <w:pPr>
        <w:spacing w:after="110" w:line="252"/>
      </w:pPr>
      <w:r>
        <w:rPr>
          <w:rFonts w:ascii="Calibri" w:cs="Calibri" w:eastAsia="Calibri" w:hAnsi="Calibri"/>
          <w:b/>
          <w:bCs/>
          <w:sz w:val="21"/>
          <w:szCs w:val="21"/>
        </w:rPr>
        <w:t xml:space="preserve">Audit record.</w:t>
      </w:r>
      <w:r>
        <w:rPr>
          <w:rFonts w:ascii="Calibri" w:cs="Calibri" w:eastAsia="Calibri" w:hAnsi="Calibri"/>
          <w:b w:val="false"/>
          <w:bCs w:val="false"/>
          <w:sz w:val="21"/>
          <w:szCs w:val="21"/>
        </w:rPr>
        <w:t xml:space="preserve"> Each model call and action writes a trace keyed by trace ID: application, caller identity, policy result, deployment, region and data zone, model and prompt versions, token counts, latency and content-safety results. Agent decisions add the attribution fields in Table 10. Content is redacted or hashed; raw prompts and responses are not kept by default.</w:t>
      </w:r>
    </w:p>
    <w:p>
      <w:pPr>
        <w:keepNext/>
        <w:spacing w:after="60" w:before="120"/>
      </w:pPr>
      <w:r>
        <w:rPr>
          <w:rFonts w:ascii="Calibri" w:cs="Calibri" w:eastAsia="Calibri" w:hAnsi="Calibri"/>
          <w:b/>
          <w:bCs/>
          <w:color w:val="17365D"/>
          <w:sz w:val="18"/>
          <w:szCs w:val="18"/>
        </w:rPr>
        <w:t xml:space="preserve">Table 7. Record-class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2808"/>
        <w:gridCol w:w="2232"/>
        <w:gridCol w:w="2088"/>
      </w:tblGrid>
      <w:tr>
        <w:trPr>
          <w:cantSplit/>
          <w:tblHeader/>
        </w:trPr>
        <w:tc>
          <w:tcPr>
            <w:tcW w:type="dxa" w:w="223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Record class</w:t>
            </w:r>
          </w:p>
        </w:tc>
        <w:tc>
          <w:tcPr>
            <w:tcW w:type="dxa" w:w="280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Retention</w:t>
            </w:r>
          </w:p>
        </w:tc>
        <w:tc>
          <w:tcPr>
            <w:tcW w:type="dxa" w:w="223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Storage</w:t>
            </w:r>
          </w:p>
        </w:tc>
        <w:tc>
          <w:tcPr>
            <w:tcW w:type="dxa" w:w="208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Access</w:t>
            </w:r>
          </w:p>
        </w:tc>
      </w:tr>
      <w:tr>
        <w:trPr>
          <w:cantSplit/>
        </w:trPr>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RC1 Operational traces (metadata)</w:t>
            </w:r>
          </w:p>
        </w:tc>
        <w:tc>
          <w:tcPr>
            <w:tcW w:type="dxa" w:w="28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90 days</w:t>
            </w:r>
          </w:p>
        </w:tc>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Log Analytics, per geography</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AgentOps</w:t>
            </w:r>
          </w:p>
        </w:tc>
      </w:tr>
      <w:tr>
        <w:trPr>
          <w:cantSplit/>
        </w:trPr>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RC2 Decision and approval records</w:t>
            </w:r>
          </w:p>
        </w:tc>
        <w:tc>
          <w:tcPr>
            <w:tcW w:type="dxa" w:w="28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7 years if executed; 13 months if not</w:t>
            </w:r>
          </w:p>
        </w:tc>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Immutable Blob (WORM), per geography</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Audit, Legal, DPO</w:t>
            </w:r>
          </w:p>
        </w:tc>
      </w:tr>
      <w:tr>
        <w:trPr>
          <w:cantSplit/>
        </w:trPr>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RC3 Security evidence</w:t>
            </w:r>
          </w:p>
        </w:tc>
        <w:tc>
          <w:tcPr>
            <w:tcW w:type="dxa" w:w="28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 years</w:t>
            </w:r>
          </w:p>
        </w:tc>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Microsoft Sentinel</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operations</w:t>
            </w:r>
          </w:p>
        </w:tc>
      </w:tr>
      <w:tr>
        <w:trPr>
          <w:cantSplit/>
        </w:trPr>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RC4 Redacted QA samples</w:t>
            </w:r>
          </w:p>
        </w:tc>
        <w:tc>
          <w:tcPr>
            <w:tcW w:type="dxa" w:w="28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30 days</w:t>
            </w:r>
          </w:p>
        </w:tc>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Regional evaluation store</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QA reviewers</w:t>
            </w:r>
          </w:p>
        </w:tc>
      </w:tr>
      <w:tr>
        <w:trPr>
          <w:cantSplit/>
        </w:trPr>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RC5 Raw content capture</w:t>
            </w:r>
          </w:p>
        </w:tc>
        <w:tc>
          <w:tcPr>
            <w:tcW w:type="dxa" w:w="28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Off; ≤ 30 days for a DPO-approved incident</w:t>
            </w:r>
          </w:p>
        </w:tc>
        <w:tc>
          <w:tcPr>
            <w:tcW w:type="dxa" w:w="22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Restricted vault, customer-managed key</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Named investigators</w:t>
            </w:r>
          </w:p>
        </w:tc>
      </w:tr>
      <w:tr>
        <w:trPr>
          <w:cantSplit/>
        </w:trPr>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RC6 Cost aggregates</w:t>
            </w:r>
          </w:p>
        </w:tc>
        <w:tc>
          <w:tcPr>
            <w:tcW w:type="dxa" w:w="28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25 months</w:t>
            </w:r>
          </w:p>
        </w:tc>
        <w:tc>
          <w:tcPr>
            <w:tcW w:type="dxa" w:w="22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dataset</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w:t>
            </w:r>
          </w:p>
        </w:tc>
      </w:tr>
    </w:tbl>
    <w:p>
      <w:pPr>
        <w:spacing w:after="60"/>
      </w:pPr>
    </w:p>
    <w:p>
      <w:pPr>
        <w:spacing w:after="110" w:line="252"/>
      </w:pPr>
      <w:r>
        <w:rPr>
          <w:rFonts w:ascii="Calibri" w:cs="Calibri" w:eastAsia="Calibri" w:hAnsi="Calibri"/>
          <w:b w:val="false"/>
          <w:bCs w:val="false"/>
          <w:sz w:val="21"/>
          <w:szCs w:val="21"/>
        </w:rPr>
        <w:t xml:space="preserve">Lifecycle policies delete expired records and log each deletion job. Erasure requests delete the pseudonym mapping in the source system, so archived records can no longer identify a person. A legal hold, set and released only by AI Regulatory Counsel, suspends deletion for scoped records. Seven years assumes GLC's financial-record retention, which AI Regulatory Counsel confirms per jurisdiction, and exceeds the six-month log minimum that would apply if the agent became high-risk.</w:t>
      </w:r>
    </w:p>
    <w:p>
      <w:pPr>
        <w:spacing w:after="110" w:line="252"/>
      </w:pPr>
      <w:r>
        <w:rPr>
          <w:rFonts w:ascii="Calibri" w:cs="Calibri" w:eastAsia="Calibri" w:hAnsi="Calibri"/>
          <w:b/>
          <w:bCs/>
          <w:sz w:val="21"/>
          <w:szCs w:val="21"/>
        </w:rPr>
        <w:t xml:space="preserve">Deployment governance.</w:t>
      </w:r>
      <w:r>
        <w:rPr>
          <w:rFonts w:ascii="Calibri" w:cs="Calibri" w:eastAsia="Calibri" w:hAnsi="Calibri"/>
          <w:b w:val="false"/>
          <w:bCs w:val="false"/>
          <w:sz w:val="21"/>
          <w:szCs w:val="21"/>
        </w:rPr>
        <w:t xml:space="preserve"> Changes to a model, prompt, tool, safety configuration, authority threshold or data processing need AI governance council approval with evidence: evaluation and red-team results, an updated DPIA, a data-boundary test and a rollback plan. Preview features need written risk acceptance and a generally available fallback.</w:t>
      </w:r>
    </w:p>
    <w:p>
      <w:pPr>
        <w:keepNext/>
        <w:spacing w:after="40" w:before="120"/>
        <w:jc w:val="center"/>
      </w:pPr>
      <w:r>
        <w:drawing>
          <wp:inline distT="0" distB="0" distL="0" distR="0">
            <wp:extent cx="5943600" cy="5886450"/>
            <wp:effectExtent t="0" r="0" b="0" l="0"/>
            <wp:docPr id="1" name="unified_ai_gateway.png" descr="Figure 2. Unified AI gateway: trust boundary, identities, regional routing, policy decisions, telemetry and systems of record" title="Figure 2. Unified AI gateway: trust boundary, identities, regional routing, policy decisions, telemetry and systems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886450"/>
                    </a:xfrm>
                    <a:prstGeom prst="rect">
                      <a:avLst/>
                    </a:prstGeom>
                  </pic:spPr>
                </pic:pic>
              </a:graphicData>
            </a:graphic>
          </wp:inline>
        </w:drawing>
      </w:r>
    </w:p>
    <w:p>
      <w:pPr>
        <w:spacing w:after="160"/>
        <w:jc w:val="center"/>
      </w:pPr>
      <w:r>
        <w:rPr>
          <w:rFonts w:ascii="Calibri" w:cs="Calibri" w:eastAsia="Calibri" w:hAnsi="Calibri"/>
          <w:b/>
          <w:bCs/>
          <w:color w:val="17365D"/>
          <w:sz w:val="18"/>
          <w:szCs w:val="18"/>
        </w:rPr>
        <w:t xml:space="preserve">Figure 2. Unified AI gateway: trust boundary, identities, regional routing, policy decisions, telemetry and systems of record</w:t>
      </w:r>
    </w:p>
    <w:p>
      <w:pPr>
        <w:pStyle w:val="Heading1"/>
        <w:keepNext/>
        <w:pageBreakBefore/>
        <w:spacing w:after="100" w:before="0"/>
      </w:pPr>
      <w:r>
        <w:rPr>
          <w:rFonts w:ascii="Calibri" w:cs="Calibri" w:eastAsia="Calibri" w:hAnsi="Calibri"/>
          <w:b/>
          <w:bCs/>
          <w:color w:val="17365D"/>
          <w:sz w:val="28"/>
          <w:szCs w:val="28"/>
        </w:rPr>
        <w:t xml:space="preserve">Component 4: Content safety operations</w:t>
      </w:r>
    </w:p>
    <w:p>
      <w:pPr>
        <w:spacing w:after="110" w:line="252"/>
      </w:pPr>
      <w:r>
        <w:rPr>
          <w:rFonts w:ascii="Calibri" w:cs="Calibri" w:eastAsia="Calibri" w:hAnsi="Calibri"/>
          <w:b w:val="false"/>
          <w:bCs w:val="false"/>
          <w:sz w:val="21"/>
          <w:szCs w:val="21"/>
        </w:rPr>
        <w:t xml:space="preserve">Safety profiles tighten as exposure and authority grow (Table 8). A content-filter or Prompt Shields pass never grants permission to act; only the Action Policy Service can.</w:t>
      </w:r>
    </w:p>
    <w:p>
      <w:pPr>
        <w:keepNext/>
        <w:spacing w:after="60" w:before="120"/>
      </w:pPr>
      <w:r>
        <w:rPr>
          <w:rFonts w:ascii="Calibri" w:cs="Calibri" w:eastAsia="Calibri" w:hAnsi="Calibri"/>
          <w:b/>
          <w:bCs/>
          <w:color w:val="17365D"/>
          <w:sz w:val="18"/>
          <w:szCs w:val="18"/>
        </w:rPr>
        <w:t xml:space="preserve">Table 8. Differentiated safety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2016"/>
        <w:gridCol w:w="1728"/>
        <w:gridCol w:w="1728"/>
        <w:gridCol w:w="2160"/>
      </w:tblGrid>
      <w:tr>
        <w:trPr>
          <w:cantSplit/>
          <w:tblHeader/>
        </w:trPr>
        <w:tc>
          <w:tcPr>
            <w:tcW w:type="dxa" w:w="172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Control</w:t>
            </w:r>
          </w:p>
        </w:tc>
        <w:tc>
          <w:tcPr>
            <w:tcW w:type="dxa" w:w="201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CX-Chat (external)</w:t>
            </w:r>
          </w:p>
        </w:tc>
        <w:tc>
          <w:tcPr>
            <w:tcW w:type="dxa" w:w="172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NetAssist</w:t>
            </w:r>
          </w:p>
        </w:tc>
        <w:tc>
          <w:tcPr>
            <w:tcW w:type="dxa" w:w="172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DocSum</w:t>
            </w:r>
          </w:p>
        </w:tc>
        <w:tc>
          <w:tcPr>
            <w:tcW w:type="dxa" w:w="216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ExceptionAgent</w:t>
            </w:r>
          </w:p>
        </w:tc>
      </w:tr>
      <w:tr>
        <w:trPr>
          <w:cantSplit/>
        </w:trPr>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Input filter blocks at</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r>
      <w:tr>
        <w:trPr>
          <w:cantSplit/>
        </w:trPr>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Output filter blocks at</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Low</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Medium</w:t>
            </w:r>
          </w:p>
        </w:tc>
        <w:tc>
          <w:tcPr>
            <w:tcW w:type="dxa" w:w="216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Low</w:t>
            </w:r>
          </w:p>
        </w:tc>
      </w:tr>
      <w:tr>
        <w:trPr>
          <w:cantSplit/>
        </w:trPr>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Prompt Shields</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User prompts</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User prompts</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Documents</w:t>
            </w:r>
          </w:p>
        </w:tc>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Prompts and documents</w:t>
            </w:r>
          </w:p>
        </w:tc>
      </w:tr>
      <w:tr>
        <w:trPr>
          <w:cantSplit/>
        </w:trPr>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Personal data</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Redacted in logs; AI disclosure</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Denied at gateway</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Protected handling</w:t>
            </w:r>
          </w:p>
        </w:tc>
        <w:tc>
          <w:tcPr>
            <w:tcW w:type="dxa" w:w="216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References only</w:t>
            </w:r>
          </w:p>
        </w:tc>
      </w:tr>
      <w:tr>
        <w:trPr>
          <w:cantSplit/>
        </w:trPr>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Tools</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None</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None</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None</w:t>
            </w:r>
          </w:p>
        </w:tc>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Allowlist, parameter checks, ceilings, breaker</w:t>
            </w:r>
          </w:p>
        </w:tc>
      </w:tr>
      <w:tr>
        <w:trPr>
          <w:cantSplit/>
        </w:trPr>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Rate limit</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20 requests a minute per user; 8,000 tokens a session</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TPM</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TPM; batch quota</w:t>
            </w:r>
          </w:p>
        </w:tc>
        <w:tc>
          <w:tcPr>
            <w:tcW w:type="dxa" w:w="216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45,000 tokens a task</w:t>
            </w:r>
          </w:p>
        </w:tc>
      </w:tr>
      <w:tr>
        <w:trPr>
          <w:cantSplit/>
        </w:trPr>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QA sample</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w:t>
            </w:r>
          </w:p>
        </w:tc>
        <w:tc>
          <w:tcPr>
            <w:tcW w:type="dxa" w:w="21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w:t>
            </w:r>
          </w:p>
        </w:tc>
      </w:tr>
    </w:tbl>
    <w:p>
      <w:pPr>
        <w:spacing w:after="60"/>
      </w:pPr>
    </w:p>
    <w:p>
      <w:pPr>
        <w:spacing w:after="110" w:line="252"/>
      </w:pPr>
      <w:r>
        <w:rPr>
          <w:rFonts w:ascii="Calibri" w:cs="Calibri" w:eastAsia="Calibri" w:hAnsi="Calibri"/>
          <w:b w:val="false"/>
          <w:bCs w:val="false"/>
          <w:sz w:val="21"/>
          <w:szCs w:val="21"/>
        </w:rPr>
        <w:t xml:space="preserve">Chat and the agent block outputs at low severity because a harmful answer reaches a customer or triggers an action; inputs block at medium so that frustrated but legitimate customers are not refused. Customs documents and carrier emails are the main indirect-injection path, so DocSum and the agent check every attachment with Prompt Shields and quarantine flagged sources. Chat opens each session by saying the customer is talking to an AI assistant and offers a human handoff, meeting Article 50(1).</w:t>
      </w:r>
    </w:p>
    <w:p>
      <w:pPr>
        <w:spacing w:after="110" w:line="252"/>
      </w:pPr>
      <w:r>
        <w:rPr>
          <w:rFonts w:ascii="Calibri" w:cs="Calibri" w:eastAsia="Calibri" w:hAnsi="Calibri"/>
          <w:b/>
          <w:bCs/>
          <w:sz w:val="21"/>
          <w:szCs w:val="21"/>
        </w:rPr>
        <w:t xml:space="preserve">Incident severity and escalation.</w:t>
      </w:r>
      <w:r>
        <w:rPr>
          <w:rFonts w:ascii="Calibri" w:cs="Calibri" w:eastAsia="Calibri" w:hAnsi="Calibri"/>
          <w:b w:val="false"/>
          <w:bCs w:val="false"/>
          <w:sz w:val="21"/>
          <w:szCs w:val="21"/>
        </w:rPr>
        <w:t xml:space="preserve"> Severity follows business and regulatory impact (Table 9, Figure 3), and Appendix C sets what first-line operators may do before they hand over. The DPO and AI Regulatory Counsel decide on notification within statutory clocks: GDPR 72 hours, LGPD three working days, DPDP 72 hours once in force, and applicable US state rules. These targets are course defaults that GLC must adapt after the Day 20–45 exercise. Every SEV1 and SEV2 gets a postmortem within five business days.</w:t>
      </w:r>
    </w:p>
    <w:p>
      <w:pPr>
        <w:keepNext/>
        <w:spacing w:after="60" w:before="120"/>
      </w:pPr>
      <w:r>
        <w:rPr>
          <w:rFonts w:ascii="Calibri" w:cs="Calibri" w:eastAsia="Calibri" w:hAnsi="Calibri"/>
          <w:b/>
          <w:bCs/>
          <w:color w:val="17365D"/>
          <w:sz w:val="18"/>
          <w:szCs w:val="18"/>
        </w:rPr>
        <w:t xml:space="preserve">Table 9. Incident severity and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3168"/>
        <w:gridCol w:w="1296"/>
        <w:gridCol w:w="1296"/>
        <w:gridCol w:w="1440"/>
        <w:gridCol w:w="1080"/>
      </w:tblGrid>
      <w:tr>
        <w:trPr>
          <w:cantSplit/>
          <w:tblHeader/>
        </w:trPr>
        <w:tc>
          <w:tcPr>
            <w:tcW w:type="dxa" w:w="10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Severity</w:t>
            </w:r>
          </w:p>
        </w:tc>
        <w:tc>
          <w:tcPr>
            <w:tcW w:type="dxa" w:w="316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Example triggers</w:t>
            </w:r>
          </w:p>
        </w:tc>
        <w:tc>
          <w:tcPr>
            <w:tcW w:type="dxa" w:w="129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Acknowledge</w:t>
            </w:r>
          </w:p>
        </w:tc>
        <w:tc>
          <w:tcPr>
            <w:tcW w:type="dxa" w:w="129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Contain</w:t>
            </w:r>
          </w:p>
        </w:tc>
        <w:tc>
          <w:tcPr>
            <w:tcW w:type="dxa" w:w="144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Incident lead</w:t>
            </w:r>
          </w:p>
        </w:tc>
        <w:tc>
          <w:tcPr>
            <w:tcW w:type="dxa" w:w="10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Notify</w:t>
            </w:r>
          </w:p>
        </w:tc>
      </w:tr>
      <w:tr>
        <w:trPr>
          <w:cantSplit/>
        </w:trPr>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SEV1</w:t>
            </w:r>
          </w:p>
        </w:tc>
        <w:tc>
          <w:tcPr>
            <w:tcW w:type="dxa" w:w="31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Action executed without approval; personal data to the wrong customer or across a boundary; harmful output at scale</w:t>
            </w:r>
          </w:p>
        </w:tc>
        <w:tc>
          <w:tcPr>
            <w:tcW w:type="dxa" w:w="12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15 min</w:t>
            </w:r>
          </w:p>
        </w:tc>
        <w:tc>
          <w:tcPr>
            <w:tcW w:type="dxa" w:w="12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30 min</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incident manager</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DPO, Legal, COO delegate within 1 hour</w:t>
            </w:r>
          </w:p>
        </w:tc>
      </w:tr>
      <w:tr>
        <w:trPr>
          <w:cantSplit/>
        </w:trPr>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SEV2</w:t>
            </w:r>
          </w:p>
        </w:tc>
        <w:tc>
          <w:tcPr>
            <w:tcW w:type="dxa" w:w="31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Isolated harmful output; repeated boundary denials; cost above twice daily baseline; evaluator failures &gt; 5%</w:t>
            </w:r>
          </w:p>
        </w:tc>
        <w:tc>
          <w:tcPr>
            <w:tcW w:type="dxa" w:w="12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30 min</w:t>
            </w:r>
          </w:p>
        </w:tc>
        <w:tc>
          <w:tcPr>
            <w:tcW w:type="dxa" w:w="12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4 hours</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lead</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Workload owner; DPO if personal data</w:t>
            </w:r>
          </w:p>
        </w:tc>
      </w:tr>
      <w:tr>
        <w:trPr>
          <w:cantSplit/>
        </w:trPr>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SEV3</w:t>
            </w:r>
          </w:p>
        </w:tc>
        <w:tc>
          <w:tcPr>
            <w:tcW w:type="dxa" w:w="31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Quality drop &gt; 2 points; internal quota breach</w:t>
            </w:r>
          </w:p>
        </w:tc>
        <w:tc>
          <w:tcPr>
            <w:tcW w:type="dxa" w:w="12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4 business hours</w:t>
            </w:r>
          </w:p>
        </w:tc>
        <w:tc>
          <w:tcPr>
            <w:tcW w:type="dxa" w:w="12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5 business days</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Product owner</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or AgentOps</w:t>
            </w:r>
          </w:p>
        </w:tc>
      </w:tr>
      <w:tr>
        <w:trPr>
          <w:cantSplit/>
        </w:trPr>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SEV4</w:t>
            </w:r>
          </w:p>
        </w:tc>
        <w:tc>
          <w:tcPr>
            <w:tcW w:type="dxa" w:w="31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UX defects; false-positive blocks</w:t>
            </w:r>
          </w:p>
        </w:tc>
        <w:tc>
          <w:tcPr>
            <w:tcW w:type="dxa" w:w="12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Next cycle</w:t>
            </w:r>
          </w:p>
        </w:tc>
        <w:tc>
          <w:tcPr>
            <w:tcW w:type="dxa" w:w="12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Next cycle</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Product owner</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None</w:t>
            </w:r>
          </w:p>
        </w:tc>
      </w:tr>
    </w:tbl>
    <w:p>
      <w:pPr>
        <w:spacing w:after="60"/>
      </w:pPr>
    </w:p>
    <w:p>
      <w:pPr>
        <w:keepNext/>
        <w:spacing w:after="40" w:before="120"/>
        <w:jc w:val="center"/>
      </w:pPr>
      <w:r>
        <w:drawing>
          <wp:inline distT="0" distB="0" distL="0" distR="0">
            <wp:extent cx="5943600" cy="4114800"/>
            <wp:effectExtent t="0" r="0" b="0" l="0"/>
            <wp:docPr id="1" name="incident_escalation_flow.png" descr="Figure 3. Incident escalation flow by role" title="Figure 3. Incident escalation flow b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14800"/>
                    </a:xfrm>
                    <a:prstGeom prst="rect">
                      <a:avLst/>
                    </a:prstGeom>
                  </pic:spPr>
                </pic:pic>
              </a:graphicData>
            </a:graphic>
          </wp:inline>
        </w:drawing>
      </w:r>
    </w:p>
    <w:p>
      <w:pPr>
        <w:spacing w:after="160"/>
        <w:jc w:val="center"/>
      </w:pPr>
      <w:r>
        <w:rPr>
          <w:rFonts w:ascii="Calibri" w:cs="Calibri" w:eastAsia="Calibri" w:hAnsi="Calibri"/>
          <w:b/>
          <w:bCs/>
          <w:color w:val="17365D"/>
          <w:sz w:val="18"/>
          <w:szCs w:val="18"/>
        </w:rPr>
        <w:t xml:space="preserve">Figure 3. Incident escalation flow by role</w:t>
      </w:r>
    </w:p>
    <w:p>
      <w:pPr>
        <w:pStyle w:val="Heading1"/>
        <w:keepNext/>
        <w:pageBreakBefore/>
        <w:spacing w:after="100" w:before="0"/>
      </w:pPr>
      <w:r>
        <w:rPr>
          <w:rFonts w:ascii="Calibri" w:cs="Calibri" w:eastAsia="Calibri" w:hAnsi="Calibri"/>
          <w:b/>
          <w:bCs/>
          <w:color w:val="17365D"/>
          <w:sz w:val="28"/>
          <w:szCs w:val="28"/>
        </w:rPr>
        <w:t xml:space="preserve">Component 5: AgentOps framework</w:t>
      </w:r>
    </w:p>
    <w:p>
      <w:pPr>
        <w:spacing w:after="110" w:line="252"/>
      </w:pPr>
      <w:r>
        <w:rPr>
          <w:rFonts w:ascii="Calibri" w:cs="Calibri" w:eastAsia="Calibri" w:hAnsi="Calibri"/>
          <w:b/>
          <w:bCs/>
          <w:sz w:val="21"/>
          <w:szCs w:val="21"/>
        </w:rPr>
        <w:t xml:space="preserve">Trace and metrics.</w:t>
      </w:r>
      <w:r>
        <w:rPr>
          <w:rFonts w:ascii="Calibri" w:cs="Calibri" w:eastAsia="Calibri" w:hAnsi="Calibri"/>
          <w:b w:val="false"/>
          <w:bCs w:val="false"/>
          <w:sz w:val="21"/>
          <w:szCs w:val="21"/>
        </w:rPr>
        <w:t xml:space="preserve"> The agent emits OpenTelemetry GenAI spans to Application Insights through Foundry tracing, which is generally available for prompt and hosted agents; workflow and external agents are preview and not used. Each run records model and tool steps, retries, tokens, latency, cost, policy rules, approvals, actions, errors and compensation.</w:t>
      </w:r>
    </w:p>
    <w:p>
      <w:pPr>
        <w:spacing w:after="110" w:line="252"/>
      </w:pPr>
      <w:r>
        <w:rPr>
          <w:rFonts w:ascii="Calibri" w:cs="Calibri" w:eastAsia="Calibri" w:hAnsi="Calibri"/>
          <w:b/>
          <w:bCs/>
          <w:sz w:val="21"/>
          <w:szCs w:val="21"/>
        </w:rPr>
        <w:t xml:space="preserve">Evaluation.</w:t>
      </w:r>
      <w:r>
        <w:rPr>
          <w:rFonts w:ascii="Calibri" w:cs="Calibri" w:eastAsia="Calibri" w:hAnsi="Calibri"/>
          <w:b w:val="false"/>
          <w:bCs w:val="false"/>
          <w:sz w:val="21"/>
          <w:szCs w:val="21"/>
        </w:rPr>
        <w:t xml:space="preserve"> Deterministic rule outcomes are the production gate. Foundry's task-adherence, intent-resolution and task-completion evaluators are preview, so they score sampled traces as advisory signals. Thresholds:</w:t>
      </w:r>
    </w:p>
    <w:p>
      <w:pPr>
        <w:pStyle w:val="ListParagraph"/>
        <w:numPr>
          <w:ilvl w:val="0"/>
          <w:numId w:val="2"/>
        </w:numPr>
        <w:spacing w:after="50" w:line="252"/>
      </w:pPr>
      <w:r>
        <w:rPr>
          <w:rFonts w:ascii="Calibri" w:cs="Calibri" w:eastAsia="Calibri" w:hAnsi="Calibri"/>
          <w:b w:val="false"/>
          <w:bCs w:val="false"/>
          <w:sz w:val="21"/>
          <w:szCs w:val="21"/>
        </w:rPr>
        <w:t xml:space="preserve">Confidence below 0.80 sends the case to human review, even under USD 250.</w:t>
      </w:r>
    </w:p>
    <w:p>
      <w:pPr>
        <w:pStyle w:val="ListParagraph"/>
        <w:numPr>
          <w:ilvl w:val="0"/>
          <w:numId w:val="2"/>
        </w:numPr>
        <w:spacing w:after="50" w:line="252"/>
      </w:pPr>
      <w:r>
        <w:rPr>
          <w:rFonts w:ascii="Calibri" w:cs="Calibri" w:eastAsia="Calibri" w:hAnsi="Calibri"/>
          <w:b w:val="false"/>
          <w:bCs w:val="false"/>
          <w:sz w:val="21"/>
          <w:szCs w:val="21"/>
        </w:rPr>
        <w:t xml:space="preserve">Evaluator failures above 5% of sampled runs in 24 hours switch the agent to propose-only mode.</w:t>
      </w:r>
    </w:p>
    <w:p>
      <w:pPr>
        <w:pStyle w:val="ListParagraph"/>
        <w:numPr>
          <w:ilvl w:val="0"/>
          <w:numId w:val="2"/>
        </w:numPr>
        <w:spacing w:after="50" w:line="252"/>
      </w:pPr>
      <w:r>
        <w:rPr>
          <w:rFonts w:ascii="Calibri" w:cs="Calibri" w:eastAsia="Calibri" w:hAnsi="Calibri"/>
          <w:b w:val="false"/>
          <w:bCs w:val="false"/>
          <w:sz w:val="21"/>
          <w:szCs w:val="21"/>
        </w:rPr>
        <w:t xml:space="preserve">Auto-executed credits above twice the seven-day hourly baseline open the circuit breaker.</w:t>
      </w:r>
    </w:p>
    <w:p>
      <w:pPr>
        <w:pStyle w:val="ListParagraph"/>
        <w:numPr>
          <w:ilvl w:val="0"/>
          <w:numId w:val="2"/>
        </w:numPr>
        <w:spacing w:after="50" w:line="252"/>
      </w:pPr>
      <w:r>
        <w:rPr>
          <w:rFonts w:ascii="Calibri" w:cs="Calibri" w:eastAsia="Calibri" w:hAnsi="Calibri"/>
          <w:b w:val="false"/>
          <w:bCs w:val="false"/>
          <w:sz w:val="21"/>
          <w:szCs w:val="21"/>
        </w:rPr>
        <w:t xml:space="preserve">Exceeding 8 model calls, 2 retries per tool or 45,000 tokens ends the run and escalates it.</w:t>
      </w:r>
    </w:p>
    <w:p>
      <w:pPr>
        <w:spacing w:after="40"/>
      </w:pPr>
    </w:p>
    <w:p>
      <w:pPr>
        <w:spacing w:after="110" w:line="252"/>
      </w:pPr>
      <w:r>
        <w:rPr>
          <w:rFonts w:ascii="Calibri" w:cs="Calibri" w:eastAsia="Calibri" w:hAnsi="Calibri"/>
          <w:b/>
          <w:bCs/>
          <w:sz w:val="21"/>
          <w:szCs w:val="21"/>
        </w:rPr>
        <w:t xml:space="preserve">Attribution.</w:t>
      </w:r>
      <w:r>
        <w:rPr>
          <w:rFonts w:ascii="Calibri" w:cs="Calibri" w:eastAsia="Calibri" w:hAnsi="Calibri"/>
          <w:b w:val="false"/>
          <w:bCs w:val="false"/>
          <w:sz w:val="21"/>
          <w:szCs w:val="21"/>
        </w:rPr>
        <w:t xml:space="preserve"> Each decision record maps the trace ID to agent and service identities, an input snapshot reference (hash and redacted pointer), evidence references, model, prompt and policy versions, rules with reason codes, confidence, proposed action, approval, execution with idempotency key, and any human override (Table 10). Completeness is measured daily against the 99.5% target.</w:t>
      </w:r>
    </w:p>
    <w:p>
      <w:pPr>
        <w:keepNext/>
        <w:spacing w:after="60" w:before="120"/>
      </w:pPr>
      <w:r>
        <w:rPr>
          <w:rFonts w:ascii="Calibri" w:cs="Calibri" w:eastAsia="Calibri" w:hAnsi="Calibri"/>
          <w:b/>
          <w:bCs/>
          <w:color w:val="17365D"/>
          <w:sz w:val="18"/>
          <w:szCs w:val="18"/>
        </w:rPr>
        <w:t xml:space="preserve">Table 10. Sample decision-attribution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056"/>
      </w:tblGrid>
      <w:tr>
        <w:trPr>
          <w:cantSplit/>
          <w:tblHeader/>
        </w:trPr>
        <w:tc>
          <w:tcPr>
            <w:tcW w:type="dxa" w:w="230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Field</w:t>
            </w:r>
          </w:p>
        </w:tc>
        <w:tc>
          <w:tcPr>
            <w:tcW w:type="dxa" w:w="70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Value</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trace_id; decision_id</w:t>
            </w:r>
          </w:p>
        </w:tc>
        <w:tc>
          <w:tcPr>
            <w:tcW w:type="dxa" w:w="70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4bf92f35…; EXC-2026-11-000184</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Versions</w:t>
            </w:r>
          </w:p>
        </w:tc>
        <w:tc>
          <w:tcPr>
            <w:tcW w:type="dxa" w:w="70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GLC-ExceptionAgent 1.4; prompt v12; policy v7; deployment dz-eu (EU Data Zone)</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Identities; policy result</w:t>
            </w:r>
          </w:p>
        </w:tc>
        <w:tc>
          <w:tcPr>
            <w:tcW w:type="dxa" w:w="70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Application GLC-ExceptionAgent; service identity mi-exc-agent-eu (event-triggered, no user); policy result allow</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Input snapshot; evidence</w:t>
            </w:r>
          </w:p>
        </w:tc>
        <w:tc>
          <w:tcPr>
            <w:tcW w:type="dxa" w:w="70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sha256:9c1e…, redacted pointer arc://eu/exc/000184; shipment token SHP-7Q2X, carrier scan, policy SLA-EXP-48</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Proposed action; confidence</w:t>
            </w:r>
          </w:p>
        </w:tc>
        <w:tc>
          <w:tcPr>
            <w:tcW w:type="dxa" w:w="70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Service credit USD 180; 0.91</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Rules and reason codes</w:t>
            </w:r>
          </w:p>
        </w:tc>
        <w:tc>
          <w:tcPr>
            <w:tcW w:type="dxa" w:w="70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POL-CR-01 pass (≤ USD 250); FRAUD-00 pass; DISPUTE-00 pass; CUM-30D pass (USD 180 of 500); IDEMP pass</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Safety results</w:t>
            </w:r>
          </w:p>
        </w:tc>
        <w:tc>
          <w:tcPr>
            <w:tcW w:type="dxa" w:w="70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Input and output filters pass; no Prompt Shields detection</w:t>
            </w:r>
          </w:p>
        </w:tc>
      </w:tr>
      <w:tr>
        <w:trPr>
          <w:cantSplit/>
        </w:trPr>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 execution</w:t>
            </w:r>
          </w:p>
        </w:tc>
        <w:tc>
          <w:tcPr>
            <w:tcW w:type="dxa" w:w="70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 required (auto-execute tier); billing API 201, idempotency key 7f3a…, 2026-11-14T09:42:07Z</w:t>
            </w:r>
          </w:p>
        </w:tc>
      </w:tr>
      <w:tr>
        <w:trPr>
          <w:cantSplit/>
        </w:trPr>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Override; record class</w:t>
            </w:r>
          </w:p>
        </w:tc>
        <w:tc>
          <w:tcPr>
            <w:tcW w:type="dxa" w:w="70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None; RC2, 7 years, EU archive</w:t>
            </w:r>
          </w:p>
        </w:tc>
      </w:tr>
    </w:tbl>
    <w:p>
      <w:pPr>
        <w:spacing w:after="60"/>
      </w:pPr>
    </w:p>
    <w:p>
      <w:pPr>
        <w:keepNext/>
        <w:spacing w:after="60" w:before="120"/>
      </w:pPr>
      <w:r>
        <w:rPr>
          <w:rFonts w:ascii="Calibri" w:cs="Calibri" w:eastAsia="Calibri" w:hAnsi="Calibri"/>
          <w:b/>
          <w:bCs/>
          <w:color w:val="17365D"/>
          <w:sz w:val="18"/>
          <w:szCs w:val="18"/>
        </w:rPr>
        <w:t xml:space="preserve">Table 11. Failure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88"/>
        <w:gridCol w:w="2304"/>
        <w:gridCol w:w="1512"/>
        <w:gridCol w:w="1800"/>
      </w:tblGrid>
      <w:tr>
        <w:trPr>
          <w:cantSplit/>
          <w:tblHeader/>
        </w:trPr>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Failure mode</w:t>
            </w:r>
          </w:p>
        </w:tc>
        <w:tc>
          <w:tcPr>
            <w:tcW w:type="dxa" w:w="208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Trigger</w:t>
            </w:r>
          </w:p>
        </w:tc>
        <w:tc>
          <w:tcPr>
            <w:tcW w:type="dxa" w:w="230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Automated response</w:t>
            </w:r>
          </w:p>
        </w:tc>
        <w:tc>
          <w:tcPr>
            <w:tcW w:type="dxa" w:w="151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Owner</w:t>
            </w:r>
          </w:p>
        </w:tc>
        <w:tc>
          <w:tcPr>
            <w:tcW w:type="dxa" w:w="18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Recovery condition</w:t>
            </w:r>
          </w:p>
        </w:tc>
      </w:tr>
      <w:tr>
        <w:trPr>
          <w:cantSplit/>
        </w:trPr>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Tool failure</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&gt; 10% tool errors in 15 minutes</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Breaker opens; propose-only; cases queued</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on-call</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Errors &lt; 2% for 30 minutes</w:t>
            </w:r>
          </w:p>
        </w:tc>
      </w:tr>
      <w:tr>
        <w:trPr>
          <w:cantSplit/>
        </w:trPr>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Repeated retry</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&gt; 2 retries per tool or ceiling hit</w:t>
            </w:r>
          </w:p>
        </w:tc>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 stops; case escalates with record</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AgentOps on-call</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Ceiling hits &lt; 3% of weekly runs</w:t>
            </w:r>
          </w:p>
        </w:tc>
      </w:tr>
      <w:tr>
        <w:trPr>
          <w:cantSplit/>
        </w:trPr>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Data-boundary mismatch</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Case geography differs from deployment zone</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Gateway denies; SEV2</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engineering + DPO</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Boundary test passes</w:t>
            </w:r>
          </w:p>
        </w:tc>
      </w:tr>
      <w:tr>
        <w:trPr>
          <w:cantSplit/>
        </w:trPr>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Policy bypass</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Executed action without matching approval (5-minute correlation)</w:t>
            </w:r>
          </w:p>
        </w:tc>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Kill switch; SEV1</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incident manager</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All actions reconciled; council approval</w:t>
            </w:r>
          </w:p>
        </w:tc>
      </w:tr>
      <w:tr>
        <w:trPr>
          <w:cantSplit/>
        </w:trPr>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Safety violation</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Prompt Shields hit or blocked output</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Run ends; source quarantined; human handles</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AI Safety lead</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Source cleared; &gt; 5 an hour is SEV2</w:t>
            </w:r>
          </w:p>
        </w:tc>
      </w:tr>
      <w:tr>
        <w:trPr>
          <w:cantSplit/>
        </w:trPr>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Downstream outage</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TMS, billing or carrier API unhealthy</w:t>
            </w:r>
          </w:p>
        </w:tc>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Actions queued with idempotency keys; partials compensated</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Integration owner</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System healthy; queue reconciled</w:t>
            </w:r>
          </w:p>
        </w:tc>
      </w:tr>
    </w:tbl>
    <w:p>
      <w:pPr>
        <w:spacing w:after="60"/>
      </w:pPr>
    </w:p>
    <w:p>
      <w:pPr>
        <w:spacing w:after="110" w:line="252"/>
      </w:pPr>
      <w:r>
        <w:rPr>
          <w:rFonts w:ascii="Calibri" w:cs="Calibri" w:eastAsia="Calibri" w:hAnsi="Calibri"/>
          <w:b w:val="false"/>
          <w:bCs w:val="false"/>
          <w:sz w:val="21"/>
          <w:szCs w:val="21"/>
        </w:rPr>
        <w:t xml:space="preserve">Evidence for each row is the breaker, gateway or correlation log plus the incident ticket.</w:t>
      </w:r>
    </w:p>
    <w:p>
      <w:pPr>
        <w:spacing w:after="110" w:line="252"/>
      </w:pPr>
      <w:r>
        <w:rPr>
          <w:rFonts w:ascii="Calibri" w:cs="Calibri" w:eastAsia="Calibri" w:hAnsi="Calibri"/>
          <w:b/>
          <w:bCs/>
          <w:sz w:val="21"/>
          <w:szCs w:val="21"/>
        </w:rPr>
        <w:t xml:space="preserve">Human accountability.</w:t>
      </w:r>
      <w:r>
        <w:rPr>
          <w:rFonts w:ascii="Calibri" w:cs="Calibri" w:eastAsia="Calibri" w:hAnsi="Calibri"/>
          <w:b w:val="false"/>
          <w:bCs w:val="false"/>
          <w:sz w:val="21"/>
          <w:szCs w:val="21"/>
        </w:rPr>
        <w:t xml:space="preserve"> Approvals record approver, role, timestamp, decision and scope (amount, shipment and expiry). The agent never auto-denies; declines and non-matches go to the human exception queue (Figure 4). A cap of USD 500 in auto-executed credits per customer every 30 days stops a large credit from being split under the USD 250 limit. Customers can dispute any decision through customer service; an operations manager who was not involved reviews it within 10 business days, supporting LGPD Article 20 review rights and GDPR Article 22 safeguards. Overturned decisions feed the improvement loop.</w:t>
      </w:r>
    </w:p>
    <w:p>
      <w:pPr>
        <w:keepNext/>
        <w:spacing w:after="40" w:before="120"/>
        <w:jc w:val="center"/>
      </w:pPr>
      <w:r>
        <w:drawing>
          <wp:inline distT="0" distB="0" distL="0" distR="0">
            <wp:extent cx="5943600" cy="3419475"/>
            <wp:effectExtent t="0" r="0" b="0" l="0"/>
            <wp:docPr id="1" name="agent_authority_flow.png" descr="Figure 4. Exception-agent authority and attribution flow" title="Figure 4. Exception-agent authority and attrib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19475"/>
                    </a:xfrm>
                    <a:prstGeom prst="rect">
                      <a:avLst/>
                    </a:prstGeom>
                  </pic:spPr>
                </pic:pic>
              </a:graphicData>
            </a:graphic>
          </wp:inline>
        </w:drawing>
      </w:r>
    </w:p>
    <w:p>
      <w:pPr>
        <w:spacing w:after="160"/>
        <w:jc w:val="center"/>
      </w:pPr>
      <w:r>
        <w:rPr>
          <w:rFonts w:ascii="Calibri" w:cs="Calibri" w:eastAsia="Calibri" w:hAnsi="Calibri"/>
          <w:b/>
          <w:bCs/>
          <w:color w:val="17365D"/>
          <w:sz w:val="18"/>
          <w:szCs w:val="18"/>
        </w:rPr>
        <w:t xml:space="preserve">Figure 4. Exception-agent authority and attribution flow</w:t>
      </w:r>
    </w:p>
    <w:p>
      <w:pPr>
        <w:pStyle w:val="Heading1"/>
        <w:keepNext/>
        <w:pageBreakBefore/>
        <w:spacing w:after="100" w:before="0"/>
      </w:pPr>
      <w:r>
        <w:rPr>
          <w:rFonts w:ascii="Calibri" w:cs="Calibri" w:eastAsia="Calibri" w:hAnsi="Calibri"/>
          <w:b/>
          <w:bCs/>
          <w:color w:val="17365D"/>
          <w:sz w:val="28"/>
          <w:szCs w:val="28"/>
        </w:rPr>
        <w:t xml:space="preserve">Component 6: Continuous improvement process</w:t>
      </w:r>
    </w:p>
    <w:p>
      <w:pPr>
        <w:spacing w:after="110" w:line="252"/>
      </w:pPr>
      <w:r>
        <w:rPr>
          <w:rFonts w:ascii="Calibri" w:cs="Calibri" w:eastAsia="Calibri" w:hAnsi="Calibri"/>
          <w:b w:val="false"/>
          <w:bCs w:val="false"/>
          <w:sz w:val="21"/>
          <w:szCs w:val="21"/>
        </w:rPr>
        <w:t xml:space="preserve">Improvement runs in two-week cycles with a safety gate (Figure 5).</w:t>
      </w:r>
    </w:p>
    <w:p>
      <w:pPr>
        <w:spacing w:after="110" w:line="252"/>
      </w:pPr>
      <w:r>
        <w:rPr>
          <w:rFonts w:ascii="Calibri" w:cs="Calibri" w:eastAsia="Calibri" w:hAnsi="Calibri"/>
          <w:b/>
          <w:bCs/>
          <w:sz w:val="21"/>
          <w:szCs w:val="21"/>
        </w:rPr>
        <w:t xml:space="preserve">Collect.</w:t>
      </w:r>
      <w:r>
        <w:rPr>
          <w:rFonts w:ascii="Calibri" w:cs="Calibri" w:eastAsia="Calibri" w:hAnsi="Calibri"/>
          <w:b w:val="false"/>
          <w:bCs w:val="false"/>
          <w:sz w:val="21"/>
          <w:szCs w:val="21"/>
        </w:rPr>
        <w:t xml:space="preserve"> Sources are in-app ratings with reason codes, a QA sample queue (1% of chat and NetAssist sessions, 2% of summaries, 5% of agent runs), incident findings, evaluator failures, cost anomalies, operator and approver feedback, and quarterly business reviews. Items are redacted and de-duplicated on intake.</w:t>
      </w:r>
    </w:p>
    <w:p>
      <w:pPr>
        <w:spacing w:after="110" w:line="252"/>
      </w:pPr>
      <w:r>
        <w:rPr>
          <w:rFonts w:ascii="Calibri" w:cs="Calibri" w:eastAsia="Calibri" w:hAnsi="Calibri"/>
          <w:b/>
          <w:bCs/>
          <w:sz w:val="21"/>
          <w:szCs w:val="21"/>
        </w:rPr>
        <w:t xml:space="preserve">Triage.</w:t>
      </w:r>
      <w:r>
        <w:rPr>
          <w:rFonts w:ascii="Calibri" w:cs="Calibri" w:eastAsia="Calibri" w:hAnsi="Calibri"/>
          <w:b w:val="false"/>
          <w:bCs w:val="false"/>
          <w:sz w:val="21"/>
          <w:szCs w:val="21"/>
        </w:rPr>
        <w:t xml:space="preserve"> Product owners classify each item as prompt or policy, retrieval content, model, tool, UX, data or incident remediation and assign a risk tier. Safety and privacy items move to the front of the queue.</w:t>
      </w:r>
    </w:p>
    <w:p>
      <w:pPr>
        <w:spacing w:after="110" w:line="252"/>
      </w:pPr>
      <w:r>
        <w:rPr>
          <w:rFonts w:ascii="Calibri" w:cs="Calibri" w:eastAsia="Calibri" w:hAnsi="Calibri"/>
          <w:b/>
          <w:bCs/>
          <w:sz w:val="21"/>
          <w:szCs w:val="21"/>
        </w:rPr>
        <w:t xml:space="preserve">Validate.</w:t>
      </w:r>
      <w:r>
        <w:rPr>
          <w:rFonts w:ascii="Calibri" w:cs="Calibri" w:eastAsia="Calibri" w:hAnsi="Calibri"/>
          <w:b w:val="false"/>
          <w:bCs w:val="false"/>
          <w:sz w:val="21"/>
          <w:szCs w:val="21"/>
        </w:rPr>
        <w:t xml:space="preserve"> Candidates run the approved evaluation suite. The safety gate passes only with a task-quality drop of 2 points or less, zero critical safety or privacy failures, at least 98% of the attack set blocked, cost per task no more than 5% higher unless approved, and P95 latency within its service-level objective (SLO).</w:t>
      </w:r>
    </w:p>
    <w:p>
      <w:pPr>
        <w:spacing w:after="110" w:line="252"/>
      </w:pPr>
      <w:r>
        <w:rPr>
          <w:rFonts w:ascii="Calibri" w:cs="Calibri" w:eastAsia="Calibri" w:hAnsi="Calibri"/>
          <w:b/>
          <w:bCs/>
          <w:sz w:val="21"/>
          <w:szCs w:val="21"/>
        </w:rPr>
        <w:t xml:space="preserve">Release.</w:t>
      </w:r>
      <w:r>
        <w:rPr>
          <w:rFonts w:ascii="Calibri" w:cs="Calibri" w:eastAsia="Calibri" w:hAnsi="Calibri"/>
          <w:b w:val="false"/>
          <w:bCs w:val="false"/>
          <w:sz w:val="21"/>
          <w:szCs w:val="21"/>
        </w:rPr>
        <w:t xml:space="preserve"> Approval follows the risk tier: product owner for UX changes, plus AgentOps for prompt, retrieval or routing changes, and the AI governance council with Privacy and Legal for model, tool, authority, safety or data changes. Rollout goes to 5%, 25% and then 100% of traffic, 48 hours per step, with automatic rollback on any SLO breach.</w:t>
      </w:r>
    </w:p>
    <w:p>
      <w:pPr>
        <w:spacing w:after="110" w:line="252"/>
      </w:pPr>
      <w:r>
        <w:rPr>
          <w:rFonts w:ascii="Calibri" w:cs="Calibri" w:eastAsia="Calibri" w:hAnsi="Calibri"/>
          <w:b/>
          <w:bCs/>
          <w:sz w:val="21"/>
          <w:szCs w:val="21"/>
        </w:rPr>
        <w:t xml:space="preserve">Learn.</w:t>
      </w:r>
      <w:r>
        <w:rPr>
          <w:rFonts w:ascii="Calibri" w:cs="Calibri" w:eastAsia="Calibri" w:hAnsi="Calibri"/>
          <w:b w:val="false"/>
          <w:bCs w:val="false"/>
          <w:sz w:val="21"/>
          <w:szCs w:val="21"/>
        </w:rPr>
        <w:t xml:space="preserve"> Teams update runbooks, tests, policies, training and maturity evidence, and each closed item records the evidence that closed it. That closure record fixes the Developing-stage gap where feedback reached teams but was never verified.</w:t>
      </w:r>
    </w:p>
    <w:p>
      <w:pPr>
        <w:keepNext/>
        <w:spacing w:after="40" w:before="120"/>
        <w:jc w:val="center"/>
      </w:pPr>
      <w:r>
        <w:drawing>
          <wp:inline distT="0" distB="0" distL="0" distR="0">
            <wp:extent cx="5943600" cy="3800475"/>
            <wp:effectExtent t="0" r="0" b="0" l="0"/>
            <wp:docPr id="1" name="continuous_improvement_loop.png" descr="Figure 5. Continuous improvement loop with safety gate and approval tiers" title="Figure 5. Continuous improvement loop with safety gate and approval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00475"/>
                    </a:xfrm>
                    <a:prstGeom prst="rect">
                      <a:avLst/>
                    </a:prstGeom>
                  </pic:spPr>
                </pic:pic>
              </a:graphicData>
            </a:graphic>
          </wp:inline>
        </w:drawing>
      </w:r>
    </w:p>
    <w:p>
      <w:pPr>
        <w:spacing w:after="160"/>
        <w:jc w:val="center"/>
      </w:pPr>
      <w:r>
        <w:rPr>
          <w:rFonts w:ascii="Calibri" w:cs="Calibri" w:eastAsia="Calibri" w:hAnsi="Calibri"/>
          <w:b/>
          <w:bCs/>
          <w:color w:val="17365D"/>
          <w:sz w:val="18"/>
          <w:szCs w:val="18"/>
        </w:rPr>
        <w:t xml:space="preserve">Figure 5. Continuous improvement loop with safety gate and approval tiers</w:t>
      </w:r>
    </w:p>
    <w:p>
      <w:pPr>
        <w:pStyle w:val="Heading1"/>
        <w:keepNext/>
        <w:pageBreakBefore/>
        <w:spacing w:after="100" w:before="0"/>
      </w:pPr>
      <w:r>
        <w:rPr>
          <w:rFonts w:ascii="Calibri" w:cs="Calibri" w:eastAsia="Calibri" w:hAnsi="Calibri"/>
          <w:b/>
          <w:bCs/>
          <w:color w:val="17365D"/>
          <w:sz w:val="28"/>
          <w:szCs w:val="28"/>
        </w:rPr>
        <w:t xml:space="preserve">Component 7: Maturity assessment and 60-day plan</w:t>
      </w:r>
    </w:p>
    <w:p>
      <w:pPr>
        <w:spacing w:after="110" w:line="252"/>
      </w:pPr>
      <w:r>
        <w:rPr>
          <w:rFonts w:ascii="Calibri" w:cs="Calibri" w:eastAsia="Calibri" w:hAnsi="Calibri"/>
          <w:b w:val="false"/>
          <w:bCs w:val="false"/>
          <w:sz w:val="21"/>
          <w:szCs w:val="21"/>
        </w:rPr>
        <w:t xml:space="preserve">GLC sits at Developing: policies exist but are unevenly enforced, agent costs are estimated, decision records and retention vary by team, agent safety tests and runbooks are incomplete, and feedback closure is unverified. The 60-day goal is Defined: one enforced policy plane, trace-based cost, standard records and tested incident response. The five candidate initiatives stay, ordered by risk. Initiative 1 closes the highest-impact exposures, unenforced policy and unauthorized actions; initiative 2 supplies the records that 3 and 4 depend on; initiative 5 makes the controls durable.</w:t>
      </w:r>
    </w:p>
    <w:p>
      <w:pPr>
        <w:keepNext/>
        <w:spacing w:after="60" w:before="120"/>
      </w:pPr>
      <w:r>
        <w:rPr>
          <w:rFonts w:ascii="Calibri" w:cs="Calibri" w:eastAsia="Calibri" w:hAnsi="Calibri"/>
          <w:b/>
          <w:bCs/>
          <w:color w:val="17365D"/>
          <w:sz w:val="18"/>
          <w:szCs w:val="18"/>
        </w:rPr>
        <w:t xml:space="preserve">Table 12. Top five gaps and 60-day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376"/>
        <w:gridCol w:w="1872"/>
        <w:gridCol w:w="1080"/>
        <w:gridCol w:w="3600"/>
      </w:tblGrid>
      <w:tr>
        <w:trPr>
          <w:cantSplit/>
          <w:tblHeader/>
        </w:trPr>
        <w:tc>
          <w:tcPr>
            <w:tcW w:type="dxa" w:w="43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w:t>
            </w:r>
          </w:p>
        </w:tc>
        <w:tc>
          <w:tcPr>
            <w:tcW w:type="dxa" w:w="237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Gap and initiative</w:t>
            </w:r>
          </w:p>
        </w:tc>
        <w:tc>
          <w:tcPr>
            <w:tcW w:type="dxa" w:w="187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Owner</w:t>
            </w:r>
          </w:p>
        </w:tc>
        <w:tc>
          <w:tcPr>
            <w:tcW w:type="dxa" w:w="10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Window</w:t>
            </w:r>
          </w:p>
        </w:tc>
        <w:tc>
          <w:tcPr>
            <w:tcW w:type="dxa" w:w="36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Acceptance criterion and evidence (dependency)</w:t>
            </w:r>
          </w:p>
        </w:tc>
      </w:tr>
      <w:tr>
        <w:trPr>
          <w:cantSplit/>
        </w:trPr>
        <w:tc>
          <w:tcPr>
            <w:tcW w:type="dxa" w:w="4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w:t>
            </w:r>
          </w:p>
        </w:tc>
        <w:tc>
          <w:tcPr>
            <w:tcW w:type="dxa" w:w="23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Uneven enforcement: gateway for every workload; agent action policy and kill switch</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Agent product owner + Security</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Days 1–15</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100% of model calls through the gateway and 100% of executable tools behind the Action Policy Service; 0 bypasses in a 7-day correlation; kill-switch drill contained ≤ 30 min</w:t>
            </w:r>
          </w:p>
        </w:tc>
      </w:tr>
      <w:tr>
        <w:trPr>
          <w:cantSplit/>
        </w:trPr>
        <w:tc>
          <w:tcPr>
            <w:tcW w:type="dxa" w:w="4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2</w:t>
            </w:r>
          </w:p>
        </w:tc>
        <w:tc>
          <w:tcPr>
            <w:tcW w:type="dxa" w:w="237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Inconsistent records: standard attribution records and retention</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Platform engineering + DPO</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Days 1–25</w:t>
            </w:r>
          </w:p>
        </w:tc>
        <w:tc>
          <w:tcPr>
            <w:tcW w:type="dxa" w:w="36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99.5% completeness over 7 days; raw capture off; RC1–RC6 policies deployed</w:t>
            </w:r>
          </w:p>
        </w:tc>
      </w:tr>
      <w:tr>
        <w:trPr>
          <w:cantSplit/>
        </w:trPr>
        <w:tc>
          <w:tcPr>
            <w:tcW w:type="dxa" w:w="4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3</w:t>
            </w:r>
          </w:p>
        </w:tc>
        <w:tc>
          <w:tcPr>
            <w:tcW w:type="dxa" w:w="23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Estimated cost: token metering and allocation</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FinOps lead + Platform engineering</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Days 10–35</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 98% of spend mapped and reconciled; multiplier replaced by trace P50 (needs 2)</w:t>
            </w:r>
          </w:p>
        </w:tc>
      </w:tr>
      <w:tr>
        <w:trPr>
          <w:cantSplit/>
        </w:trPr>
        <w:tc>
          <w:tcPr>
            <w:tcW w:type="dxa" w:w="43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4</w:t>
            </w:r>
          </w:p>
        </w:tc>
        <w:tc>
          <w:tcPr>
            <w:tcW w:type="dxa" w:w="237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Untested response: incident exercise</w:t>
            </w:r>
          </w:p>
        </w:tc>
        <w:tc>
          <w:tcPr>
            <w:tcW w:type="dxa" w:w="187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Security incident manager + DPO</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Days 20–45</w:t>
            </w:r>
          </w:p>
        </w:tc>
        <w:tc>
          <w:tcPr>
            <w:tcW w:type="dxa" w:w="36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SEV1 drill acknowledged ≤ 15 min, contained ≤ 30 min; notification decision tested (needs 1, 2)</w:t>
            </w:r>
          </w:p>
        </w:tc>
      </w:tr>
      <w:tr>
        <w:trPr>
          <w:cantSplit/>
        </w:trPr>
        <w:tc>
          <w:tcPr>
            <w:tcW w:type="dxa" w:w="4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5</w:t>
            </w:r>
          </w:p>
        </w:tc>
        <w:tc>
          <w:tcPr>
            <w:tcW w:type="dxa" w:w="237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Unverified feedback: risk-tiered change and evaluation gates</w:t>
            </w:r>
          </w:p>
        </w:tc>
        <w:tc>
          <w:tcPr>
            <w:tcW w:type="dxa" w:w="187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AI governance council + AI Regulatory Counsel</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Days 30–60</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7"/>
                <w:szCs w:val="17"/>
              </w:rPr>
              <w:t xml:space="preserve">Every Tier 3 change has evidence and rollback; 200-case agent attack suite ≥ 98% blocked; intended-purpose assessment and DPIA signed (needs 1–4)</w:t>
            </w:r>
          </w:p>
        </w:tc>
      </w:tr>
    </w:tbl>
    <w:p>
      <w:pPr>
        <w:spacing w:after="60"/>
      </w:pPr>
    </w:p>
    <w:p>
      <w:pPr>
        <w:spacing w:after="110" w:line="252"/>
      </w:pPr>
      <w:r>
        <w:rPr>
          <w:rFonts w:ascii="Calibri" w:cs="Calibri" w:eastAsia="Calibri" w:hAnsi="Calibri"/>
          <w:b/>
          <w:bCs/>
          <w:sz w:val="21"/>
          <w:szCs w:val="21"/>
        </w:rPr>
        <w:t xml:space="preserve">Dependencies.</w:t>
      </w:r>
      <w:r>
        <w:rPr>
          <w:rFonts w:ascii="Calibri" w:cs="Calibri" w:eastAsia="Calibri" w:hAnsi="Calibri"/>
          <w:b w:val="false"/>
          <w:bCs w:val="false"/>
          <w:sz w:val="21"/>
          <w:szCs w:val="21"/>
        </w:rPr>
        <w:t xml:space="preserve"> Initiatives 1 and 2 run in parallel because different teams own them. Reconciliation in initiative 3 needs the application, region and SKU tags that initiative 2 adds to every record. The exercise in initiative 4 must use the real kill switch from initiative 1, and initiative 5 needs evidence from all four. If initiative 1 slips past Day 15, the agent stays in propose-only mode until its drill passes.</w:t>
      </w:r>
    </w:p>
    <w:p>
      <w:pPr>
        <w:spacing w:after="110" w:line="252"/>
      </w:pPr>
      <w:r>
        <w:rPr>
          <w:rFonts w:ascii="Calibri" w:cs="Calibri" w:eastAsia="Calibri" w:hAnsi="Calibri"/>
          <w:b w:val="false"/>
          <w:bCs w:val="false"/>
          <w:sz w:val="21"/>
          <w:szCs w:val="21"/>
        </w:rPr>
        <w:t xml:space="preserve">Three quick wins land in the first two weeks: switch off raw-content capture, turn on the 70% and 85% budget alerts (chat already exceeds 70%), and enforce the 45,000-token task ceiling. The AI governance council reviews progress weekly, and an item closes only when its evidence is filed in the immutable archive.</w:t>
      </w:r>
    </w:p>
    <w:p>
      <w:pPr>
        <w:pStyle w:val="Heading1"/>
        <w:keepNext/>
        <w:pageBreakBefore/>
        <w:spacing w:after="100" w:before="0"/>
      </w:pPr>
      <w:r>
        <w:rPr>
          <w:rFonts w:ascii="Calibri" w:cs="Calibri" w:eastAsia="Calibri" w:hAnsi="Calibri"/>
          <w:b/>
          <w:bCs/>
          <w:color w:val="17365D"/>
          <w:sz w:val="28"/>
          <w:szCs w:val="28"/>
        </w:rPr>
        <w:t xml:space="preserve">Appendices: adapted course resources</w:t>
      </w:r>
    </w:p>
    <w:p>
      <w:pPr>
        <w:spacing w:after="110" w:line="252"/>
      </w:pPr>
      <w:r>
        <w:rPr>
          <w:rFonts w:ascii="Calibri" w:cs="Calibri" w:eastAsia="Calibri" w:hAnsi="Calibri"/>
          <w:b w:val="false"/>
          <w:bCs w:val="false"/>
          <w:sz w:val="21"/>
          <w:szCs w:val="21"/>
        </w:rPr>
        <w:t xml:space="preserve">The four appendices adapt the course resources to GLC. They keep each template's structure and columns; the sample content in the shared-responsibility, Tier 1 and scenario-data templates came from other course scenarios and has been replaced with GLC data.</w:t>
      </w:r>
    </w:p>
    <w:p>
      <w:pPr>
        <w:pStyle w:val="Heading2"/>
        <w:keepNext/>
        <w:spacing w:after="80" w:before="200"/>
      </w:pPr>
      <w:r>
        <w:rPr>
          <w:rFonts w:ascii="Calibri" w:cs="Calibri" w:eastAsia="Calibri" w:hAnsi="Calibri"/>
          <w:b/>
          <w:bCs/>
          <w:color w:val="17365D"/>
          <w:sz w:val="24"/>
          <w:szCs w:val="24"/>
        </w:rPr>
        <w:t xml:space="preserve">Appendix A: GenAIOps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1368"/>
        <w:gridCol w:w="1656"/>
        <w:gridCol w:w="1152"/>
        <w:gridCol w:w="1008"/>
        <w:gridCol w:w="1080"/>
        <w:gridCol w:w="1152"/>
      </w:tblGrid>
      <w:tr>
        <w:trPr>
          <w:cantSplit/>
          <w:tblHeader/>
        </w:trPr>
        <w:tc>
          <w:tcPr>
            <w:tcW w:type="dxa" w:w="194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Workload</w:t>
            </w:r>
          </w:p>
        </w:tc>
        <w:tc>
          <w:tcPr>
            <w:tcW w:type="dxa" w:w="136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Tasks a month</w:t>
            </w:r>
          </w:p>
        </w:tc>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Tokens a task (in / out)</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Base cost (USD)</w:t>
            </w:r>
          </w:p>
        </w:tc>
        <w:tc>
          <w:tcPr>
            <w:tcW w:type="dxa" w:w="100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Budget used</w:t>
            </w:r>
          </w:p>
        </w:tc>
        <w:tc>
          <w:tcPr>
            <w:tcW w:type="dxa" w:w="10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TPM limit</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After T1–T3 (USD)</w:t>
            </w:r>
          </w:p>
        </w:tc>
      </w:tr>
      <w:tr>
        <w:trPr>
          <w:cantSplit/>
        </w:trPr>
        <w:tc>
          <w:tcPr>
            <w:tcW w:type="dxa" w:w="1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GLC-CX-Chat</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2,000,000</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900 / 250</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9,500</w:t>
            </w:r>
          </w:p>
        </w:tc>
        <w:tc>
          <w:tcPr>
            <w:tcW w:type="dxa" w:w="1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79%</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160,000</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6,318</w:t>
            </w:r>
          </w:p>
        </w:tc>
      </w:tr>
      <w:tr>
        <w:trPr>
          <w:cantSplit/>
        </w:trPr>
        <w:tc>
          <w:tcPr>
            <w:tcW w:type="dxa" w:w="19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GLC-NetAssist</w:t>
            </w:r>
          </w:p>
        </w:tc>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300,000</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1,800 / 600</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3,150</w:t>
            </w:r>
          </w:p>
        </w:tc>
        <w:tc>
          <w:tcPr>
            <w:tcW w:type="dxa" w:w="10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39%</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50,000</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2,574</w:t>
            </w:r>
          </w:p>
        </w:tc>
      </w:tr>
      <w:tr>
        <w:trPr>
          <w:cantSplit/>
        </w:trPr>
        <w:tc>
          <w:tcPr>
            <w:tcW w:type="dxa" w:w="1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GLC-DocSum</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500,000</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3,000 / 500</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6,250</w:t>
            </w:r>
          </w:p>
        </w:tc>
        <w:tc>
          <w:tcPr>
            <w:tcW w:type="dxa" w:w="1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42%</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130,000</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4,750</w:t>
            </w:r>
          </w:p>
        </w:tc>
      </w:tr>
      <w:tr>
        <w:trPr>
          <w:cantSplit/>
        </w:trPr>
        <w:tc>
          <w:tcPr>
            <w:tcW w:type="dxa" w:w="194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GLC-ExceptionAgent</w:t>
            </w:r>
          </w:p>
        </w:tc>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60,000</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20,350 / 1,240</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3,797</w:t>
            </w:r>
          </w:p>
        </w:tc>
        <w:tc>
          <w:tcPr>
            <w:tcW w:type="dxa" w:w="100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25%</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90,000</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3,105</w:t>
            </w:r>
          </w:p>
        </w:tc>
      </w:tr>
      <w:tr>
        <w:trPr>
          <w:cantSplit/>
        </w:trPr>
        <w:tc>
          <w:tcPr>
            <w:tcW w:type="dxa" w:w="1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Total</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2,860,000</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22,697</w:t>
            </w:r>
          </w:p>
        </w:tc>
        <w:tc>
          <w:tcPr>
            <w:tcW w:type="dxa" w:w="100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45%</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16,746</w:t>
            </w:r>
          </w:p>
        </w:tc>
      </w:tr>
    </w:tbl>
    <w:p>
      <w:pPr>
        <w:spacing w:after="60"/>
      </w:pPr>
    </w:p>
    <w:p>
      <w:pPr>
        <w:keepNext w:val="false"/>
        <w:spacing w:after="100" w:before="60"/>
      </w:pPr>
      <w:r>
        <w:rPr>
          <w:rFonts w:ascii="Calibri" w:cs="Calibri" w:eastAsia="Calibri" w:hAnsi="Calibri"/>
          <w:i/>
          <w:iCs/>
          <w:color w:val="595959"/>
          <w:sz w:val="17"/>
          <w:szCs w:val="17"/>
        </w:rPr>
        <w:t xml:space="preserve">Source: Dennis_GenAIOps-Cost-Model.xlsx, the completed course workbook. Added sheets: Agent Bottom-Up (low, base and high cases with the trace field that replaces each assumption), Workload Optimization (T1–T3 applied in sequence) and Quota Plan (TPM limits, behaviour at 100% and per-task caps). The agent base multiplier now links to the bottom-up case; 5×, 12× and 30× remain on the Agent Sensitivity sheet. Rates are illustrative.</w:t>
      </w:r>
    </w:p>
    <w:p>
      <w:pPr>
        <w:pStyle w:val="Heading2"/>
        <w:keepNext/>
        <w:spacing w:after="80" w:before="200"/>
      </w:pPr>
      <w:r>
        <w:rPr>
          <w:rFonts w:ascii="Calibri" w:cs="Calibri" w:eastAsia="Calibri" w:hAnsi="Calibri"/>
          <w:b/>
          <w:bCs/>
          <w:color w:val="17365D"/>
          <w:sz w:val="24"/>
          <w:szCs w:val="24"/>
        </w:rPr>
        <w:t xml:space="preserve">Appendix B: Shared responsibility and control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1584"/>
        <w:gridCol w:w="1440"/>
        <w:gridCol w:w="2016"/>
        <w:gridCol w:w="1224"/>
        <w:gridCol w:w="1152"/>
        <w:gridCol w:w="1152"/>
      </w:tblGrid>
      <w:tr>
        <w:trPr>
          <w:cantSplit/>
          <w:tblHeader/>
        </w:trPr>
        <w:tc>
          <w:tcPr>
            <w:tcW w:type="dxa" w:w="79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ID</w:t>
            </w:r>
          </w:p>
        </w:tc>
        <w:tc>
          <w:tcPr>
            <w:tcW w:type="dxa" w:w="158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Control and intent</w:t>
            </w:r>
          </w:p>
        </w:tc>
        <w:tc>
          <w:tcPr>
            <w:tcW w:type="dxa" w:w="144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Microsoft</w:t>
            </w:r>
          </w:p>
        </w:tc>
        <w:tc>
          <w:tcPr>
            <w:tcW w:type="dxa" w:w="201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GLC (customer)</w:t>
            </w:r>
          </w:p>
        </w:tc>
        <w:tc>
          <w:tcPr>
            <w:tcW w:type="dxa" w:w="122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Partner</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Owner / operator</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Evidence; cadence; due</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CTRL-01</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Identity: workloads authenticate without stored secrets</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Entra ID and managed identity platform</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Managed identity per app and agent; least-privilege RBAC; no client secrets</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Carriers protect their API credentials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Identity and Security / Platform eng.</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Role assignments, sign-in logs; quarterly; Day 15</w:t>
            </w:r>
          </w:p>
        </w:tc>
      </w:tr>
      <w:tr>
        <w:trPr>
          <w:cantSplit/>
        </w:trPr>
        <w:tc>
          <w:tcPr>
            <w:tcW w:type="dxa" w:w="79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CTRL-02</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Privileged access: time-bound elevation</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Entra ID, PIM and Conditional Access capability</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PIM, MFA, quarterly access reviews, break-glass accounts</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Name contacts; remove leavers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Identity and Security / Security ops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PIM activations, review records; quarterly; Day 15</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CTRL-03</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gateway: every model call passes policy</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APIM gateway and policy engine</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Policy as code; six checks; regional units with in-geography failover</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Platform eng. lead / Platform ops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Policy versions, denial logs; per release; Day 15</w:t>
            </w:r>
          </w:p>
        </w:tc>
      </w:tr>
      <w:tr>
        <w:trPr>
          <w:cantSplit/>
        </w:trPr>
        <w:tc>
          <w:tcPr>
            <w:tcW w:type="dxa" w:w="79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CTRL-04</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Data boundary: processing stays in the approved zone</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Data Zone and regional processing as documented</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Choose deployment type per workload; pin connected services; deny mismatches</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Carrier data-sharing terms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 Platform eng. / Platform ops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Deployment inventory, boundary test; per change; Day 25</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CTRL-05</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Content safety and AI disclosure</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Content filters and Prompt Shields</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Profiles per workload; Article 50 disclosure; QA sampling</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Safety lead / AgentOps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Filter config, attack-suite results; per release; Day 60</w:t>
            </w:r>
          </w:p>
        </w:tc>
      </w:tr>
      <w:tr>
        <w:trPr>
          <w:cantSplit/>
        </w:trPr>
        <w:tc>
          <w:tcPr>
            <w:tcW w:type="dxa" w:w="79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CTRL-06</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 authority: only authorized actions execute</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Runtime and identity capabilities</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Action Policy Service, approvals, idempotency, cumulative cap, kill switch</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TMS, billing and carrier APIs honour idempotency keys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 product owner / AgentOps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Action–approval correlation, drill record; continuous; Day 15</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CTRL-07</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Telemetry privacy and audit completeness</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Application Insights, Log Analytics, Sentinel</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Redaction, prohibited-field scans, 99.5% completeness check</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 personal data in support tickets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 Engineering teams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Field scans, completeness query; monthly; Day 25</w:t>
            </w:r>
          </w:p>
        </w:tc>
      </w:tr>
      <w:tr>
        <w:trPr>
          <w:cantSplit/>
        </w:trPr>
        <w:tc>
          <w:tcPr>
            <w:tcW w:type="dxa" w:w="79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CTRL-08</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Evidence retention and legal hold</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Retention and immutability features</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RC1–RC6 schedule, legal hold, deletion records</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Retain partner evidence per contract</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Regulatory Counsel + DPO / Security ops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Retention config, disposal record; annual; Day 25</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CTRL-09</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Cost allocation and quotas</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Cost Management; APIM token policies</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Tags, chargeback, 70% / 85% alerts, quotas, monthly reconciliation</w:t>
            </w:r>
          </w:p>
        </w:tc>
        <w:tc>
          <w:tcPr>
            <w:tcW w:type="dxa" w:w="12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FinOps lead / FinOps analysts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Reconciliation report; monthly; Day 35</w:t>
            </w:r>
          </w:p>
        </w:tc>
      </w:tr>
      <w:tr>
        <w:trPr>
          <w:cantSplit/>
        </w:trPr>
        <w:tc>
          <w:tcPr>
            <w:tcW w:type="dxa" w:w="79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CTRL-10</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Incident response</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Service support only</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Runbooks, on-call roles, notification decisions, postmortems</w:t>
            </w:r>
          </w:p>
        </w:tc>
        <w:tc>
          <w:tcPr>
            <w:tcW w:type="dxa" w:w="122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Carrier escalation contacts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Security incident manager / On-call</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Exercise record, timelines; semiannual; Day 45</w:t>
            </w:r>
          </w:p>
        </w:tc>
      </w:tr>
    </w:tbl>
    <w:p>
      <w:pPr>
        <w:spacing w:after="60"/>
      </w:pPr>
    </w:p>
    <w:p>
      <w:pPr>
        <w:keepNext w:val="false"/>
        <w:spacing w:after="100" w:before="60"/>
      </w:pPr>
      <w:r>
        <w:rPr>
          <w:rFonts w:ascii="Calibri" w:cs="Calibri" w:eastAsia="Calibri" w:hAnsi="Calibri"/>
          <w:i/>
          <w:iCs/>
          <w:color w:val="595959"/>
          <w:sz w:val="17"/>
          <w:szCs w:val="17"/>
        </w:rPr>
        <w:t xml:space="preserve">Status at Day 1: all controls Not started; due dates follow the 60-day plan (Table 12). A completed matrix records ownership and gaps; it does not certify GDPR, LGPD, DPDP or EU AI Act compliance.</w:t>
      </w:r>
    </w:p>
    <w:p>
      <w:pPr>
        <w:keepNext/>
        <w:spacing w:after="60" w:before="120"/>
      </w:pPr>
      <w:r>
        <w:rPr>
          <w:rFonts w:ascii="Calibri" w:cs="Calibri" w:eastAsia="Calibri" w:hAnsi="Calibri"/>
          <w:b/>
          <w:bCs/>
          <w:color w:val="17365D"/>
          <w:sz w:val="18"/>
          <w:szCs w:val="18"/>
        </w:rPr>
        <w:t xml:space="preserve">Regulatory crosswalk (replaces the template's HIPAA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96"/>
        <w:gridCol w:w="1440"/>
        <w:gridCol w:w="1440"/>
        <w:gridCol w:w="1584"/>
      </w:tblGrid>
      <w:tr>
        <w:trPr>
          <w:cantSplit/>
          <w:tblHeader/>
        </w:trPr>
        <w:tc>
          <w:tcPr>
            <w:tcW w:type="dxa" w:w="18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Regime and reference</w:t>
            </w:r>
          </w:p>
        </w:tc>
        <w:tc>
          <w:tcPr>
            <w:tcW w:type="dxa" w:w="309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Obligation</w:t>
            </w:r>
          </w:p>
        </w:tc>
        <w:tc>
          <w:tcPr>
            <w:tcW w:type="dxa" w:w="144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Controls</w:t>
            </w:r>
          </w:p>
        </w:tc>
        <w:tc>
          <w:tcPr>
            <w:tcW w:type="dxa" w:w="144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Owner</w:t>
            </w:r>
          </w:p>
        </w:tc>
        <w:tc>
          <w:tcPr>
            <w:tcW w:type="dxa" w:w="158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Evidence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EU AI Act Art. 50(1)</w:t>
            </w:r>
          </w:p>
        </w:tc>
        <w:tc>
          <w:tcPr>
            <w:tcW w:type="dxa" w:w="30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Tell people they are interacting with an AI system</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CTRL-05</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CX product owner</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Disclosure text, UX test</w:t>
            </w:r>
          </w:p>
        </w:tc>
      </w:tr>
      <w:tr>
        <w:trPr>
          <w:cantSplit/>
        </w:trPr>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EU AI Act Art. 6, Annex III</w:t>
            </w:r>
          </w:p>
        </w:tc>
        <w:tc>
          <w:tcPr>
            <w:tcW w:type="dxa" w:w="30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Intended-purpose assessment; reassess on the listed triggers</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CTRL-06, 10</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Regulatory Counsel</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Signed assessment</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GDPR Arts 5, 22, 32–35</w:t>
            </w:r>
          </w:p>
        </w:tc>
        <w:tc>
          <w:tcPr>
            <w:tcW w:type="dxa" w:w="30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Minimization, storage limits, automated-decision safeguards, security, breach notice, DPIA</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CTRL-04, 06, 07, 08, 10</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DPIA, retention config, incident log</w:t>
            </w:r>
          </w:p>
        </w:tc>
      </w:tr>
      <w:tr>
        <w:trPr>
          <w:cantSplit/>
        </w:trPr>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LGPD Arts 20, 33–36, 48</w:t>
            </w:r>
          </w:p>
        </w:tc>
        <w:tc>
          <w:tcPr>
            <w:tcW w:type="dxa" w:w="309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Review of automated decisions, international transfers, incident notice</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CTRL-04, 06, 10</w:t>
            </w:r>
          </w:p>
        </w:tc>
        <w:tc>
          <w:tcPr>
            <w:tcW w:type="dxa" w:w="144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(Brazil)</w:t>
            </w:r>
          </w:p>
        </w:tc>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Transfer clauses, review records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India DPDP Act and Rules 2025</w:t>
            </w:r>
          </w:p>
        </w:tc>
        <w:tc>
          <w:tcPr>
            <w:tcW w:type="dxa" w:w="309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Notice, purpose limits, breach intimation as provisions take effect</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CTRL-04, 08, 10</w:t>
            </w:r>
          </w:p>
        </w:tc>
        <w:tc>
          <w:tcPr>
            <w:tcW w:type="dxa" w:w="144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(India)</w:t>
            </w:r>
          </w:p>
        </w:tc>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Legal review record</w:t>
            </w:r>
          </w:p>
        </w:tc>
      </w:tr>
    </w:tbl>
    <w:p>
      <w:pPr>
        <w:pStyle w:val="Heading2"/>
        <w:keepNext/>
        <w:pageBreakBefore/>
        <w:spacing w:after="80" w:before="0"/>
      </w:pPr>
      <w:r>
        <w:rPr>
          <w:rFonts w:ascii="Calibri" w:cs="Calibri" w:eastAsia="Calibri" w:hAnsi="Calibri"/>
          <w:b/>
          <w:bCs/>
          <w:color w:val="17365D"/>
          <w:sz w:val="24"/>
          <w:szCs w:val="24"/>
        </w:rPr>
        <w:t xml:space="preserve">Appendix C: Tier 1 role, evidence and escalation matrix</w:t>
      </w:r>
    </w:p>
    <w:p>
      <w:pPr>
        <w:keepNext w:val="false"/>
        <w:spacing w:after="100" w:before="60"/>
      </w:pPr>
      <w:r>
        <w:rPr>
          <w:rFonts w:ascii="Calibri" w:cs="Calibri" w:eastAsia="Calibri" w:hAnsi="Calibri"/>
          <w:i/>
          <w:iCs/>
          <w:color w:val="595959"/>
          <w:sz w:val="17"/>
          <w:szCs w:val="17"/>
        </w:rPr>
        <w:t xml:space="preserve">Tier 1 means GenAIOps on-call operators and customer-service leads. Tier 1 never approves actions, changes policy or reads raw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1800"/>
        <w:gridCol w:w="1512"/>
        <w:gridCol w:w="1656"/>
        <w:gridCol w:w="1512"/>
        <w:gridCol w:w="1512"/>
      </w:tblGrid>
      <w:tr>
        <w:trPr>
          <w:cantSplit/>
          <w:tblHeader/>
        </w:trPr>
        <w:tc>
          <w:tcPr>
            <w:tcW w:type="dxa" w:w="136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Scenario task</w:t>
            </w:r>
          </w:p>
        </w:tc>
        <w:tc>
          <w:tcPr>
            <w:tcW w:type="dxa" w:w="180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Tier 1 permitted action</w:t>
            </w:r>
          </w:p>
        </w:tc>
        <w:tc>
          <w:tcPr>
            <w:tcW w:type="dxa" w:w="151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Evidence available</w:t>
            </w:r>
          </w:p>
        </w:tc>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Stop condition</w:t>
            </w:r>
          </w:p>
        </w:tc>
        <w:tc>
          <w:tcPr>
            <w:tcW w:type="dxa" w:w="151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Approved receiving role</w:t>
            </w:r>
          </w:p>
        </w:tc>
        <w:tc>
          <w:tcPr>
            <w:tcW w:type="dxa" w:w="151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Ownership confirmation</w:t>
            </w:r>
          </w:p>
        </w:tc>
      </w:tr>
      <w:tr>
        <w:trPr>
          <w:cantSplit/>
        </w:trPr>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 approval-queue triage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Check the attribution record is complete and route the case to the right approver</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Decision record, reason codes, amount</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Missing identity, policy result or trace ID; restricted flag; amount above USD 2,500</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Operations manager; Finance + Legal (dual); customs specialist</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Approver accepts in the workflow; timestamp recorded</w:t>
            </w:r>
          </w:p>
        </w:tc>
      </w:tr>
      <w:tr>
        <w:trPr>
          <w:cantSplit/>
        </w:trPr>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Circuit-breaker or kill-switch alert</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Confirm breaker state; keep the agent in propose-only mode per runbook</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Breaker event, affected trace IDs</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Any action executed without approval (SEV1)</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Security incident manager</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Incident commander acknowledges within 15 minutes</w:t>
            </w:r>
          </w:p>
        </w:tc>
      </w:tr>
      <w:tr>
        <w:trPr>
          <w:cantSplit/>
        </w:trPr>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Prompt-attack or harmful-output detection</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End the session; quarantine the source document; file a redacted description</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Content-safety annotations, trace ID</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Personal data exposed or more than 5 detections an hour</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Safety lead; DPO if personal data</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Named owner and restricted evidence location recorded</w:t>
            </w:r>
          </w:p>
        </w:tc>
      </w:tr>
      <w:tr>
        <w:trPr>
          <w:cantSplit/>
        </w:trPr>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Data-boundary denial</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Confirm the gateway denied the request; read routing config only</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Gateway policy-denial log</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Evidence that data was processed outside the approved zone</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 Platform engineering</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Receiving owner and next review time recorded</w:t>
            </w:r>
          </w:p>
        </w:tc>
      </w:tr>
      <w:tr>
        <w:trPr>
          <w:cantSplit/>
        </w:trPr>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Budget alert or quota breach</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Identify the cost driver from token metrics; notify the cost-center owner</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Token metrics by app, region and SKU</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Break-glass request, or chat degraded to the lower tier</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FinOps lead</w:t>
            </w:r>
          </w:p>
        </w:tc>
        <w:tc>
          <w:tcPr>
            <w:tcW w:type="dxa" w:w="151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Exception owner and expiry date recorded</w:t>
            </w:r>
          </w:p>
        </w:tc>
      </w:tr>
      <w:tr>
        <w:trPr>
          <w:cantSplit/>
        </w:trPr>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Customer dispute of an agent decision</w:t>
            </w:r>
          </w:p>
        </w:tc>
        <w:tc>
          <w:tcPr>
            <w:tcW w:type="dxa" w:w="180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Log the dispute with the decision ID; tell the customer the review timeline</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Decision record, customer message (redacted)</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Always escalates</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Operations manager not involved in the decision</w:t>
            </w:r>
          </w:p>
        </w:tc>
        <w:tc>
          <w:tcPr>
            <w:tcW w:type="dxa" w:w="151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Review within 10 business days; outcome logged</w:t>
            </w:r>
          </w:p>
        </w:tc>
      </w:tr>
    </w:tbl>
    <w:p>
      <w:pPr>
        <w:spacing w:after="60"/>
      </w:pPr>
    </w:p>
    <w:p>
      <w:pPr>
        <w:keepNext w:val="false"/>
        <w:spacing w:after="100" w:before="60"/>
      </w:pPr>
      <w:r>
        <w:rPr>
          <w:rFonts w:ascii="Calibri" w:cs="Calibri" w:eastAsia="Calibri" w:hAnsi="Calibri"/>
          <w:i/>
          <w:iCs/>
          <w:color w:val="595959"/>
          <w:sz w:val="17"/>
          <w:szCs w:val="17"/>
        </w:rPr>
        <w:t xml:space="preserve">Production rule: replace these role labels with GLC's approved escalation matrix, and Tier 1 disengages only after the receiving role accepts ownership.</w:t>
      </w:r>
    </w:p>
    <w:p>
      <w:pPr>
        <w:pStyle w:val="Heading2"/>
        <w:keepNext/>
        <w:pageBreakBefore/>
        <w:spacing w:after="80" w:before="0"/>
      </w:pPr>
      <w:r>
        <w:rPr>
          <w:rFonts w:ascii="Calibri" w:cs="Calibri" w:eastAsia="Calibri" w:hAnsi="Calibri"/>
          <w:b/>
          <w:bCs/>
          <w:color w:val="17365D"/>
          <w:sz w:val="24"/>
          <w:szCs w:val="24"/>
        </w:rPr>
        <w:t xml:space="preserve">Appendix D: Scenario data package</w:t>
      </w:r>
    </w:p>
    <w:p>
      <w:pPr>
        <w:keepNext/>
        <w:spacing w:after="60" w:before="120"/>
      </w:pPr>
      <w:r>
        <w:rPr>
          <w:rFonts w:ascii="Calibri" w:cs="Calibri" w:eastAsia="Calibri" w:hAnsi="Calibri"/>
          <w:b/>
          <w:bCs/>
          <w:color w:val="17365D"/>
          <w:sz w:val="18"/>
          <w:szCs w:val="18"/>
        </w:rPr>
        <w:t xml:space="preserve">D1. Service-level objectives and evidence windows (targets from the brief; runbook IDs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2088"/>
        <w:gridCol w:w="1152"/>
        <w:gridCol w:w="1152"/>
        <w:gridCol w:w="1656"/>
        <w:gridCol w:w="1368"/>
        <w:gridCol w:w="1080"/>
      </w:tblGrid>
      <w:tr>
        <w:trPr>
          <w:cantSplit/>
          <w:tblHeader/>
        </w:trPr>
        <w:tc>
          <w:tcPr>
            <w:tcW w:type="dxa" w:w="86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ID</w:t>
            </w:r>
          </w:p>
        </w:tc>
        <w:tc>
          <w:tcPr>
            <w:tcW w:type="dxa" w:w="208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Metric</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Target</w:t>
            </w:r>
          </w:p>
        </w:tc>
        <w:tc>
          <w:tcPr>
            <w:tcW w:type="dxa" w:w="1152"/>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Window</w:t>
            </w:r>
          </w:p>
        </w:tc>
        <w:tc>
          <w:tcPr>
            <w:tcW w:type="dxa" w:w="165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Severity if breached</w:t>
            </w:r>
          </w:p>
        </w:tc>
        <w:tc>
          <w:tcPr>
            <w:tcW w:type="dxa" w:w="136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Owner</w:t>
            </w:r>
          </w:p>
        </w:tc>
        <w:tc>
          <w:tcPr>
            <w:tcW w:type="dxa" w:w="108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Runbook</w:t>
            </w:r>
          </w:p>
        </w:tc>
      </w:tr>
      <w:tr>
        <w:trPr>
          <w:cantSplit/>
        </w:trPr>
        <w:tc>
          <w:tcPr>
            <w:tcW w:type="dxa" w:w="8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SLO-01</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Decision-record completeness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99.5%</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Daily</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SEV2 below 99.5%; SEV1 below 98%</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Platform engineering</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RB-ATTR-001</w:t>
            </w:r>
          </w:p>
        </w:tc>
      </w:tr>
      <w:tr>
        <w:trPr>
          <w:cantSplit/>
        </w:trPr>
        <w:tc>
          <w:tcPr>
            <w:tcW w:type="dxa" w:w="8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SLO-02</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Approval-gate bypass</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0</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5-minute correlation</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SEV1 on any bypass</w:t>
            </w:r>
          </w:p>
        </w:tc>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Security incident manager</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RB-AGENT-001</w:t>
            </w:r>
          </w:p>
        </w:tc>
      </w:tr>
      <w:tr>
        <w:trPr>
          <w:cantSplit/>
        </w:trPr>
        <w:tc>
          <w:tcPr>
            <w:tcW w:type="dxa" w:w="8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SLO-03</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Approved-action success</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99%</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24 hours</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SEV3 below 99%; SEV2 below 97%</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Integration owner</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RB-ACTION-001</w:t>
            </w:r>
          </w:p>
        </w:tc>
      </w:tr>
      <w:tr>
        <w:trPr>
          <w:cantSplit/>
        </w:trPr>
        <w:tc>
          <w:tcPr>
            <w:tcW w:type="dxa" w:w="8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SLO-04</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Critical incident acknowledgement</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15 min</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 incident</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Escalate to COO delegate</w:t>
            </w:r>
          </w:p>
        </w:tc>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Security incident manager</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RB-IR-001</w:t>
            </w:r>
          </w:p>
        </w:tc>
      </w:tr>
      <w:tr>
        <w:trPr>
          <w:cantSplit/>
        </w:trPr>
        <w:tc>
          <w:tcPr>
            <w:tcW w:type="dxa" w:w="8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SLO-05</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Autonomous-action containment</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30 min</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 incident</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SEV1 continues; council review</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AgentOps lead</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RB-AGENT-001</w:t>
            </w:r>
          </w:p>
        </w:tc>
      </w:tr>
      <w:tr>
        <w:trPr>
          <w:cantSplit/>
        </w:trPr>
        <w:tc>
          <w:tcPr>
            <w:tcW w:type="dxa" w:w="86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SLO-06</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Cost allocation coverage</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98% of spend</w:t>
            </w:r>
          </w:p>
        </w:tc>
        <w:tc>
          <w:tcPr>
            <w:tcW w:type="dxa" w:w="1152"/>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Monthly</w:t>
            </w:r>
          </w:p>
        </w:tc>
        <w:tc>
          <w:tcPr>
            <w:tcW w:type="dxa" w:w="165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SEV3</w:t>
            </w:r>
          </w:p>
        </w:tc>
        <w:tc>
          <w:tcPr>
            <w:tcW w:type="dxa" w:w="136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FinOps lead</w:t>
            </w:r>
          </w:p>
        </w:tc>
        <w:tc>
          <w:tcPr>
            <w:tcW w:type="dxa" w:w="108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RB-FINOPS-001</w:t>
            </w:r>
          </w:p>
        </w:tc>
      </w:tr>
      <w:tr>
        <w:trPr>
          <w:cantSplit/>
        </w:trPr>
        <w:tc>
          <w:tcPr>
            <w:tcW w:type="dxa" w:w="86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SLO-07</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Optimization quality guardrail</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 2-point decline</w:t>
            </w:r>
          </w:p>
        </w:tc>
        <w:tc>
          <w:tcPr>
            <w:tcW w:type="dxa" w:w="115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Per release</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Release blocked</w:t>
            </w:r>
          </w:p>
        </w:tc>
        <w:tc>
          <w:tcPr>
            <w:tcW w:type="dxa" w:w="1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AI product owners</w:t>
            </w:r>
          </w:p>
        </w:tc>
        <w:tc>
          <w:tcPr>
            <w:tcW w:type="dxa" w:w="1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RB-EVAL-001</w:t>
            </w:r>
          </w:p>
        </w:tc>
      </w:tr>
    </w:tbl>
    <w:p>
      <w:pPr>
        <w:spacing w:after="60"/>
      </w:pPr>
    </w:p>
    <w:p>
      <w:pPr>
        <w:keepNext/>
        <w:spacing w:after="60" w:before="120"/>
      </w:pPr>
      <w:r>
        <w:rPr>
          <w:rFonts w:ascii="Calibri" w:cs="Calibri" w:eastAsia="Calibri" w:hAnsi="Calibri"/>
          <w:b/>
          <w:bCs/>
          <w:color w:val="17365D"/>
          <w:sz w:val="18"/>
          <w:szCs w:val="18"/>
        </w:rPr>
        <w:t xml:space="preserve">D2.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304"/>
        <w:gridCol w:w="1728"/>
        <w:gridCol w:w="1728"/>
        <w:gridCol w:w="2016"/>
      </w:tblGrid>
      <w:tr>
        <w:trPr>
          <w:cantSplit/>
          <w:tblHeader/>
        </w:trPr>
        <w:tc>
          <w:tcPr>
            <w:tcW w:type="dxa" w:w="158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Class</w:t>
            </w:r>
          </w:p>
        </w:tc>
        <w:tc>
          <w:tcPr>
            <w:tcW w:type="dxa" w:w="230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Examples</w:t>
            </w:r>
          </w:p>
        </w:tc>
        <w:tc>
          <w:tcPr>
            <w:tcW w:type="dxa" w:w="172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Allowed telemetry</w:t>
            </w:r>
          </w:p>
        </w:tc>
        <w:tc>
          <w:tcPr>
            <w:tcW w:type="dxa" w:w="172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Access</w:t>
            </w:r>
          </w:p>
        </w:tc>
        <w:tc>
          <w:tcPr>
            <w:tcW w:type="dxa" w:w="2016"/>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Prohibited</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Customer personal data</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Names, contacts, delivery addresses, consignee details</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Pseudonymous IDs only</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Need-to-know, in-region</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Raw values in logs; any use on Global deployments</w:t>
            </w:r>
          </w:p>
        </w:tc>
      </w:tr>
      <w:tr>
        <w:trPr>
          <w:cantSplit/>
        </w:trPr>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Shipment and customs documents</w:t>
            </w:r>
          </w:p>
        </w:tc>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Bills of lading, customs declarations, invoices</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Document hash, type and size</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DocSum users; customs specialists</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Raw document text in traces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Financial action data</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Credit amounts, reroute costs, approvals</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Amounts, reason codes, approver role</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Approvers, Finance, audit</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Card or bank account details</w:t>
            </w:r>
          </w:p>
        </w:tc>
      </w:tr>
      <w:tr>
        <w:trPr>
          <w:cantSplit/>
        </w:trPr>
        <w:tc>
          <w:tcPr>
            <w:tcW w:type="dxa" w:w="158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Operational data</w:t>
            </w:r>
          </w:p>
        </w:tc>
        <w:tc>
          <w:tcPr>
            <w:tcW w:type="dxa" w:w="23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Routes, capacity, carrier performance</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Aggregates</w:t>
            </w:r>
          </w:p>
        </w:tc>
        <w:tc>
          <w:tcPr>
            <w:tcW w:type="dxa" w:w="172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Network planners</w:t>
            </w:r>
          </w:p>
        </w:tc>
        <w:tc>
          <w:tcPr>
            <w:tcW w:type="dxa" w:w="2016"/>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Driver or customer identifiers</w:t>
            </w:r>
          </w:p>
        </w:tc>
      </w:tr>
      <w:tr>
        <w:trPr>
          <w:cantSplit/>
        </w:trPr>
        <w:tc>
          <w:tcPr>
            <w:tcW w:type="dxa" w:w="15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Telemetry metadata</w:t>
            </w:r>
          </w:p>
        </w:tc>
        <w:tc>
          <w:tcPr>
            <w:tcW w:type="dxa" w:w="23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Trace IDs, token counts, latency, error codes</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All</w:t>
            </w:r>
          </w:p>
        </w:tc>
        <w:tc>
          <w:tcPr>
            <w:tcW w:type="dxa" w:w="172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Platform, AgentOps, Security</w:t>
            </w:r>
          </w:p>
        </w:tc>
        <w:tc>
          <w:tcPr>
            <w:tcW w:type="dxa" w:w="201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Raw prompts and responses outside RC5</w:t>
            </w:r>
          </w:p>
        </w:tc>
      </w:tr>
    </w:tbl>
    <w:p>
      <w:pPr>
        <w:spacing w:after="60"/>
      </w:pPr>
    </w:p>
    <w:p>
      <w:pPr>
        <w:keepNext/>
        <w:spacing w:after="60" w:before="120"/>
      </w:pPr>
      <w:r>
        <w:rPr>
          <w:rFonts w:ascii="Calibri" w:cs="Calibri" w:eastAsia="Calibri" w:hAnsi="Calibri"/>
          <w:b/>
          <w:bCs/>
          <w:color w:val="17365D"/>
          <w:sz w:val="18"/>
          <w:szCs w:val="18"/>
        </w:rPr>
        <w:t xml:space="preserve">D3. Decisions needed, with the decision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088"/>
        <w:gridCol w:w="4104"/>
        <w:gridCol w:w="2448"/>
      </w:tblGrid>
      <w:tr>
        <w:trPr>
          <w:cantSplit/>
          <w:tblHeader/>
        </w:trPr>
        <w:tc>
          <w:tcPr>
            <w:tcW w:type="dxa" w:w="720"/>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ID</w:t>
            </w:r>
          </w:p>
        </w:tc>
        <w:tc>
          <w:tcPr>
            <w:tcW w:type="dxa" w:w="208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Question</w:t>
            </w:r>
          </w:p>
        </w:tc>
        <w:tc>
          <w:tcPr>
            <w:tcW w:type="dxa" w:w="4104"/>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Decision and rationale</w:t>
            </w:r>
          </w:p>
        </w:tc>
        <w:tc>
          <w:tcPr>
            <w:tcW w:type="dxa" w:w="2448"/>
            <w:tcBorders>
              <w:top w:val="single" w:color="BFBFBF" w:sz="4"/>
              <w:left w:val="single" w:color="BFBFBF" w:sz="4"/>
              <w:bottom w:val="single" w:color="BFBFBF" w:sz="4"/>
              <w:right w:val="single" w:color="BFBFBF" w:sz="4"/>
            </w:tcBorders>
            <w:shd w:fill="17365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Approver; evidence</w:t>
            </w:r>
          </w:p>
        </w:tc>
      </w:tr>
      <w:tr>
        <w:trPr>
          <w:cantSplit/>
        </w:trPr>
        <w:tc>
          <w:tcPr>
            <w:tcW w:type="dxa" w:w="7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D-01</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Global or Data Zone processing per workload?</w:t>
            </w:r>
          </w:p>
        </w:tc>
        <w:tc>
          <w:tcPr>
            <w:tcW w:type="dxa" w:w="41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Data Zone EU/US for personal data; regional Brazil and India; Global only for non-personal NetAssist data (Table 5)</w:t>
            </w:r>
          </w:p>
        </w:tc>
        <w:tc>
          <w:tcPr>
            <w:tcW w:type="dxa" w:w="2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Platform engineering + DPO; boundary test</w:t>
            </w:r>
          </w:p>
        </w:tc>
      </w:tr>
      <w:tr>
        <w:trPr>
          <w:cantSplit/>
        </w:trPr>
        <w:tc>
          <w:tcPr>
            <w:tcW w:type="dxa" w:w="72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D-02</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When is the agent multiplier retired?</w:t>
            </w:r>
          </w:p>
        </w:tc>
        <w:tc>
          <w:tcPr>
            <w:tcW w:type="dxa" w:w="41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Day 35, after 30 days of traces and 10,000 runs with stable P50 and P95</w:t>
            </w:r>
          </w:p>
        </w:tc>
        <w:tc>
          <w:tcPr>
            <w:tcW w:type="dxa" w:w="244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AgentOps + FinOps; trace report</w:t>
            </w:r>
          </w:p>
        </w:tc>
      </w:tr>
      <w:tr>
        <w:trPr>
          <w:cantSplit/>
        </w:trPr>
        <w:tc>
          <w:tcPr>
            <w:tcW w:type="dxa" w:w="7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D-03</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How are duplicate actions prevented?</w:t>
            </w:r>
          </w:p>
        </w:tc>
        <w:tc>
          <w:tcPr>
            <w:tcW w:type="dxa" w:w="41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Idempotency key from case ID, action type and parameter hash; downstream APIs reject repeats; partial actions are compensated</w:t>
            </w:r>
          </w:p>
        </w:tc>
        <w:tc>
          <w:tcPr>
            <w:tcW w:type="dxa" w:w="2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Integration owner; replay test</w:t>
            </w:r>
          </w:p>
        </w:tc>
      </w:tr>
      <w:tr>
        <w:trPr>
          <w:cantSplit/>
        </w:trPr>
        <w:tc>
          <w:tcPr>
            <w:tcW w:type="dxa" w:w="720"/>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D-04</w:t>
            </w:r>
          </w:p>
        </w:tc>
        <w:tc>
          <w:tcPr>
            <w:tcW w:type="dxa" w:w="208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Which actions are approval-gated?</w:t>
            </w:r>
          </w:p>
        </w:tc>
        <w:tc>
          <w:tcPr>
            <w:tcW w:type="dxa" w:w="4104"/>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The brief's authority policy plus a USD 500 per-customer 30-day cap; the agent never auto-denies</w:t>
            </w:r>
          </w:p>
        </w:tc>
        <w:tc>
          <w:tcPr>
            <w:tcW w:type="dxa" w:w="2448"/>
            <w:tcBorders>
              <w:top w:val="single" w:color="BFBFBF" w:sz="4"/>
              <w:left w:val="single" w:color="BFBFBF" w:sz="4"/>
              <w:bottom w:val="single" w:color="BFBFBF" w:sz="4"/>
              <w:right w:val="single" w:color="BFBFBF" w:sz="4"/>
            </w:tcBorders>
            <w:shd w:fill="F3F6FA"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Agent product owner, Finance and Legal; authority configuration</w:t>
            </w:r>
          </w:p>
        </w:tc>
      </w:tr>
      <w:tr>
        <w:trPr>
          <w:cantSplit/>
        </w:trPr>
        <w:tc>
          <w:tcPr>
            <w:tcW w:type="dxa" w:w="7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D-05</w:t>
            </w:r>
          </w:p>
        </w:tc>
        <w:tc>
          <w:tcPr>
            <w:tcW w:type="dxa" w:w="20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How long is evidence retained?</w:t>
            </w:r>
          </w:p>
        </w:tc>
        <w:tc>
          <w:tcPr>
            <w:tcW w:type="dxa" w:w="410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Record classes RC1–RC6 (Table 7) with legal hold</w:t>
            </w:r>
          </w:p>
        </w:tc>
        <w:tc>
          <w:tcPr>
            <w:tcW w:type="dxa" w:w="244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before="0"/>
            </w:pPr>
            <w:r>
              <w:rPr>
                <w:rFonts w:ascii="Calibri" w:cs="Calibri" w:eastAsia="Calibri" w:hAnsi="Calibri"/>
                <w:b w:val="false"/>
                <w:bCs w:val="false"/>
                <w:sz w:val="15"/>
                <w:szCs w:val="15"/>
              </w:rPr>
              <w:t xml:space="preserve">DPO + AI Regulatory Counsel; signed schedule</w:t>
            </w:r>
          </w:p>
        </w:tc>
      </w:tr>
    </w:tbl>
    <w:p>
      <w:pPr>
        <w:pStyle w:val="Heading2"/>
        <w:keepNext/>
        <w:spacing w:after="80" w:before="200"/>
      </w:pPr>
      <w:r>
        <w:rPr>
          <w:rFonts w:ascii="Calibri" w:cs="Calibri" w:eastAsia="Calibri" w:hAnsi="Calibri"/>
          <w:b/>
          <w:bCs/>
          <w:color w:val="17365D"/>
          <w:sz w:val="24"/>
          <w:szCs w:val="24"/>
        </w:rPr>
        <w:t xml:space="preserve">References</w:t>
      </w:r>
    </w:p>
    <w:p>
      <w:pPr>
        <w:pStyle w:val="ListParagraph"/>
        <w:numPr>
          <w:ilvl w:val="0"/>
          <w:numId w:val="3"/>
        </w:numPr>
        <w:spacing w:after="20"/>
      </w:pPr>
      <w:r>
        <w:rPr>
          <w:rFonts w:ascii="Calibri" w:cs="Calibri" w:eastAsia="Calibri" w:hAnsi="Calibri"/>
          <w:sz w:val="15"/>
          <w:szCs w:val="15"/>
        </w:rPr>
        <w:t xml:space="preserve">Regulation (EU) 2024/1689 (AI Act), Articles 6, 26, 50 and Annex III: https://eur-lex.europa.eu/eli/reg/2024/1689/oj</w:t>
      </w:r>
    </w:p>
    <w:p>
      <w:pPr>
        <w:pStyle w:val="ListParagraph"/>
        <w:numPr>
          <w:ilvl w:val="0"/>
          <w:numId w:val="3"/>
        </w:numPr>
        <w:spacing w:after="20"/>
      </w:pPr>
      <w:r>
        <w:rPr>
          <w:rFonts w:ascii="Calibri" w:cs="Calibri" w:eastAsia="Calibri" w:hAnsi="Calibri"/>
          <w:sz w:val="15"/>
          <w:szCs w:val="15"/>
        </w:rPr>
        <w:t xml:space="preserve">Regulation (EU) 2026/1744 amending AI Act application dates: https://eur-lex.europa.eu/legal-content/EN/TXT/?uri=OJ:L_202601744</w:t>
      </w:r>
    </w:p>
    <w:p>
      <w:pPr>
        <w:pStyle w:val="ListParagraph"/>
        <w:numPr>
          <w:ilvl w:val="0"/>
          <w:numId w:val="3"/>
        </w:numPr>
        <w:spacing w:after="20"/>
      </w:pPr>
      <w:r>
        <w:rPr>
          <w:rFonts w:ascii="Calibri" w:cs="Calibri" w:eastAsia="Calibri" w:hAnsi="Calibri"/>
          <w:sz w:val="15"/>
          <w:szCs w:val="15"/>
        </w:rPr>
        <w:t xml:space="preserve">GDPR Arts 5, 22, 32–35; LGPD Arts 20, 33–36, 48 and ANPD Resolution 15/2024; India DPDP Act 2023 and Rules 2025</w:t>
      </w:r>
    </w:p>
    <w:p>
      <w:pPr>
        <w:pStyle w:val="ListParagraph"/>
        <w:numPr>
          <w:ilvl w:val="0"/>
          <w:numId w:val="3"/>
        </w:numPr>
        <w:spacing w:after="20"/>
      </w:pPr>
      <w:r>
        <w:rPr>
          <w:rFonts w:ascii="Calibri" w:cs="Calibri" w:eastAsia="Calibri" w:hAnsi="Calibri"/>
          <w:sz w:val="15"/>
          <w:szCs w:val="15"/>
        </w:rPr>
        <w:t xml:space="preserve">APIM AI gateway and token policies: https://learn.microsoft.com/en-us/azure/api-management/genai-gateway-capabilities</w:t>
      </w:r>
    </w:p>
    <w:p>
      <w:pPr>
        <w:pStyle w:val="ListParagraph"/>
        <w:numPr>
          <w:ilvl w:val="0"/>
          <w:numId w:val="3"/>
        </w:numPr>
        <w:spacing w:after="20"/>
      </w:pPr>
      <w:r>
        <w:rPr>
          <w:rFonts w:ascii="Calibri" w:cs="Calibri" w:eastAsia="Calibri" w:hAnsi="Calibri"/>
          <w:sz w:val="15"/>
          <w:szCs w:val="15"/>
        </w:rPr>
        <w:t xml:space="preserve">Microsoft Foundry agent tracing: https://learn.microsoft.com/en-us/azure/foundry/observability/concepts/trace-agent-concept</w:t>
      </w:r>
    </w:p>
    <w:p>
      <w:pPr>
        <w:pStyle w:val="ListParagraph"/>
        <w:numPr>
          <w:ilvl w:val="0"/>
          <w:numId w:val="3"/>
        </w:numPr>
        <w:spacing w:after="20"/>
      </w:pPr>
      <w:r>
        <w:rPr>
          <w:rFonts w:ascii="Calibri" w:cs="Calibri" w:eastAsia="Calibri" w:hAnsi="Calibri"/>
          <w:sz w:val="15"/>
          <w:szCs w:val="15"/>
        </w:rPr>
        <w:t xml:space="preserve">Microsoft Foundry deployment types and data zones: https://learn.microsoft.com/en-us/azure/foundry/foundry-models/concepts/models-sold-directly-by-azure-region-availability</w:t>
      </w:r>
    </w:p>
    <w:p>
      <w:pPr>
        <w:pStyle w:val="ListParagraph"/>
        <w:numPr>
          <w:ilvl w:val="0"/>
          <w:numId w:val="3"/>
        </w:numPr>
        <w:spacing w:after="20"/>
      </w:pPr>
      <w:r>
        <w:rPr>
          <w:rFonts w:ascii="Calibri" w:cs="Calibri" w:eastAsia="Calibri" w:hAnsi="Calibri"/>
          <w:sz w:val="15"/>
          <w:szCs w:val="15"/>
        </w:rPr>
        <w:t xml:space="preserve">Azure AI Content Safety and Prompt Shields: https://learn.microsoft.com/en-us/azure/ai-services/content-safety/</w:t>
      </w:r>
    </w:p>
    <w:sectPr>
      <w:headerReference w:type="default" r:id="rId7"/>
      <w:footerReference w:type="default" r:id="rId8"/>
      <w:pgSz w:w="12240" w:h="15840" w:orient="portrait"/>
      <w:pgMar w:top="1080" w:right="1440" w:bottom="108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Global Logistics Corp · GenAIOps Operating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300"/>
      </w:pPr>
      <w:rPr>
        <w:rFonts w:ascii="Calibri" w:cs="Calibri" w:eastAsia="Calibri" w:hAnsi="Calibri"/>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7365D"/>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7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bd96080e5c05bcfa2efbadce67d1f4ff05cf27.png"/><Relationship Id="rId10" Type="http://schemas.openxmlformats.org/officeDocument/2006/relationships/image" Target="media/e54c8fd4ffcecaca2f90f64343db49f3f4166745.png"/><Relationship Id="rId11" Type="http://schemas.openxmlformats.org/officeDocument/2006/relationships/image" Target="media/cd92f0740711cb64a01f9d08f796bd5d202838cb.png"/><Relationship Id="rId12" Type="http://schemas.openxmlformats.org/officeDocument/2006/relationships/image" Target="media/d5d8f1b652b5b10bc1020e2c158b0f889fbb1bfa.png"/><Relationship Id="rId13" Type="http://schemas.openxmlformats.org/officeDocument/2006/relationships/image" Target="media/ab908b068e75c16fe656d91845d4c31a15b520b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Logistics Corp GenAIOps Operating Model</dc:title>
  <dc:creator>Dennis</dc:creator>
  <dc:description>Seven-component GenAIOps operating model</dc:description>
  <cp:lastModifiedBy>Un-named</cp:lastModifiedBy>
  <cp:revision>1</cp:revision>
  <dcterms:created xsi:type="dcterms:W3CDTF">2026-10-13T03:52:40.121Z</dcterms:created>
  <dcterms:modified xsi:type="dcterms:W3CDTF">2026-10-13T03:52:40.121Z</dcterms:modified>
</cp:coreProperties>
</file>

<file path=docProps/custom.xml><?xml version="1.0" encoding="utf-8"?>
<Properties xmlns="http://schemas.openxmlformats.org/officeDocument/2006/custom-properties" xmlns:vt="http://schemas.openxmlformats.org/officeDocument/2006/docPropsVTypes"/>
</file>