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Contoso Health System |  IT Service Desk Training</w:t>
      </w:r>
    </w:p>
    <w:p w:rsidR="00000000" w:rsidDel="00000000" w:rsidP="00000000" w:rsidRDefault="00000000" w:rsidRPr="00000000" w14:paraId="00000002">
      <w:pPr>
        <w:pStyle w:val="Heading2"/>
        <w:spacing w:after="60" w:lineRule="auto"/>
        <w:rPr/>
      </w:pPr>
      <w:bookmarkStart w:colFirst="0" w:colLast="0" w:name="_heading=h.wm0zbu61bap2" w:id="0"/>
      <w:bookmarkEnd w:id="0"/>
      <w:r w:rsidDel="00000000" w:rsidR="00000000" w:rsidRPr="00000000">
        <w:rPr>
          <w:rtl w:val="0"/>
        </w:rPr>
        <w:t xml:space="preserve">Dependency Analysis Worksheet</w:t>
      </w:r>
    </w:p>
    <w:p w:rsidR="00000000" w:rsidDel="00000000" w:rsidP="00000000" w:rsidRDefault="00000000" w:rsidRPr="00000000" w14:paraId="00000003">
      <w:pPr>
        <w:pBdr>
          <w:bottom w:color="1f3864" w:space="8" w:sz="8" w:val="single"/>
        </w:pBdr>
        <w:spacing w:after="2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Template—one grid per case</w:t>
      </w:r>
    </w:p>
    <w:tbl>
      <w:tblPr>
        <w:tblStyle w:val="Table1"/>
        <w:tblW w:w="936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4">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Document ID</w:t>
            </w:r>
          </w:p>
        </w:tc>
        <w:tc>
          <w:tcPr>
            <w:tcMar>
              <w:top w:w="80.0" w:type="dxa"/>
              <w:left w:w="120.0" w:type="dxa"/>
              <w:bottom w:w="80.0" w:type="dxa"/>
              <w:right w:w="120.0" w:type="dxa"/>
            </w:tcMar>
          </w:tcPr>
          <w:p w:rsidR="00000000" w:rsidDel="00000000" w:rsidP="00000000" w:rsidRDefault="00000000" w:rsidRPr="00000000" w14:paraId="0000000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ITS-TRN-016-B</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6">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Used with</w:t>
            </w:r>
          </w:p>
        </w:tc>
        <w:tc>
          <w:tcPr>
            <w:tcMar>
              <w:top w:w="80.0" w:type="dxa"/>
              <w:left w:w="120.0" w:type="dxa"/>
              <w:bottom w:w="80.0" w:type="dxa"/>
              <w:right w:w="120.0" w:type="dxa"/>
            </w:tcMar>
          </w:tcPr>
          <w:p w:rsidR="00000000" w:rsidDel="00000000" w:rsidP="00000000" w:rsidRDefault="00000000" w:rsidRPr="00000000" w14:paraId="00000007">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Mock Support Case Dataset (ITS-TRN-016-A)</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8">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Completed by</w:t>
            </w:r>
          </w:p>
        </w:tc>
        <w:tc>
          <w:tcPr>
            <w:tcMar>
              <w:top w:w="80.0" w:type="dxa"/>
              <w:left w:w="120.0" w:type="dxa"/>
              <w:bottom w:w="80.0" w:type="dxa"/>
              <w:right w:w="120.0" w:type="dxa"/>
            </w:tcMar>
          </w:tcPr>
          <w:p w:rsidR="00000000" w:rsidDel="00000000" w:rsidP="00000000" w:rsidRDefault="00000000" w:rsidRPr="00000000" w14:paraId="00000009">
            <w:pPr>
              <w:spacing w:after="40" w:before="40" w:lineRule="auto"/>
              <w:rPr>
                <w:rFonts w:ascii="Arial" w:cs="Arial" w:eastAsia="Arial" w:hAnsi="Arial"/>
                <w:sz w:val="22"/>
                <w:szCs w:val="22"/>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A">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Date</w:t>
            </w:r>
          </w:p>
        </w:tc>
        <w:tc>
          <w:tcPr>
            <w:tcMar>
              <w:top w:w="80.0" w:type="dxa"/>
              <w:left w:w="120.0" w:type="dxa"/>
              <w:bottom w:w="80.0" w:type="dxa"/>
              <w:right w:w="120.0" w:type="dxa"/>
            </w:tcMar>
          </w:tcPr>
          <w:p w:rsidR="00000000" w:rsidDel="00000000" w:rsidP="00000000" w:rsidRDefault="00000000" w:rsidRPr="00000000" w14:paraId="0000000B">
            <w:pPr>
              <w:spacing w:after="40" w:before="40" w:lineRule="auto"/>
              <w:rPr>
                <w:rFonts w:ascii="Arial" w:cs="Arial" w:eastAsia="Arial" w:hAnsi="Arial"/>
                <w:sz w:val="22"/>
                <w:szCs w:val="22"/>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C">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Classification</w:t>
            </w:r>
          </w:p>
        </w:tc>
        <w:tc>
          <w:tcPr>
            <w:tcMar>
              <w:top w:w="80.0" w:type="dxa"/>
              <w:left w:w="120.0" w:type="dxa"/>
              <w:bottom w:w="80.0" w:type="dxa"/>
              <w:right w:w="120.0" w:type="dxa"/>
            </w:tcMar>
          </w:tcPr>
          <w:p w:rsidR="00000000" w:rsidDel="00000000" w:rsidP="00000000" w:rsidRDefault="00000000" w:rsidRPr="00000000" w14:paraId="0000000D">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Internal Use Only—Training</w:t>
            </w:r>
          </w:p>
        </w:tc>
      </w:tr>
    </w:tbl>
    <w:p w:rsidR="00000000" w:rsidDel="00000000" w:rsidP="00000000" w:rsidRDefault="00000000" w:rsidRPr="00000000" w14:paraId="0000000E">
      <w:pPr>
        <w:spacing w:after="180" w:lineRule="auto"/>
        <w:rPr>
          <w:rFonts w:ascii="Arial" w:cs="Arial" w:eastAsia="Arial" w:hAnsi="Arial"/>
          <w:sz w:val="22"/>
          <w:szCs w:val="22"/>
        </w:rPr>
      </w:pPr>
      <w:r w:rsidDel="00000000" w:rsidR="00000000" w:rsidRPr="00000000">
        <w:rPr>
          <w:rtl w:val="0"/>
        </w:rPr>
      </w:r>
    </w:p>
    <w:tbl>
      <w:tblPr>
        <w:tblStyle w:val="Table2"/>
        <w:tblW w:w="9360.0" w:type="dxa"/>
        <w:jc w:val="left"/>
        <w:tblBorders>
          <w:top w:color="bf8f00" w:space="0" w:sz="8" w:val="single"/>
          <w:left w:color="bf8f00" w:space="0" w:sz="8" w:val="single"/>
          <w:bottom w:color="bf8f00" w:space="0" w:sz="8" w:val="single"/>
          <w:right w:color="bf8f00" w:space="0" w:sz="8"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1"/>
          <w:tblHeader w:val="0"/>
        </w:trPr>
        <w:tc>
          <w:tcPr>
            <w:shd w:fill="fff2cc" w:val="clear"/>
            <w:tcMar>
              <w:top w:w="140.0" w:type="dxa"/>
              <w:left w:w="160.0" w:type="dxa"/>
              <w:bottom w:w="140.0" w:type="dxa"/>
              <w:right w:w="160.0" w:type="dxa"/>
            </w:tcMar>
          </w:tcPr>
          <w:p w:rsidR="00000000" w:rsidDel="00000000" w:rsidP="00000000" w:rsidRDefault="00000000" w:rsidRPr="00000000" w14:paraId="0000000F">
            <w:pPr>
              <w:spacing w:after="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 this worksheet is for</w:t>
            </w:r>
          </w:p>
          <w:p w:rsidR="00000000" w:rsidDel="00000000" w:rsidP="00000000" w:rsidRDefault="00000000" w:rsidRPr="00000000" w14:paraId="00000010">
            <w:pPr>
              <w:rPr>
                <w:rFonts w:ascii="Arial" w:cs="Arial" w:eastAsia="Arial" w:hAnsi="Arial"/>
                <w:sz w:val="22"/>
                <w:szCs w:val="22"/>
              </w:rPr>
            </w:pPr>
            <w:r w:rsidDel="00000000" w:rsidR="00000000" w:rsidRPr="00000000">
              <w:rPr>
                <w:rFonts w:ascii="Arial" w:cs="Arial" w:eastAsia="Arial" w:hAnsi="Arial"/>
                <w:sz w:val="22"/>
                <w:szCs w:val="22"/>
                <w:rtl w:val="0"/>
              </w:rPr>
              <w:t xml:space="preserve">You are identifying workflow dependencies and documenting the dependency chain. You are not modifying integrations, restoring services, changing dependency architectures, resolving upstream issues, or deciding which team owns resolution. Naming the traced category and warm-transferring with a documented chain is the whole of the Tier 1 task.</w:t>
            </w:r>
          </w:p>
        </w:tc>
      </w:tr>
    </w:tbl>
    <w:p w:rsidR="00000000" w:rsidDel="00000000" w:rsidP="00000000" w:rsidRDefault="00000000" w:rsidRPr="00000000" w14:paraId="00000011">
      <w:pPr>
        <w:pStyle w:val="Heading2"/>
        <w:rPr/>
      </w:pPr>
      <w:bookmarkStart w:colFirst="0" w:colLast="0" w:name="_heading=h.dwp33oe19osn" w:id="1"/>
      <w:bookmarkEnd w:id="1"/>
      <w:r w:rsidDel="00000000" w:rsidR="00000000" w:rsidRPr="00000000">
        <w:rPr>
          <w:rtl w:val="0"/>
        </w:rPr>
      </w:r>
    </w:p>
    <w:p w:rsidR="00000000" w:rsidDel="00000000" w:rsidP="00000000" w:rsidRDefault="00000000" w:rsidRPr="00000000" w14:paraId="00000012">
      <w:pPr>
        <w:pStyle w:val="Heading2"/>
        <w:rPr/>
      </w:pPr>
      <w:bookmarkStart w:colFirst="0" w:colLast="0" w:name="_heading=h.9g5npvijedyi" w:id="2"/>
      <w:bookmarkEnd w:id="2"/>
      <w:r w:rsidDel="00000000" w:rsidR="00000000" w:rsidRPr="00000000">
        <w:rPr>
          <w:rtl w:val="0"/>
        </w:rPr>
        <w:t xml:space="preserve">1. Reference</w:t>
      </w:r>
    </w:p>
    <w:p w:rsidR="00000000" w:rsidDel="00000000" w:rsidP="00000000" w:rsidRDefault="00000000" w:rsidRPr="00000000" w14:paraId="00000013">
      <w:pPr>
        <w:pStyle w:val="Heading3"/>
        <w:rPr/>
      </w:pPr>
      <w:bookmarkStart w:colFirst="0" w:colLast="0" w:name="_heading=h.8nloxymnhn2u" w:id="3"/>
      <w:bookmarkEnd w:id="3"/>
      <w:r w:rsidDel="00000000" w:rsidR="00000000" w:rsidRPr="00000000">
        <w:rPr>
          <w:rtl w:val="0"/>
        </w:rPr>
        <w:t xml:space="preserve">1.1 The four categories, evaluated in this order</w:t>
      </w:r>
    </w:p>
    <w:tbl>
      <w:tblPr>
        <w:tblStyle w:val="Table3"/>
        <w:tblW w:w="936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d9e2f3" w:val="clear"/>
            <w:tcMar>
              <w:top w:w="80.0" w:type="dxa"/>
              <w:left w:w="120.0" w:type="dxa"/>
              <w:bottom w:w="80.0" w:type="dxa"/>
              <w:right w:w="120.0" w:type="dxa"/>
            </w:tcMar>
          </w:tcPr>
          <w:p w:rsidR="00000000" w:rsidDel="00000000" w:rsidP="00000000" w:rsidRDefault="00000000" w:rsidRPr="00000000" w14:paraId="00000014">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Category</w:t>
            </w:r>
          </w:p>
        </w:tc>
        <w:tc>
          <w:tcPr>
            <w:shd w:fill="d9e2f3" w:val="clear"/>
            <w:tcMar>
              <w:top w:w="80.0" w:type="dxa"/>
              <w:left w:w="120.0" w:type="dxa"/>
              <w:bottom w:w="80.0" w:type="dxa"/>
              <w:right w:w="120.0" w:type="dxa"/>
            </w:tcMar>
          </w:tcPr>
          <w:p w:rsidR="00000000" w:rsidDel="00000000" w:rsidP="00000000" w:rsidRDefault="00000000" w:rsidRPr="00000000" w14:paraId="0000001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 you are evaluating</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6">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1—Identity</w:t>
            </w:r>
          </w:p>
        </w:tc>
        <w:tc>
          <w:tcPr>
            <w:tcMar>
              <w:top w:w="80.0" w:type="dxa"/>
              <w:left w:w="120.0" w:type="dxa"/>
              <w:bottom w:w="80.0" w:type="dxa"/>
              <w:right w:w="120.0" w:type="dxa"/>
            </w:tcMar>
          </w:tcPr>
          <w:p w:rsidR="00000000" w:rsidDel="00000000" w:rsidP="00000000" w:rsidRDefault="00000000" w:rsidRPr="00000000" w14:paraId="00000017">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Whether the user’s account credentials and authentication are functioning correctly. Evaluated first because an identity fault produces symptoms that look like the other three.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8">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2—Messaging</w:t>
            </w:r>
          </w:p>
        </w:tc>
        <w:tc>
          <w:tcPr>
            <w:tcMar>
              <w:top w:w="80.0" w:type="dxa"/>
              <w:left w:w="120.0" w:type="dxa"/>
              <w:bottom w:w="80.0" w:type="dxa"/>
              <w:right w:w="120.0" w:type="dxa"/>
            </w:tcMar>
          </w:tcPr>
          <w:p w:rsidR="00000000" w:rsidDel="00000000" w:rsidP="00000000" w:rsidRDefault="00000000" w:rsidRPr="00000000" w14:paraId="00000019">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Whether email and communication services are available and delivering as expected.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A">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3—File access</w:t>
            </w:r>
          </w:p>
        </w:tc>
        <w:tc>
          <w:tcPr>
            <w:tcMar>
              <w:top w:w="80.0" w:type="dxa"/>
              <w:left w:w="120.0" w:type="dxa"/>
              <w:bottom w:w="80.0" w:type="dxa"/>
              <w:right w:w="120.0" w:type="dxa"/>
            </w:tcMar>
          </w:tcPr>
          <w:p w:rsidR="00000000" w:rsidDel="00000000" w:rsidP="00000000" w:rsidRDefault="00000000" w:rsidRPr="00000000" w14:paraId="0000001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Whether shared files, drives, and document storage are reachable and permissioned correctly.</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C">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4—Clinical system availability</w:t>
            </w:r>
          </w:p>
        </w:tc>
        <w:tc>
          <w:tcPr>
            <w:tcMar>
              <w:top w:w="80.0" w:type="dxa"/>
              <w:left w:w="120.0" w:type="dxa"/>
              <w:bottom w:w="80.0" w:type="dxa"/>
              <w:right w:w="120.0" w:type="dxa"/>
            </w:tcMar>
          </w:tcPr>
          <w:p w:rsidR="00000000" w:rsidDel="00000000" w:rsidP="00000000" w:rsidRDefault="00000000" w:rsidRPr="00000000" w14:paraId="0000001D">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Whether Epic is reachable and functioning for the affected user.</w:t>
            </w:r>
          </w:p>
        </w:tc>
      </w:tr>
    </w:tbl>
    <w:p w:rsidR="00000000" w:rsidDel="00000000" w:rsidP="00000000" w:rsidRDefault="00000000" w:rsidRPr="00000000" w14:paraId="0000001E">
      <w:pPr>
        <w:pStyle w:val="Heading3"/>
        <w:rPr/>
      </w:pPr>
      <w:bookmarkStart w:colFirst="0" w:colLast="0" w:name="_heading=h.5tqbx4siq4hl" w:id="4"/>
      <w:bookmarkEnd w:id="4"/>
      <w:r w:rsidDel="00000000" w:rsidR="00000000" w:rsidRPr="00000000">
        <w:rPr>
          <w:rtl w:val="0"/>
        </w:rPr>
      </w:r>
    </w:p>
    <w:p w:rsidR="00000000" w:rsidDel="00000000" w:rsidP="00000000" w:rsidRDefault="00000000" w:rsidRPr="00000000" w14:paraId="0000001F">
      <w:pPr>
        <w:pStyle w:val="Heading3"/>
        <w:rPr/>
      </w:pPr>
      <w:bookmarkStart w:colFirst="0" w:colLast="0" w:name="_heading=h.aaj6h6m38ag2" w:id="5"/>
      <w:bookmarkEnd w:id="5"/>
      <w:r w:rsidDel="00000000" w:rsidR="00000000" w:rsidRPr="00000000">
        <w:rPr>
          <w:rtl w:val="0"/>
        </w:rPr>
        <w:t xml:space="preserve">1.2 Which side of the boundary</w:t>
      </w:r>
    </w:p>
    <w:p w:rsidR="00000000" w:rsidDel="00000000" w:rsidP="00000000" w:rsidRDefault="00000000" w:rsidRPr="00000000" w14:paraId="00000020">
      <w:pPr>
        <w:rPr>
          <w:rFonts w:ascii="Arial" w:cs="Arial" w:eastAsia="Arial" w:hAnsi="Arial"/>
          <w:sz w:val="22"/>
          <w:szCs w:val="22"/>
        </w:rPr>
      </w:pPr>
      <w:r w:rsidDel="00000000" w:rsidR="00000000" w:rsidRPr="00000000">
        <w:rPr>
          <w:rFonts w:ascii="Arial" w:cs="Arial" w:eastAsia="Arial" w:hAnsi="Arial"/>
          <w:sz w:val="22"/>
          <w:szCs w:val="22"/>
          <w:rtl w:val="0"/>
        </w:rPr>
        <w:t xml:space="preserve">Naming a category is not the same as placing the case. A symptom that appears inside Epic may trace to a Microsoft 365 dependency, and a symptom that appears in a Microsoft 365 surface may trace to an entitlement granted upstream of both.</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40"/>
        <w:jc w:val="left"/>
        <w:rPr>
          <w:rFonts w:ascii="Arial" w:cs="Arial" w:eastAsia="Arial" w:hAnsi="Arial"/>
          <w:sz w:val="22"/>
          <w:szCs w:val="22"/>
        </w:rPr>
      </w:pPr>
      <w:r w:rsidDel="00000000" w:rsidR="00000000" w:rsidRPr="00000000">
        <w:rPr>
          <w:rFonts w:ascii="Arial" w:cs="Arial" w:eastAsia="Arial" w:hAnsi="Arial"/>
          <w:smallCaps w:val="0"/>
          <w:strike w:val="0"/>
          <w:sz w:val="22"/>
          <w:szCs w:val="22"/>
          <w:u w:val="none"/>
          <w:shd w:fill="auto" w:val="clear"/>
          <w:vertAlign w:val="baseline"/>
          <w:rtl w:val="0"/>
        </w:rPr>
        <w:t xml:space="preserve">Microsoft 365 side</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mallCaps w:val="0"/>
          <w:strike w:val="0"/>
          <w:sz w:val="22"/>
          <w:szCs w:val="22"/>
          <w:u w:val="none"/>
          <w:shd w:fill="auto" w:val="clear"/>
          <w:vertAlign w:val="baseline"/>
          <w:rtl w:val="0"/>
        </w:rPr>
        <w:t xml:space="preserve">the fault sits in messaging, file storage, or the collaboration surface, even where the symptom appeared inside the clinical application.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40"/>
        <w:jc w:val="left"/>
        <w:rPr>
          <w:rFonts w:ascii="Arial" w:cs="Arial" w:eastAsia="Arial" w:hAnsi="Arial"/>
          <w:sz w:val="22"/>
          <w:szCs w:val="22"/>
        </w:rPr>
      </w:pPr>
      <w:r w:rsidDel="00000000" w:rsidR="00000000" w:rsidRPr="00000000">
        <w:rPr>
          <w:rFonts w:ascii="Arial" w:cs="Arial" w:eastAsia="Arial" w:hAnsi="Arial"/>
          <w:smallCaps w:val="0"/>
          <w:strike w:val="0"/>
          <w:sz w:val="22"/>
          <w:szCs w:val="22"/>
          <w:u w:val="none"/>
          <w:shd w:fill="auto" w:val="clear"/>
          <w:vertAlign w:val="baseline"/>
          <w:rtl w:val="0"/>
        </w:rPr>
        <w:t xml:space="preserve">Clinical application side</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mallCaps w:val="0"/>
          <w:strike w:val="0"/>
          <w:sz w:val="22"/>
          <w:szCs w:val="22"/>
          <w:u w:val="none"/>
          <w:shd w:fill="auto" w:val="clear"/>
          <w:vertAlign w:val="baseline"/>
          <w:rtl w:val="0"/>
        </w:rPr>
        <w:t xml:space="preserve">the fault sits inside Epic itself.</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40"/>
        <w:jc w:val="left"/>
        <w:rPr>
          <w:rFonts w:ascii="Arial" w:cs="Arial" w:eastAsia="Arial" w:hAnsi="Arial"/>
          <w:sz w:val="22"/>
          <w:szCs w:val="22"/>
        </w:rPr>
      </w:pPr>
      <w:r w:rsidDel="00000000" w:rsidR="00000000" w:rsidRPr="00000000">
        <w:rPr>
          <w:rFonts w:ascii="Arial" w:cs="Arial" w:eastAsia="Arial" w:hAnsi="Arial"/>
          <w:smallCaps w:val="0"/>
          <w:strike w:val="0"/>
          <w:sz w:val="22"/>
          <w:szCs w:val="22"/>
          <w:u w:val="none"/>
          <w:shd w:fill="auto" w:val="clear"/>
          <w:vertAlign w:val="baseline"/>
          <w:rtl w:val="0"/>
        </w:rPr>
        <w:t xml:space="preserve">Upstream of both</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mallCaps w:val="0"/>
          <w:strike w:val="0"/>
          <w:sz w:val="22"/>
          <w:szCs w:val="22"/>
          <w:u w:val="none"/>
          <w:shd w:fill="auto" w:val="clear"/>
          <w:vertAlign w:val="baseline"/>
          <w:rtl w:val="0"/>
        </w:rPr>
        <w:t xml:space="preserve">identity or entitlement, producing symptoms on either side or both at once.</w:t>
      </w:r>
    </w:p>
    <w:p w:rsidR="00000000" w:rsidDel="00000000" w:rsidP="00000000" w:rsidRDefault="00000000" w:rsidRPr="00000000" w14:paraId="00000024">
      <w:pPr>
        <w:pStyle w:val="Heading3"/>
        <w:rPr/>
      </w:pPr>
      <w:bookmarkStart w:colFirst="0" w:colLast="0" w:name="_heading=h.p3fczyuaf1d5" w:id="6"/>
      <w:bookmarkEnd w:id="6"/>
      <w:r w:rsidDel="00000000" w:rsidR="00000000" w:rsidRPr="00000000">
        <w:rPr>
          <w:rtl w:val="0"/>
        </w:rPr>
        <w:t xml:space="preserve">1.3 Warm-transfer targets</w:t>
      </w:r>
    </w:p>
    <w:tbl>
      <w:tblPr>
        <w:tblStyle w:val="Table4"/>
        <w:tblW w:w="936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d9e2f3" w:val="clear"/>
            <w:tcMar>
              <w:top w:w="80.0" w:type="dxa"/>
              <w:left w:w="120.0" w:type="dxa"/>
              <w:bottom w:w="80.0" w:type="dxa"/>
              <w:right w:w="120.0" w:type="dxa"/>
            </w:tcMar>
          </w:tcPr>
          <w:p w:rsidR="00000000" w:rsidDel="00000000" w:rsidP="00000000" w:rsidRDefault="00000000" w:rsidRPr="00000000" w14:paraId="0000002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Team</w:t>
            </w:r>
          </w:p>
        </w:tc>
        <w:tc>
          <w:tcPr>
            <w:shd w:fill="d9e2f3" w:val="clear"/>
            <w:tcMar>
              <w:top w:w="80.0" w:type="dxa"/>
              <w:left w:w="120.0" w:type="dxa"/>
              <w:bottom w:w="80.0" w:type="dxa"/>
              <w:right w:w="120.0" w:type="dxa"/>
            </w:tcMar>
          </w:tcPr>
          <w:p w:rsidR="00000000" w:rsidDel="00000000" w:rsidP="00000000" w:rsidRDefault="00000000" w:rsidRPr="00000000" w14:paraId="00000026">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Transfer when the chain points here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7">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Identity Administrators</w:t>
            </w:r>
          </w:p>
        </w:tc>
        <w:tc>
          <w:tcPr>
            <w:tcMar>
              <w:top w:w="80.0" w:type="dxa"/>
              <w:left w:w="120.0" w:type="dxa"/>
              <w:bottom w:w="80.0" w:type="dxa"/>
              <w:right w:w="120.0" w:type="dxa"/>
            </w:tcMar>
          </w:tcPr>
          <w:p w:rsidR="00000000" w:rsidDel="00000000" w:rsidP="00000000" w:rsidRDefault="00000000" w:rsidRPr="00000000" w14:paraId="00000028">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Authentication, account state, group membership, provisioning.</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9">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M365 Admin Team</w:t>
            </w:r>
          </w:p>
        </w:tc>
        <w:tc>
          <w:tcPr>
            <w:tcMar>
              <w:top w:w="80.0" w:type="dxa"/>
              <w:left w:w="120.0" w:type="dxa"/>
              <w:bottom w:w="80.0" w:type="dxa"/>
              <w:right w:w="120.0" w:type="dxa"/>
            </w:tcMar>
          </w:tcPr>
          <w:p w:rsidR="00000000" w:rsidDel="00000000" w:rsidP="00000000" w:rsidRDefault="00000000" w:rsidRPr="00000000" w14:paraId="0000002A">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Exchange and Outlook delivery, Teams, SharePoint and OneDrive permissions and availability.</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Azure Engineering</w:t>
            </w:r>
          </w:p>
        </w:tc>
        <w:tc>
          <w:tcPr>
            <w:tcMar>
              <w:top w:w="80.0" w:type="dxa"/>
              <w:left w:w="120.0" w:type="dxa"/>
              <w:bottom w:w="80.0" w:type="dxa"/>
              <w:right w:w="120.0" w:type="dxa"/>
            </w:tcMar>
          </w:tcPr>
          <w:p w:rsidR="00000000" w:rsidDel="00000000" w:rsidP="00000000" w:rsidRDefault="00000000" w:rsidRPr="00000000" w14:paraId="0000002C">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Platform, hosting, and integration services beneath the tenant.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D">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Epic Analyst team</w:t>
            </w:r>
          </w:p>
        </w:tc>
        <w:tc>
          <w:tcPr>
            <w:tcMar>
              <w:top w:w="80.0" w:type="dxa"/>
              <w:left w:w="120.0" w:type="dxa"/>
              <w:bottom w:w="80.0" w:type="dxa"/>
              <w:right w:w="120.0" w:type="dxa"/>
            </w:tcMar>
          </w:tcPr>
          <w:p w:rsidR="00000000" w:rsidDel="00000000" w:rsidP="00000000" w:rsidRDefault="00000000" w:rsidRPr="00000000" w14:paraId="0000002E">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Any fault inside the clinical application itself. Transfer without diagnosis—see 1.4.</w:t>
            </w:r>
          </w:p>
        </w:tc>
      </w:tr>
    </w:tbl>
    <w:p w:rsidR="00000000" w:rsidDel="00000000" w:rsidP="00000000" w:rsidRDefault="00000000" w:rsidRPr="00000000" w14:paraId="0000002F">
      <w:pPr>
        <w:pStyle w:val="Heading3"/>
        <w:rPr/>
      </w:pPr>
      <w:bookmarkStart w:colFirst="0" w:colLast="0" w:name="_heading=h.hg23i483u35g" w:id="7"/>
      <w:bookmarkEnd w:id="7"/>
      <w:r w:rsidDel="00000000" w:rsidR="00000000" w:rsidRPr="00000000">
        <w:rPr>
          <w:rtl w:val="0"/>
        </w:rPr>
        <w:t xml:space="preserve">1.4 The Epic-side limit</w:t>
      </w:r>
    </w:p>
    <w:tbl>
      <w:tblPr>
        <w:tblStyle w:val="Table5"/>
        <w:tblW w:w="9360.0" w:type="dxa"/>
        <w:jc w:val="left"/>
        <w:tblBorders>
          <w:top w:color="c55a11" w:space="0" w:sz="8" w:val="single"/>
          <w:left w:color="c55a11" w:space="0" w:sz="8" w:val="single"/>
          <w:bottom w:color="c55a11" w:space="0" w:sz="8" w:val="single"/>
          <w:right w:color="c55a11" w:space="0" w:sz="8"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1"/>
          <w:tblHeader w:val="0"/>
        </w:trPr>
        <w:tc>
          <w:tcPr>
            <w:shd w:fill="fbe4d5" w:val="clear"/>
            <w:tcMar>
              <w:top w:w="140.0" w:type="dxa"/>
              <w:left w:w="160.0" w:type="dxa"/>
              <w:bottom w:w="140.0" w:type="dxa"/>
              <w:right w:w="160.0" w:type="dxa"/>
            </w:tcMar>
          </w:tcPr>
          <w:p w:rsidR="00000000" w:rsidDel="00000000" w:rsidP="00000000" w:rsidRDefault="00000000" w:rsidRPr="00000000" w14:paraId="00000030">
            <w:pPr>
              <w:spacing w:after="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Name the category. Do not diagnose the fault.</w:t>
            </w:r>
          </w:p>
          <w:p w:rsidR="00000000" w:rsidDel="00000000" w:rsidP="00000000" w:rsidRDefault="00000000" w:rsidRPr="00000000" w14:paraId="00000031">
            <w:pPr>
              <w:rPr>
                <w:rFonts w:ascii="Arial" w:cs="Arial" w:eastAsia="Arial" w:hAnsi="Arial"/>
                <w:sz w:val="22"/>
                <w:szCs w:val="22"/>
              </w:rPr>
            </w:pPr>
            <w:r w:rsidDel="00000000" w:rsidR="00000000" w:rsidRPr="00000000">
              <w:rPr>
                <w:rFonts w:ascii="Arial" w:cs="Arial" w:eastAsia="Arial" w:hAnsi="Arial"/>
                <w:sz w:val="22"/>
                <w:szCs w:val="22"/>
                <w:rtl w:val="0"/>
              </w:rPr>
              <w:t xml:space="preserve">Where the dependency traces to the clinical application beyond the client-side workflows Tier 1 handles, warm-transfer to the Epic Analyst team without attempting diagnosis. Recording that the evidence points to clinical system availability is in scope. Forming a hypothesis about what is wrong inside Epic—a build issue, a department configuration, a recent change—is not. Report the observations; let the analysts interpret them.</w:t>
            </w:r>
          </w:p>
        </w:tc>
      </w:tr>
    </w:tbl>
    <w:p w:rsidR="00000000" w:rsidDel="00000000" w:rsidP="00000000" w:rsidRDefault="00000000" w:rsidRPr="00000000" w14:paraId="00000032">
      <w:pPr>
        <w:pStyle w:val="Heading3"/>
        <w:rPr/>
      </w:pPr>
      <w:bookmarkStart w:colFirst="0" w:colLast="0" w:name="_heading=h.h0wiwtucbp1m" w:id="8"/>
      <w:bookmarkEnd w:id="8"/>
      <w:r w:rsidDel="00000000" w:rsidR="00000000" w:rsidRPr="00000000">
        <w:rPr>
          <w:rtl w:val="0"/>
        </w:rPr>
        <w:t xml:space="preserve">1.5 What every handoff summary must contain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40"/>
        <w:jc w:val="left"/>
        <w:rPr>
          <w:rFonts w:ascii="Arial" w:cs="Arial" w:eastAsia="Arial" w:hAnsi="Arial"/>
          <w:sz w:val="22"/>
          <w:szCs w:val="22"/>
        </w:rPr>
      </w:pPr>
      <w:r w:rsidDel="00000000" w:rsidR="00000000" w:rsidRPr="00000000">
        <w:rPr>
          <w:rFonts w:ascii="Arial" w:cs="Arial" w:eastAsia="Arial" w:hAnsi="Arial"/>
          <w:smallCaps w:val="0"/>
          <w:strike w:val="0"/>
          <w:sz w:val="22"/>
          <w:szCs w:val="22"/>
          <w:u w:val="none"/>
          <w:shd w:fill="auto" w:val="clear"/>
          <w:vertAlign w:val="baseline"/>
          <w:rtl w:val="0"/>
        </w:rPr>
        <w:t xml:space="preserve">The reported symptom in the user’s words.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40"/>
        <w:jc w:val="left"/>
        <w:rPr>
          <w:rFonts w:ascii="Arial" w:cs="Arial" w:eastAsia="Arial" w:hAnsi="Arial"/>
          <w:sz w:val="22"/>
          <w:szCs w:val="22"/>
        </w:rPr>
      </w:pPr>
      <w:r w:rsidDel="00000000" w:rsidR="00000000" w:rsidRPr="00000000">
        <w:rPr>
          <w:rFonts w:ascii="Arial" w:cs="Arial" w:eastAsia="Arial" w:hAnsi="Arial"/>
          <w:smallCaps w:val="0"/>
          <w:strike w:val="0"/>
          <w:sz w:val="22"/>
          <w:szCs w:val="22"/>
          <w:u w:val="none"/>
          <w:shd w:fill="auto" w:val="clear"/>
          <w:vertAlign w:val="baseline"/>
          <w:rtl w:val="0"/>
        </w:rPr>
        <w:t xml:space="preserve">Each category checked, in order, with the evidence for or against it.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40"/>
        <w:jc w:val="left"/>
        <w:rPr>
          <w:rFonts w:ascii="Arial" w:cs="Arial" w:eastAsia="Arial" w:hAnsi="Arial"/>
          <w:sz w:val="22"/>
          <w:szCs w:val="22"/>
        </w:rPr>
      </w:pPr>
      <w:r w:rsidDel="00000000" w:rsidR="00000000" w:rsidRPr="00000000">
        <w:rPr>
          <w:rFonts w:ascii="Arial" w:cs="Arial" w:eastAsia="Arial" w:hAnsi="Arial"/>
          <w:smallCaps w:val="0"/>
          <w:strike w:val="0"/>
          <w:sz w:val="22"/>
          <w:szCs w:val="22"/>
          <w:u w:val="none"/>
          <w:shd w:fill="auto" w:val="clear"/>
          <w:vertAlign w:val="baseline"/>
          <w:rtl w:val="0"/>
        </w:rPr>
        <w:t xml:space="preserve">What the evidence rules out, not only what it points to.</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40"/>
        <w:jc w:val="left"/>
        <w:rPr>
          <w:rFonts w:ascii="Arial" w:cs="Arial" w:eastAsia="Arial" w:hAnsi="Arial"/>
          <w:sz w:val="22"/>
          <w:szCs w:val="22"/>
        </w:rPr>
      </w:pPr>
      <w:r w:rsidDel="00000000" w:rsidR="00000000" w:rsidRPr="00000000">
        <w:rPr>
          <w:rFonts w:ascii="Arial" w:cs="Arial" w:eastAsia="Arial" w:hAnsi="Arial"/>
          <w:smallCaps w:val="0"/>
          <w:strike w:val="0"/>
          <w:sz w:val="22"/>
          <w:szCs w:val="22"/>
          <w:u w:val="none"/>
          <w:shd w:fill="auto" w:val="clear"/>
          <w:vertAlign w:val="baseline"/>
          <w:rtl w:val="0"/>
        </w:rPr>
        <w:t xml:space="preserve">The scope: who else is affected, who is not, and what was tested to establish that.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40"/>
        <w:jc w:val="left"/>
        <w:rPr>
          <w:rFonts w:ascii="Arial" w:cs="Arial" w:eastAsia="Arial" w:hAnsi="Arial"/>
          <w:sz w:val="22"/>
          <w:szCs w:val="22"/>
        </w:rPr>
      </w:pPr>
      <w:r w:rsidDel="00000000" w:rsidR="00000000" w:rsidRPr="00000000">
        <w:rPr>
          <w:rFonts w:ascii="Arial" w:cs="Arial" w:eastAsia="Arial" w:hAnsi="Arial"/>
          <w:smallCaps w:val="0"/>
          <w:strike w:val="0"/>
          <w:sz w:val="22"/>
          <w:szCs w:val="22"/>
          <w:u w:val="none"/>
          <w:shd w:fill="auto" w:val="clear"/>
          <w:vertAlign w:val="baseline"/>
          <w:rtl w:val="0"/>
        </w:rPr>
        <w:t xml:space="preserve">What Tier 1 has already done, so it is not repeated.</w:t>
      </w:r>
    </w:p>
    <w:p w:rsidR="00000000" w:rsidDel="00000000" w:rsidP="00000000" w:rsidRDefault="00000000" w:rsidRPr="00000000" w14:paraId="00000038">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rPr/>
      </w:pPr>
      <w:bookmarkStart w:colFirst="0" w:colLast="0" w:name="_heading=h.kyqux5bhuf7x" w:id="9"/>
      <w:bookmarkEnd w:id="9"/>
      <w:r w:rsidDel="00000000" w:rsidR="00000000" w:rsidRPr="00000000">
        <w:rPr>
          <w:rtl w:val="0"/>
        </w:rPr>
        <w:t xml:space="preserve">CASE-01—Scanned consent forms will not open from Epic</w:t>
      </w:r>
    </w:p>
    <w:tbl>
      <w:tblPr>
        <w:tblStyle w:val="Table6"/>
        <w:tblW w:w="936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A">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Case ID</w:t>
            </w:r>
          </w:p>
        </w:tc>
        <w:tc>
          <w:tcPr>
            <w:tcMar>
              <w:top w:w="80.0" w:type="dxa"/>
              <w:left w:w="120.0" w:type="dxa"/>
              <w:bottom w:w="80.0" w:type="dxa"/>
              <w:right w:w="120.0" w:type="dxa"/>
            </w:tcMar>
          </w:tcPr>
          <w:p w:rsidR="00000000" w:rsidDel="00000000" w:rsidP="00000000" w:rsidRDefault="00000000" w:rsidRPr="00000000" w14:paraId="0000003B">
            <w:pPr>
              <w:spacing w:after="40" w:before="40" w:lineRule="auto"/>
              <w:rPr>
                <w:rFonts w:ascii="Arial" w:cs="Arial" w:eastAsia="Arial" w:hAnsi="Arial"/>
                <w:sz w:val="22"/>
                <w:szCs w:val="22"/>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C">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Reported symptom, in the user’s words</w:t>
            </w:r>
          </w:p>
        </w:tc>
        <w:tc>
          <w:tcPr>
            <w:tcMar>
              <w:top w:w="80.0" w:type="dxa"/>
              <w:left w:w="120.0" w:type="dxa"/>
              <w:bottom w:w="80.0" w:type="dxa"/>
              <w:right w:w="120.0" w:type="dxa"/>
            </w:tcMar>
          </w:tcPr>
          <w:p w:rsidR="00000000" w:rsidDel="00000000" w:rsidP="00000000" w:rsidRDefault="00000000" w:rsidRPr="00000000" w14:paraId="0000003D">
            <w:pPr>
              <w:spacing w:after="160" w:lineRule="auto"/>
              <w:rPr>
                <w:rFonts w:ascii="Arial" w:cs="Arial" w:eastAsia="Arial" w:hAnsi="Arial"/>
                <w:sz w:val="22"/>
                <w:szCs w:val="22"/>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E">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Role affected</w:t>
            </w:r>
          </w:p>
        </w:tc>
        <w:tc>
          <w:tcPr>
            <w:tcMar>
              <w:top w:w="80.0" w:type="dxa"/>
              <w:left w:w="120.0" w:type="dxa"/>
              <w:bottom w:w="80.0" w:type="dxa"/>
              <w:right w:w="120.0" w:type="dxa"/>
            </w:tcMar>
          </w:tcPr>
          <w:p w:rsidR="00000000" w:rsidDel="00000000" w:rsidP="00000000" w:rsidRDefault="00000000" w:rsidRPr="00000000" w14:paraId="0000003F">
            <w:pPr>
              <w:spacing w:after="40" w:before="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40">
      <w:pPr>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Evaluate each category in order</w:t>
      </w:r>
    </w:p>
    <w:tbl>
      <w:tblPr>
        <w:tblStyle w:val="Table7"/>
        <w:tblW w:w="936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100"/>
        <w:gridCol w:w="4260"/>
        <w:gridCol w:w="3000"/>
        <w:tblGridChange w:id="0">
          <w:tblGrid>
            <w:gridCol w:w="2100"/>
            <w:gridCol w:w="4260"/>
            <w:gridCol w:w="3000"/>
          </w:tblGrid>
        </w:tblGridChange>
      </w:tblGrid>
      <w:tr>
        <w:trPr>
          <w:cantSplit w:val="0"/>
          <w:tblHeader w:val="1"/>
        </w:trPr>
        <w:tc>
          <w:tcPr>
            <w:shd w:fill="d9e2f3" w:val="clear"/>
            <w:tcMar>
              <w:top w:w="80.0" w:type="dxa"/>
              <w:left w:w="120.0" w:type="dxa"/>
              <w:bottom w:w="80.0" w:type="dxa"/>
              <w:right w:w="120.0" w:type="dxa"/>
            </w:tcMar>
          </w:tcPr>
          <w:p w:rsidR="00000000" w:rsidDel="00000000" w:rsidP="00000000" w:rsidRDefault="00000000" w:rsidRPr="00000000" w14:paraId="00000042">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Category</w:t>
            </w:r>
          </w:p>
        </w:tc>
        <w:tc>
          <w:tcPr>
            <w:shd w:fill="d9e2f3" w:val="clear"/>
            <w:tcMar>
              <w:top w:w="80.0" w:type="dxa"/>
              <w:left w:w="120.0" w:type="dxa"/>
              <w:bottom w:w="80.0" w:type="dxa"/>
              <w:right w:w="120.0" w:type="dxa"/>
            </w:tcMar>
          </w:tcPr>
          <w:p w:rsidR="00000000" w:rsidDel="00000000" w:rsidP="00000000" w:rsidRDefault="00000000" w:rsidRPr="00000000" w14:paraId="00000043">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Evidence observed (cite the observation number)</w:t>
            </w:r>
          </w:p>
        </w:tc>
        <w:tc>
          <w:tcPr>
            <w:shd w:fill="d9e2f3" w:val="clear"/>
            <w:tcMar>
              <w:top w:w="80.0" w:type="dxa"/>
              <w:left w:w="120.0" w:type="dxa"/>
              <w:bottom w:w="80.0" w:type="dxa"/>
              <w:right w:w="120.0" w:type="dxa"/>
            </w:tcMar>
          </w:tcPr>
          <w:p w:rsidR="00000000" w:rsidDel="00000000" w:rsidP="00000000" w:rsidRDefault="00000000" w:rsidRPr="00000000" w14:paraId="00000044">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Supports / rules out / no evidence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1—Identity</w:t>
            </w:r>
          </w:p>
        </w:tc>
        <w:tc>
          <w:tcPr>
            <w:tcMar>
              <w:top w:w="80.0" w:type="dxa"/>
              <w:left w:w="120.0" w:type="dxa"/>
              <w:bottom w:w="80.0" w:type="dxa"/>
              <w:right w:w="120.0" w:type="dxa"/>
            </w:tcMar>
          </w:tcPr>
          <w:p w:rsidR="00000000" w:rsidDel="00000000" w:rsidP="00000000" w:rsidRDefault="00000000" w:rsidRPr="00000000" w14:paraId="00000046">
            <w:pPr>
              <w:spacing w:after="200" w:lineRule="auto"/>
              <w:rPr>
                <w:rFonts w:ascii="Arial" w:cs="Arial" w:eastAsia="Arial" w:hAnsi="Arial"/>
                <w:sz w:val="22"/>
                <w:szCs w:val="22"/>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7">
            <w:pPr>
              <w:spacing w:after="200" w:lineRule="auto"/>
              <w:rPr>
                <w:rFonts w:ascii="Arial" w:cs="Arial" w:eastAsia="Arial" w:hAnsi="Arial"/>
                <w:sz w:val="22"/>
                <w:szCs w:val="22"/>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8">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2—Messaging</w:t>
            </w:r>
          </w:p>
        </w:tc>
        <w:tc>
          <w:tcPr>
            <w:tcMar>
              <w:top w:w="80.0" w:type="dxa"/>
              <w:left w:w="120.0" w:type="dxa"/>
              <w:bottom w:w="80.0" w:type="dxa"/>
              <w:right w:w="120.0" w:type="dxa"/>
            </w:tcMar>
          </w:tcPr>
          <w:p w:rsidR="00000000" w:rsidDel="00000000" w:rsidP="00000000" w:rsidRDefault="00000000" w:rsidRPr="00000000" w14:paraId="00000049">
            <w:pPr>
              <w:spacing w:after="200" w:lineRule="auto"/>
              <w:rPr>
                <w:rFonts w:ascii="Arial" w:cs="Arial" w:eastAsia="Arial" w:hAnsi="Arial"/>
                <w:sz w:val="22"/>
                <w:szCs w:val="22"/>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A">
            <w:pPr>
              <w:spacing w:after="200" w:lineRule="auto"/>
              <w:rPr>
                <w:rFonts w:ascii="Arial" w:cs="Arial" w:eastAsia="Arial" w:hAnsi="Arial"/>
                <w:sz w:val="22"/>
                <w:szCs w:val="22"/>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3—File access</w:t>
            </w:r>
          </w:p>
        </w:tc>
        <w:tc>
          <w:tcPr>
            <w:tcMar>
              <w:top w:w="80.0" w:type="dxa"/>
              <w:left w:w="120.0" w:type="dxa"/>
              <w:bottom w:w="80.0" w:type="dxa"/>
              <w:right w:w="120.0" w:type="dxa"/>
            </w:tcMar>
          </w:tcPr>
          <w:p w:rsidR="00000000" w:rsidDel="00000000" w:rsidP="00000000" w:rsidRDefault="00000000" w:rsidRPr="00000000" w14:paraId="0000004C">
            <w:pPr>
              <w:spacing w:after="200" w:lineRule="auto"/>
              <w:rPr>
                <w:rFonts w:ascii="Arial" w:cs="Arial" w:eastAsia="Arial" w:hAnsi="Arial"/>
                <w:sz w:val="22"/>
                <w:szCs w:val="22"/>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D">
            <w:pPr>
              <w:spacing w:after="200" w:lineRule="auto"/>
              <w:rPr>
                <w:rFonts w:ascii="Arial" w:cs="Arial" w:eastAsia="Arial" w:hAnsi="Arial"/>
                <w:sz w:val="22"/>
                <w:szCs w:val="22"/>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E">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4—Clinical system availability</w:t>
            </w:r>
          </w:p>
        </w:tc>
        <w:tc>
          <w:tcPr>
            <w:tcMar>
              <w:top w:w="80.0" w:type="dxa"/>
              <w:left w:w="120.0" w:type="dxa"/>
              <w:bottom w:w="80.0" w:type="dxa"/>
              <w:right w:w="120.0" w:type="dxa"/>
            </w:tcMar>
          </w:tcPr>
          <w:p w:rsidR="00000000" w:rsidDel="00000000" w:rsidP="00000000" w:rsidRDefault="00000000" w:rsidRPr="00000000" w14:paraId="0000004F">
            <w:pPr>
              <w:spacing w:after="200" w:lineRule="auto"/>
              <w:rPr>
                <w:rFonts w:ascii="Arial" w:cs="Arial" w:eastAsia="Arial" w:hAnsi="Arial"/>
                <w:sz w:val="22"/>
                <w:szCs w:val="22"/>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0">
            <w:pPr>
              <w:spacing w:after="20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51">
      <w:pPr>
        <w:spacing w:after="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2">
      <w:pPr>
        <w:rPr>
          <w:rFonts w:ascii="Arial" w:cs="Arial" w:eastAsia="Arial" w:hAnsi="Arial"/>
          <w:sz w:val="22"/>
          <w:szCs w:val="22"/>
        </w:rPr>
      </w:pPr>
      <w:r w:rsidDel="00000000" w:rsidR="00000000" w:rsidRPr="00000000">
        <w:rPr>
          <w:rFonts w:ascii="Arial" w:cs="Arial" w:eastAsia="Arial" w:hAnsi="Arial"/>
          <w:sz w:val="22"/>
          <w:szCs w:val="22"/>
          <w:rtl w:val="0"/>
        </w:rPr>
        <w:t xml:space="preserve">Identity is evaluated first because it sits upstream of the other three. Record every category, including those you rule out—ruling out is evidence.</w:t>
      </w:r>
    </w:p>
    <w:p w:rsidR="00000000" w:rsidDel="00000000" w:rsidP="00000000" w:rsidRDefault="00000000" w:rsidRPr="00000000" w14:paraId="00000053">
      <w:pPr>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t xml:space="preserve">Traced dependency</w:t>
      </w:r>
    </w:p>
    <w:tbl>
      <w:tblPr>
        <w:tblStyle w:val="Table8"/>
        <w:tblW w:w="936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Most likely upstream dependency</w:t>
            </w:r>
          </w:p>
        </w:tc>
        <w:tc>
          <w:tcPr>
            <w:tcMar>
              <w:top w:w="80.0" w:type="dxa"/>
              <w:left w:w="120.0" w:type="dxa"/>
              <w:bottom w:w="80.0" w:type="dxa"/>
              <w:right w:w="120.0" w:type="dxa"/>
            </w:tcMar>
          </w:tcPr>
          <w:p w:rsidR="00000000" w:rsidDel="00000000" w:rsidP="00000000" w:rsidRDefault="00000000" w:rsidRPr="00000000" w14:paraId="00000056">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Identity     ☐  Messaging     ☐  File access     ☐  Clinical system availability</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7">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Which side of the boundary</w:t>
            </w:r>
          </w:p>
        </w:tc>
        <w:tc>
          <w:tcPr>
            <w:tcMar>
              <w:top w:w="80.0" w:type="dxa"/>
              <w:left w:w="120.0" w:type="dxa"/>
              <w:bottom w:w="80.0" w:type="dxa"/>
              <w:right w:w="120.0" w:type="dxa"/>
            </w:tcMar>
          </w:tcPr>
          <w:p w:rsidR="00000000" w:rsidDel="00000000" w:rsidP="00000000" w:rsidRDefault="00000000" w:rsidRPr="00000000" w14:paraId="00000058">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Microsoft 365 side     ☐  Clinical application side     ☐  Upstream of both</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9">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 the evidence rules out</w:t>
            </w:r>
          </w:p>
        </w:tc>
        <w:tc>
          <w:tcPr>
            <w:tcMar>
              <w:top w:w="80.0" w:type="dxa"/>
              <w:left w:w="120.0" w:type="dxa"/>
              <w:bottom w:w="80.0" w:type="dxa"/>
              <w:right w:w="120.0" w:type="dxa"/>
            </w:tcMar>
          </w:tcPr>
          <w:p w:rsidR="00000000" w:rsidDel="00000000" w:rsidP="00000000" w:rsidRDefault="00000000" w:rsidRPr="00000000" w14:paraId="0000005A">
            <w:pPr>
              <w:spacing w:after="160" w:lineRule="auto"/>
              <w:rPr>
                <w:rFonts w:ascii="Arial" w:cs="Arial" w:eastAsia="Arial" w:hAnsi="Arial"/>
                <w:sz w:val="22"/>
                <w:szCs w:val="22"/>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Confidence, and what would change it</w:t>
            </w:r>
          </w:p>
        </w:tc>
        <w:tc>
          <w:tcPr>
            <w:tcMar>
              <w:top w:w="80.0" w:type="dxa"/>
              <w:left w:w="120.0" w:type="dxa"/>
              <w:bottom w:w="80.0" w:type="dxa"/>
              <w:right w:w="120.0" w:type="dxa"/>
            </w:tcMar>
          </w:tcPr>
          <w:p w:rsidR="00000000" w:rsidDel="00000000" w:rsidP="00000000" w:rsidRDefault="00000000" w:rsidRPr="00000000" w14:paraId="0000005C">
            <w:pPr>
              <w:spacing w:after="16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5D">
      <w:pPr>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Handoff</w:t>
      </w:r>
    </w:p>
    <w:tbl>
      <w:tblPr>
        <w:tblStyle w:val="Table9"/>
        <w:tblW w:w="936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F">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Warm-transfer to</w:t>
            </w:r>
          </w:p>
        </w:tc>
        <w:tc>
          <w:tcPr>
            <w:tcMar>
              <w:top w:w="80.0" w:type="dxa"/>
              <w:left w:w="120.0" w:type="dxa"/>
              <w:bottom w:w="80.0" w:type="dxa"/>
              <w:right w:w="120.0" w:type="dxa"/>
            </w:tcMar>
          </w:tcPr>
          <w:p w:rsidR="00000000" w:rsidDel="00000000" w:rsidP="00000000" w:rsidRDefault="00000000" w:rsidRPr="00000000" w14:paraId="00000060">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Identity Administrators     ☐  M365 Admin Team☐  Azure Engineering     ☐  Epic Analyst team</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1">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Handoff summary—must state the observed dependency chain: what was checked, what the evidence showed, what it ruled out</w:t>
            </w:r>
          </w:p>
        </w:tc>
        <w:tc>
          <w:tcPr>
            <w:tcMar>
              <w:top w:w="80.0" w:type="dxa"/>
              <w:left w:w="120.0" w:type="dxa"/>
              <w:bottom w:w="80.0" w:type="dxa"/>
              <w:right w:w="120.0" w:type="dxa"/>
            </w:tcMar>
          </w:tcPr>
          <w:p w:rsidR="00000000" w:rsidDel="00000000" w:rsidP="00000000" w:rsidRDefault="00000000" w:rsidRPr="00000000" w14:paraId="00000062">
            <w:pPr>
              <w:spacing w:after="520" w:lineRule="auto"/>
              <w:rPr>
                <w:rFonts w:ascii="Arial" w:cs="Arial" w:eastAsia="Arial" w:hAnsi="Arial"/>
                <w:sz w:val="22"/>
                <w:szCs w:val="22"/>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3">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Flagged to team lead</w:t>
            </w:r>
          </w:p>
        </w:tc>
        <w:tc>
          <w:tcPr>
            <w:tcMar>
              <w:top w:w="80.0" w:type="dxa"/>
              <w:left w:w="120.0" w:type="dxa"/>
              <w:bottom w:w="80.0" w:type="dxa"/>
              <w:right w:w="120.0" w:type="dxa"/>
            </w:tcMar>
          </w:tcPr>
          <w:p w:rsidR="00000000" w:rsidDel="00000000" w:rsidP="00000000" w:rsidRDefault="00000000" w:rsidRPr="00000000" w14:paraId="00000064">
            <w:pPr>
              <w:spacing w:after="1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5">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2"/>
        <w:rPr/>
      </w:pPr>
      <w:bookmarkStart w:colFirst="0" w:colLast="0" w:name="_heading=h.2jcqgjnr1x23" w:id="10"/>
      <w:bookmarkEnd w:id="10"/>
      <w:r w:rsidDel="00000000" w:rsidR="00000000" w:rsidRPr="00000000">
        <w:rPr>
          <w:rtl w:val="0"/>
        </w:rPr>
        <w:t xml:space="preserve">CASE-02—Error saving a note, one department only</w:t>
      </w:r>
    </w:p>
    <w:tbl>
      <w:tblPr>
        <w:tblStyle w:val="Table10"/>
        <w:tblW w:w="936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7">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Case ID</w:t>
            </w:r>
          </w:p>
        </w:tc>
        <w:tc>
          <w:tcPr>
            <w:tcMar>
              <w:top w:w="80.0" w:type="dxa"/>
              <w:left w:w="120.0" w:type="dxa"/>
              <w:bottom w:w="80.0" w:type="dxa"/>
              <w:right w:w="120.0" w:type="dxa"/>
            </w:tcMar>
          </w:tcPr>
          <w:p w:rsidR="00000000" w:rsidDel="00000000" w:rsidP="00000000" w:rsidRDefault="00000000" w:rsidRPr="00000000" w14:paraId="00000068">
            <w:pPr>
              <w:spacing w:after="40" w:before="40" w:lineRule="auto"/>
              <w:rPr>
                <w:rFonts w:ascii="Arial" w:cs="Arial" w:eastAsia="Arial" w:hAnsi="Arial"/>
                <w:sz w:val="22"/>
                <w:szCs w:val="22"/>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9">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Reported symptom, in the user’s words</w:t>
            </w:r>
          </w:p>
        </w:tc>
        <w:tc>
          <w:tcPr>
            <w:tcMar>
              <w:top w:w="80.0" w:type="dxa"/>
              <w:left w:w="120.0" w:type="dxa"/>
              <w:bottom w:w="80.0" w:type="dxa"/>
              <w:right w:w="120.0" w:type="dxa"/>
            </w:tcMar>
          </w:tcPr>
          <w:p w:rsidR="00000000" w:rsidDel="00000000" w:rsidP="00000000" w:rsidRDefault="00000000" w:rsidRPr="00000000" w14:paraId="0000006A">
            <w:pPr>
              <w:spacing w:after="160" w:lineRule="auto"/>
              <w:rPr>
                <w:rFonts w:ascii="Arial" w:cs="Arial" w:eastAsia="Arial" w:hAnsi="Arial"/>
                <w:sz w:val="22"/>
                <w:szCs w:val="22"/>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Role affected</w:t>
            </w:r>
          </w:p>
        </w:tc>
        <w:tc>
          <w:tcPr>
            <w:tcMar>
              <w:top w:w="80.0" w:type="dxa"/>
              <w:left w:w="120.0" w:type="dxa"/>
              <w:bottom w:w="80.0" w:type="dxa"/>
              <w:right w:w="120.0" w:type="dxa"/>
            </w:tcMar>
          </w:tcPr>
          <w:p w:rsidR="00000000" w:rsidDel="00000000" w:rsidP="00000000" w:rsidRDefault="00000000" w:rsidRPr="00000000" w14:paraId="0000006C">
            <w:pPr>
              <w:spacing w:after="40" w:before="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D">
      <w:pPr>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Evaluate each category in order</w:t>
      </w:r>
    </w:p>
    <w:tbl>
      <w:tblPr>
        <w:tblStyle w:val="Table11"/>
        <w:tblW w:w="936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100"/>
        <w:gridCol w:w="4260"/>
        <w:gridCol w:w="3000"/>
        <w:tblGridChange w:id="0">
          <w:tblGrid>
            <w:gridCol w:w="2100"/>
            <w:gridCol w:w="4260"/>
            <w:gridCol w:w="3000"/>
          </w:tblGrid>
        </w:tblGridChange>
      </w:tblGrid>
      <w:tr>
        <w:trPr>
          <w:cantSplit w:val="0"/>
          <w:tblHeader w:val="1"/>
        </w:trPr>
        <w:tc>
          <w:tcPr>
            <w:shd w:fill="d9e2f3" w:val="clear"/>
            <w:tcMar>
              <w:top w:w="80.0" w:type="dxa"/>
              <w:left w:w="120.0" w:type="dxa"/>
              <w:bottom w:w="80.0" w:type="dxa"/>
              <w:right w:w="120.0" w:type="dxa"/>
            </w:tcMar>
          </w:tcPr>
          <w:p w:rsidR="00000000" w:rsidDel="00000000" w:rsidP="00000000" w:rsidRDefault="00000000" w:rsidRPr="00000000" w14:paraId="0000006F">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Category</w:t>
            </w:r>
          </w:p>
        </w:tc>
        <w:tc>
          <w:tcPr>
            <w:shd w:fill="d9e2f3" w:val="clear"/>
            <w:tcMar>
              <w:top w:w="80.0" w:type="dxa"/>
              <w:left w:w="120.0" w:type="dxa"/>
              <w:bottom w:w="80.0" w:type="dxa"/>
              <w:right w:w="120.0" w:type="dxa"/>
            </w:tcMar>
          </w:tcPr>
          <w:p w:rsidR="00000000" w:rsidDel="00000000" w:rsidP="00000000" w:rsidRDefault="00000000" w:rsidRPr="00000000" w14:paraId="00000070">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Evidence observed (cite the observation number)</w:t>
            </w:r>
          </w:p>
        </w:tc>
        <w:tc>
          <w:tcPr>
            <w:shd w:fill="d9e2f3" w:val="clear"/>
            <w:tcMar>
              <w:top w:w="80.0" w:type="dxa"/>
              <w:left w:w="120.0" w:type="dxa"/>
              <w:bottom w:w="80.0" w:type="dxa"/>
              <w:right w:w="120.0" w:type="dxa"/>
            </w:tcMar>
          </w:tcPr>
          <w:p w:rsidR="00000000" w:rsidDel="00000000" w:rsidP="00000000" w:rsidRDefault="00000000" w:rsidRPr="00000000" w14:paraId="00000071">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Supports / rules out / no evidence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2">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1—Identity</w:t>
            </w:r>
          </w:p>
        </w:tc>
        <w:tc>
          <w:tcPr>
            <w:tcMar>
              <w:top w:w="80.0" w:type="dxa"/>
              <w:left w:w="120.0" w:type="dxa"/>
              <w:bottom w:w="80.0" w:type="dxa"/>
              <w:right w:w="120.0" w:type="dxa"/>
            </w:tcMar>
          </w:tcPr>
          <w:p w:rsidR="00000000" w:rsidDel="00000000" w:rsidP="00000000" w:rsidRDefault="00000000" w:rsidRPr="00000000" w14:paraId="00000073">
            <w:pPr>
              <w:spacing w:after="200" w:lineRule="auto"/>
              <w:rPr>
                <w:rFonts w:ascii="Arial" w:cs="Arial" w:eastAsia="Arial" w:hAnsi="Arial"/>
                <w:sz w:val="22"/>
                <w:szCs w:val="22"/>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4">
            <w:pPr>
              <w:spacing w:after="200" w:lineRule="auto"/>
              <w:rPr>
                <w:rFonts w:ascii="Arial" w:cs="Arial" w:eastAsia="Arial" w:hAnsi="Arial"/>
                <w:sz w:val="22"/>
                <w:szCs w:val="22"/>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2—Messaging</w:t>
            </w:r>
          </w:p>
        </w:tc>
        <w:tc>
          <w:tcPr>
            <w:tcMar>
              <w:top w:w="80.0" w:type="dxa"/>
              <w:left w:w="120.0" w:type="dxa"/>
              <w:bottom w:w="80.0" w:type="dxa"/>
              <w:right w:w="120.0" w:type="dxa"/>
            </w:tcMar>
          </w:tcPr>
          <w:p w:rsidR="00000000" w:rsidDel="00000000" w:rsidP="00000000" w:rsidRDefault="00000000" w:rsidRPr="00000000" w14:paraId="00000076">
            <w:pPr>
              <w:spacing w:after="200" w:lineRule="auto"/>
              <w:rPr>
                <w:rFonts w:ascii="Arial" w:cs="Arial" w:eastAsia="Arial" w:hAnsi="Arial"/>
                <w:sz w:val="22"/>
                <w:szCs w:val="22"/>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7">
            <w:pPr>
              <w:spacing w:after="200" w:lineRule="auto"/>
              <w:rPr>
                <w:rFonts w:ascii="Arial" w:cs="Arial" w:eastAsia="Arial" w:hAnsi="Arial"/>
                <w:sz w:val="22"/>
                <w:szCs w:val="22"/>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8">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3—File access</w:t>
            </w:r>
          </w:p>
        </w:tc>
        <w:tc>
          <w:tcPr>
            <w:tcMar>
              <w:top w:w="80.0" w:type="dxa"/>
              <w:left w:w="120.0" w:type="dxa"/>
              <w:bottom w:w="80.0" w:type="dxa"/>
              <w:right w:w="120.0" w:type="dxa"/>
            </w:tcMar>
          </w:tcPr>
          <w:p w:rsidR="00000000" w:rsidDel="00000000" w:rsidP="00000000" w:rsidRDefault="00000000" w:rsidRPr="00000000" w14:paraId="00000079">
            <w:pPr>
              <w:spacing w:after="200" w:lineRule="auto"/>
              <w:rPr>
                <w:rFonts w:ascii="Arial" w:cs="Arial" w:eastAsia="Arial" w:hAnsi="Arial"/>
                <w:sz w:val="22"/>
                <w:szCs w:val="22"/>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A">
            <w:pPr>
              <w:spacing w:after="200" w:lineRule="auto"/>
              <w:rPr>
                <w:rFonts w:ascii="Arial" w:cs="Arial" w:eastAsia="Arial" w:hAnsi="Arial"/>
                <w:sz w:val="22"/>
                <w:szCs w:val="22"/>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4—Clinical system availability</w:t>
            </w:r>
          </w:p>
        </w:tc>
        <w:tc>
          <w:tcPr>
            <w:tcMar>
              <w:top w:w="80.0" w:type="dxa"/>
              <w:left w:w="120.0" w:type="dxa"/>
              <w:bottom w:w="80.0" w:type="dxa"/>
              <w:right w:w="120.0" w:type="dxa"/>
            </w:tcMar>
          </w:tcPr>
          <w:p w:rsidR="00000000" w:rsidDel="00000000" w:rsidP="00000000" w:rsidRDefault="00000000" w:rsidRPr="00000000" w14:paraId="0000007C">
            <w:pPr>
              <w:spacing w:after="200" w:lineRule="auto"/>
              <w:rPr>
                <w:rFonts w:ascii="Arial" w:cs="Arial" w:eastAsia="Arial" w:hAnsi="Arial"/>
                <w:sz w:val="22"/>
                <w:szCs w:val="22"/>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D">
            <w:pPr>
              <w:spacing w:after="20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7E">
      <w:pPr>
        <w:spacing w:after="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F">
      <w:pPr>
        <w:rPr>
          <w:rFonts w:ascii="Arial" w:cs="Arial" w:eastAsia="Arial" w:hAnsi="Arial"/>
          <w:sz w:val="22"/>
          <w:szCs w:val="22"/>
        </w:rPr>
      </w:pPr>
      <w:r w:rsidDel="00000000" w:rsidR="00000000" w:rsidRPr="00000000">
        <w:rPr>
          <w:rFonts w:ascii="Arial" w:cs="Arial" w:eastAsia="Arial" w:hAnsi="Arial"/>
          <w:sz w:val="22"/>
          <w:szCs w:val="22"/>
          <w:rtl w:val="0"/>
        </w:rPr>
        <w:t xml:space="preserve">Identity is evaluated first because it sits upstream of the other three. Record every category, including those you rule out—ruling out is evidence.</w:t>
      </w:r>
    </w:p>
    <w:p w:rsidR="00000000" w:rsidDel="00000000" w:rsidP="00000000" w:rsidRDefault="00000000" w:rsidRPr="00000000" w14:paraId="00000080">
      <w:pPr>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Traced dependency</w:t>
      </w:r>
    </w:p>
    <w:tbl>
      <w:tblPr>
        <w:tblStyle w:val="Table12"/>
        <w:tblW w:w="936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2">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Most likely upstream dependency</w:t>
            </w:r>
          </w:p>
        </w:tc>
        <w:tc>
          <w:tcPr>
            <w:tcMar>
              <w:top w:w="80.0" w:type="dxa"/>
              <w:left w:w="120.0" w:type="dxa"/>
              <w:bottom w:w="80.0" w:type="dxa"/>
              <w:right w:w="120.0" w:type="dxa"/>
            </w:tcMar>
          </w:tcPr>
          <w:p w:rsidR="00000000" w:rsidDel="00000000" w:rsidP="00000000" w:rsidRDefault="00000000" w:rsidRPr="00000000" w14:paraId="00000083">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Identity     ☐  Messaging     ☐  File access     ☐  Clinical system availability</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4">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Which side of the boundary</w:t>
            </w:r>
          </w:p>
        </w:tc>
        <w:tc>
          <w:tcPr>
            <w:tcMar>
              <w:top w:w="80.0" w:type="dxa"/>
              <w:left w:w="120.0" w:type="dxa"/>
              <w:bottom w:w="80.0" w:type="dxa"/>
              <w:right w:w="120.0" w:type="dxa"/>
            </w:tcMar>
          </w:tcPr>
          <w:p w:rsidR="00000000" w:rsidDel="00000000" w:rsidP="00000000" w:rsidRDefault="00000000" w:rsidRPr="00000000" w14:paraId="0000008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Microsoft 365 side     ☐  Clinical application side     ☐  Upstream of both</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6">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 the evidence rules out</w:t>
            </w:r>
          </w:p>
        </w:tc>
        <w:tc>
          <w:tcPr>
            <w:tcMar>
              <w:top w:w="80.0" w:type="dxa"/>
              <w:left w:w="120.0" w:type="dxa"/>
              <w:bottom w:w="80.0" w:type="dxa"/>
              <w:right w:w="120.0" w:type="dxa"/>
            </w:tcMar>
          </w:tcPr>
          <w:p w:rsidR="00000000" w:rsidDel="00000000" w:rsidP="00000000" w:rsidRDefault="00000000" w:rsidRPr="00000000" w14:paraId="00000087">
            <w:pPr>
              <w:spacing w:after="160" w:lineRule="auto"/>
              <w:rPr>
                <w:rFonts w:ascii="Arial" w:cs="Arial" w:eastAsia="Arial" w:hAnsi="Arial"/>
                <w:sz w:val="22"/>
                <w:szCs w:val="22"/>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8">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Confidence, and what would change it</w:t>
            </w:r>
          </w:p>
        </w:tc>
        <w:tc>
          <w:tcPr>
            <w:tcMar>
              <w:top w:w="80.0" w:type="dxa"/>
              <w:left w:w="120.0" w:type="dxa"/>
              <w:bottom w:w="80.0" w:type="dxa"/>
              <w:right w:w="120.0" w:type="dxa"/>
            </w:tcMar>
          </w:tcPr>
          <w:p w:rsidR="00000000" w:rsidDel="00000000" w:rsidP="00000000" w:rsidRDefault="00000000" w:rsidRPr="00000000" w14:paraId="00000089">
            <w:pPr>
              <w:spacing w:after="16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8A">
      <w:pPr>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t xml:space="preserve">Handoff</w:t>
      </w:r>
    </w:p>
    <w:tbl>
      <w:tblPr>
        <w:tblStyle w:val="Table13"/>
        <w:tblW w:w="936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C">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Warm-transfer to</w:t>
            </w:r>
          </w:p>
        </w:tc>
        <w:tc>
          <w:tcPr>
            <w:tcMar>
              <w:top w:w="80.0" w:type="dxa"/>
              <w:left w:w="120.0" w:type="dxa"/>
              <w:bottom w:w="80.0" w:type="dxa"/>
              <w:right w:w="120.0" w:type="dxa"/>
            </w:tcMar>
          </w:tcPr>
          <w:p w:rsidR="00000000" w:rsidDel="00000000" w:rsidP="00000000" w:rsidRDefault="00000000" w:rsidRPr="00000000" w14:paraId="0000008D">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Identity Administrators     ☐  M365 Admin Team☐  Azure Engineering     ☐  Epic Analyst team</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E">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Handoff summary—must state the observed dependency chain: what was checked, what the evidence showed, what it ruled out</w:t>
            </w:r>
          </w:p>
        </w:tc>
        <w:tc>
          <w:tcPr>
            <w:tcMar>
              <w:top w:w="80.0" w:type="dxa"/>
              <w:left w:w="120.0" w:type="dxa"/>
              <w:bottom w:w="80.0" w:type="dxa"/>
              <w:right w:w="120.0" w:type="dxa"/>
            </w:tcMar>
          </w:tcPr>
          <w:p w:rsidR="00000000" w:rsidDel="00000000" w:rsidP="00000000" w:rsidRDefault="00000000" w:rsidRPr="00000000" w14:paraId="0000008F">
            <w:pPr>
              <w:spacing w:after="520" w:lineRule="auto"/>
              <w:rPr>
                <w:rFonts w:ascii="Arial" w:cs="Arial" w:eastAsia="Arial" w:hAnsi="Arial"/>
                <w:sz w:val="22"/>
                <w:szCs w:val="22"/>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90">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Flagged to team lead</w:t>
            </w:r>
          </w:p>
        </w:tc>
        <w:tc>
          <w:tcPr>
            <w:tcMar>
              <w:top w:w="80.0" w:type="dxa"/>
              <w:left w:w="120.0" w:type="dxa"/>
              <w:bottom w:w="80.0" w:type="dxa"/>
              <w:right w:w="120.0" w:type="dxa"/>
            </w:tcMar>
          </w:tcPr>
          <w:p w:rsidR="00000000" w:rsidDel="00000000" w:rsidP="00000000" w:rsidRDefault="00000000" w:rsidRPr="00000000" w14:paraId="00000091">
            <w:pPr>
              <w:spacing w:after="1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92">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2"/>
        <w:rPr/>
      </w:pPr>
      <w:bookmarkStart w:colFirst="0" w:colLast="0" w:name="_heading=h.29mc5jr4ewk9" w:id="11"/>
      <w:bookmarkEnd w:id="11"/>
      <w:r w:rsidDel="00000000" w:rsidR="00000000" w:rsidRPr="00000000">
        <w:rPr>
          <w:rtl w:val="0"/>
        </w:rPr>
        <w:t xml:space="preserve">CASE-03—New hire cannot reach Epic or the unit site</w:t>
      </w:r>
    </w:p>
    <w:tbl>
      <w:tblPr>
        <w:tblStyle w:val="Table14"/>
        <w:tblW w:w="936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94">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Case ID</w:t>
            </w:r>
          </w:p>
        </w:tc>
        <w:tc>
          <w:tcPr>
            <w:tcMar>
              <w:top w:w="80.0" w:type="dxa"/>
              <w:left w:w="120.0" w:type="dxa"/>
              <w:bottom w:w="80.0" w:type="dxa"/>
              <w:right w:w="120.0" w:type="dxa"/>
            </w:tcMar>
          </w:tcPr>
          <w:p w:rsidR="00000000" w:rsidDel="00000000" w:rsidP="00000000" w:rsidRDefault="00000000" w:rsidRPr="00000000" w14:paraId="00000095">
            <w:pPr>
              <w:spacing w:after="40" w:before="40" w:lineRule="auto"/>
              <w:rPr>
                <w:rFonts w:ascii="Arial" w:cs="Arial" w:eastAsia="Arial" w:hAnsi="Arial"/>
                <w:sz w:val="22"/>
                <w:szCs w:val="22"/>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96">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Reported symptom, in the user’s words</w:t>
            </w:r>
          </w:p>
        </w:tc>
        <w:tc>
          <w:tcPr>
            <w:tcMar>
              <w:top w:w="80.0" w:type="dxa"/>
              <w:left w:w="120.0" w:type="dxa"/>
              <w:bottom w:w="80.0" w:type="dxa"/>
              <w:right w:w="120.0" w:type="dxa"/>
            </w:tcMar>
          </w:tcPr>
          <w:p w:rsidR="00000000" w:rsidDel="00000000" w:rsidP="00000000" w:rsidRDefault="00000000" w:rsidRPr="00000000" w14:paraId="00000097">
            <w:pPr>
              <w:spacing w:after="160" w:lineRule="auto"/>
              <w:rPr>
                <w:rFonts w:ascii="Arial" w:cs="Arial" w:eastAsia="Arial" w:hAnsi="Arial"/>
                <w:sz w:val="22"/>
                <w:szCs w:val="22"/>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98">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Role affected</w:t>
            </w:r>
          </w:p>
        </w:tc>
        <w:tc>
          <w:tcPr>
            <w:tcMar>
              <w:top w:w="80.0" w:type="dxa"/>
              <w:left w:w="120.0" w:type="dxa"/>
              <w:bottom w:w="80.0" w:type="dxa"/>
              <w:right w:w="120.0" w:type="dxa"/>
            </w:tcMar>
          </w:tcPr>
          <w:p w:rsidR="00000000" w:rsidDel="00000000" w:rsidP="00000000" w:rsidRDefault="00000000" w:rsidRPr="00000000" w14:paraId="00000099">
            <w:pPr>
              <w:spacing w:after="40" w:before="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9A">
      <w:pPr>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tl w:val="0"/>
        </w:rPr>
        <w:t xml:space="preserve">Evaluate each category in order</w:t>
      </w:r>
    </w:p>
    <w:tbl>
      <w:tblPr>
        <w:tblStyle w:val="Table15"/>
        <w:tblW w:w="936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100"/>
        <w:gridCol w:w="4260"/>
        <w:gridCol w:w="3000"/>
        <w:tblGridChange w:id="0">
          <w:tblGrid>
            <w:gridCol w:w="2100"/>
            <w:gridCol w:w="4260"/>
            <w:gridCol w:w="3000"/>
          </w:tblGrid>
        </w:tblGridChange>
      </w:tblGrid>
      <w:tr>
        <w:trPr>
          <w:cantSplit w:val="0"/>
          <w:tblHeader w:val="1"/>
        </w:trPr>
        <w:tc>
          <w:tcPr>
            <w:shd w:fill="d9e2f3" w:val="clear"/>
            <w:tcMar>
              <w:top w:w="80.0" w:type="dxa"/>
              <w:left w:w="120.0" w:type="dxa"/>
              <w:bottom w:w="80.0" w:type="dxa"/>
              <w:right w:w="120.0" w:type="dxa"/>
            </w:tcMar>
          </w:tcPr>
          <w:p w:rsidR="00000000" w:rsidDel="00000000" w:rsidP="00000000" w:rsidRDefault="00000000" w:rsidRPr="00000000" w14:paraId="0000009C">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Category</w:t>
            </w:r>
          </w:p>
        </w:tc>
        <w:tc>
          <w:tcPr>
            <w:shd w:fill="d9e2f3" w:val="clear"/>
            <w:tcMar>
              <w:top w:w="80.0" w:type="dxa"/>
              <w:left w:w="120.0" w:type="dxa"/>
              <w:bottom w:w="80.0" w:type="dxa"/>
              <w:right w:w="120.0" w:type="dxa"/>
            </w:tcMar>
          </w:tcPr>
          <w:p w:rsidR="00000000" w:rsidDel="00000000" w:rsidP="00000000" w:rsidRDefault="00000000" w:rsidRPr="00000000" w14:paraId="0000009D">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Evidence observed (cite the observation number)</w:t>
            </w:r>
          </w:p>
        </w:tc>
        <w:tc>
          <w:tcPr>
            <w:shd w:fill="d9e2f3" w:val="clear"/>
            <w:tcMar>
              <w:top w:w="80.0" w:type="dxa"/>
              <w:left w:w="120.0" w:type="dxa"/>
              <w:bottom w:w="80.0" w:type="dxa"/>
              <w:right w:w="120.0" w:type="dxa"/>
            </w:tcMar>
          </w:tcPr>
          <w:p w:rsidR="00000000" w:rsidDel="00000000" w:rsidP="00000000" w:rsidRDefault="00000000" w:rsidRPr="00000000" w14:paraId="0000009E">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Supports / rules out / no evidence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F">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1—Identity</w:t>
            </w:r>
          </w:p>
        </w:tc>
        <w:tc>
          <w:tcPr>
            <w:tcMar>
              <w:top w:w="80.0" w:type="dxa"/>
              <w:left w:w="120.0" w:type="dxa"/>
              <w:bottom w:w="80.0" w:type="dxa"/>
              <w:right w:w="120.0" w:type="dxa"/>
            </w:tcMar>
          </w:tcPr>
          <w:p w:rsidR="00000000" w:rsidDel="00000000" w:rsidP="00000000" w:rsidRDefault="00000000" w:rsidRPr="00000000" w14:paraId="000000A0">
            <w:pPr>
              <w:spacing w:after="200" w:lineRule="auto"/>
              <w:rPr>
                <w:rFonts w:ascii="Arial" w:cs="Arial" w:eastAsia="Arial" w:hAnsi="Arial"/>
                <w:sz w:val="22"/>
                <w:szCs w:val="22"/>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1">
            <w:pPr>
              <w:spacing w:after="200" w:lineRule="auto"/>
              <w:rPr>
                <w:rFonts w:ascii="Arial" w:cs="Arial" w:eastAsia="Arial" w:hAnsi="Arial"/>
                <w:sz w:val="22"/>
                <w:szCs w:val="22"/>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2">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2—Messaging</w:t>
            </w:r>
          </w:p>
        </w:tc>
        <w:tc>
          <w:tcPr>
            <w:tcMar>
              <w:top w:w="80.0" w:type="dxa"/>
              <w:left w:w="120.0" w:type="dxa"/>
              <w:bottom w:w="80.0" w:type="dxa"/>
              <w:right w:w="120.0" w:type="dxa"/>
            </w:tcMar>
          </w:tcPr>
          <w:p w:rsidR="00000000" w:rsidDel="00000000" w:rsidP="00000000" w:rsidRDefault="00000000" w:rsidRPr="00000000" w14:paraId="000000A3">
            <w:pPr>
              <w:spacing w:after="200" w:lineRule="auto"/>
              <w:rPr>
                <w:rFonts w:ascii="Arial" w:cs="Arial" w:eastAsia="Arial" w:hAnsi="Arial"/>
                <w:sz w:val="22"/>
                <w:szCs w:val="22"/>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4">
            <w:pPr>
              <w:spacing w:after="200" w:lineRule="auto"/>
              <w:rPr>
                <w:rFonts w:ascii="Arial" w:cs="Arial" w:eastAsia="Arial" w:hAnsi="Arial"/>
                <w:sz w:val="22"/>
                <w:szCs w:val="22"/>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3—File access</w:t>
            </w:r>
          </w:p>
        </w:tc>
        <w:tc>
          <w:tcPr>
            <w:tcMar>
              <w:top w:w="80.0" w:type="dxa"/>
              <w:left w:w="120.0" w:type="dxa"/>
              <w:bottom w:w="80.0" w:type="dxa"/>
              <w:right w:w="120.0" w:type="dxa"/>
            </w:tcMar>
          </w:tcPr>
          <w:p w:rsidR="00000000" w:rsidDel="00000000" w:rsidP="00000000" w:rsidRDefault="00000000" w:rsidRPr="00000000" w14:paraId="000000A6">
            <w:pPr>
              <w:spacing w:after="200" w:lineRule="auto"/>
              <w:rPr>
                <w:rFonts w:ascii="Arial" w:cs="Arial" w:eastAsia="Arial" w:hAnsi="Arial"/>
                <w:sz w:val="22"/>
                <w:szCs w:val="22"/>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7">
            <w:pPr>
              <w:spacing w:after="200" w:lineRule="auto"/>
              <w:rPr>
                <w:rFonts w:ascii="Arial" w:cs="Arial" w:eastAsia="Arial" w:hAnsi="Arial"/>
                <w:sz w:val="22"/>
                <w:szCs w:val="22"/>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8">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4—Clinical system availability</w:t>
            </w:r>
          </w:p>
        </w:tc>
        <w:tc>
          <w:tcPr>
            <w:tcMar>
              <w:top w:w="80.0" w:type="dxa"/>
              <w:left w:w="120.0" w:type="dxa"/>
              <w:bottom w:w="80.0" w:type="dxa"/>
              <w:right w:w="120.0" w:type="dxa"/>
            </w:tcMar>
          </w:tcPr>
          <w:p w:rsidR="00000000" w:rsidDel="00000000" w:rsidP="00000000" w:rsidRDefault="00000000" w:rsidRPr="00000000" w14:paraId="000000A9">
            <w:pPr>
              <w:spacing w:after="200" w:lineRule="auto"/>
              <w:rPr>
                <w:rFonts w:ascii="Arial" w:cs="Arial" w:eastAsia="Arial" w:hAnsi="Arial"/>
                <w:sz w:val="22"/>
                <w:szCs w:val="22"/>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A">
            <w:pPr>
              <w:spacing w:after="20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AB">
      <w:pPr>
        <w:spacing w:after="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C">
      <w:pPr>
        <w:rPr>
          <w:rFonts w:ascii="Arial" w:cs="Arial" w:eastAsia="Arial" w:hAnsi="Arial"/>
          <w:sz w:val="22"/>
          <w:szCs w:val="22"/>
        </w:rPr>
      </w:pPr>
      <w:r w:rsidDel="00000000" w:rsidR="00000000" w:rsidRPr="00000000">
        <w:rPr>
          <w:rFonts w:ascii="Arial" w:cs="Arial" w:eastAsia="Arial" w:hAnsi="Arial"/>
          <w:sz w:val="22"/>
          <w:szCs w:val="22"/>
          <w:rtl w:val="0"/>
        </w:rPr>
        <w:t xml:space="preserve">Identity is evaluated first because it sits upstream of the other three. Record every category, including those you rule out—ruling out is evidence.</w:t>
      </w:r>
    </w:p>
    <w:p w:rsidR="00000000" w:rsidDel="00000000" w:rsidP="00000000" w:rsidRDefault="00000000" w:rsidRPr="00000000" w14:paraId="000000AD">
      <w:pPr>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rtl w:val="0"/>
        </w:rPr>
        <w:t xml:space="preserve">Traced dependency</w:t>
      </w:r>
    </w:p>
    <w:tbl>
      <w:tblPr>
        <w:tblStyle w:val="Table16"/>
        <w:tblW w:w="936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AF">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Most likely upstream dependency</w:t>
            </w:r>
          </w:p>
        </w:tc>
        <w:tc>
          <w:tcPr>
            <w:tcMar>
              <w:top w:w="80.0" w:type="dxa"/>
              <w:left w:w="120.0" w:type="dxa"/>
              <w:bottom w:w="80.0" w:type="dxa"/>
              <w:right w:w="120.0" w:type="dxa"/>
            </w:tcMar>
          </w:tcPr>
          <w:p w:rsidR="00000000" w:rsidDel="00000000" w:rsidP="00000000" w:rsidRDefault="00000000" w:rsidRPr="00000000" w14:paraId="000000B0">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Identity     ☐  Messaging     ☐  File access     ☐  Clinical system availability</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1">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Which side of the boundary</w:t>
            </w:r>
          </w:p>
        </w:tc>
        <w:tc>
          <w:tcPr>
            <w:tcMar>
              <w:top w:w="80.0" w:type="dxa"/>
              <w:left w:w="120.0" w:type="dxa"/>
              <w:bottom w:w="80.0" w:type="dxa"/>
              <w:right w:w="120.0" w:type="dxa"/>
            </w:tcMar>
          </w:tcPr>
          <w:p w:rsidR="00000000" w:rsidDel="00000000" w:rsidP="00000000" w:rsidRDefault="00000000" w:rsidRPr="00000000" w14:paraId="000000B2">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Microsoft 365 side     ☐  Clinical application side     ☐  Upstream of both</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3">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 the evidence rules out</w:t>
            </w:r>
          </w:p>
        </w:tc>
        <w:tc>
          <w:tcPr>
            <w:tcMar>
              <w:top w:w="80.0" w:type="dxa"/>
              <w:left w:w="120.0" w:type="dxa"/>
              <w:bottom w:w="80.0" w:type="dxa"/>
              <w:right w:w="120.0" w:type="dxa"/>
            </w:tcMar>
          </w:tcPr>
          <w:p w:rsidR="00000000" w:rsidDel="00000000" w:rsidP="00000000" w:rsidRDefault="00000000" w:rsidRPr="00000000" w14:paraId="000000B4">
            <w:pPr>
              <w:spacing w:after="160" w:lineRule="auto"/>
              <w:rPr>
                <w:rFonts w:ascii="Arial" w:cs="Arial" w:eastAsia="Arial" w:hAnsi="Arial"/>
                <w:sz w:val="22"/>
                <w:szCs w:val="22"/>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Confidence, and what would change it</w:t>
            </w:r>
          </w:p>
        </w:tc>
        <w:tc>
          <w:tcPr>
            <w:tcMar>
              <w:top w:w="80.0" w:type="dxa"/>
              <w:left w:w="120.0" w:type="dxa"/>
              <w:bottom w:w="80.0" w:type="dxa"/>
              <w:right w:w="120.0" w:type="dxa"/>
            </w:tcMar>
          </w:tcPr>
          <w:p w:rsidR="00000000" w:rsidDel="00000000" w:rsidP="00000000" w:rsidRDefault="00000000" w:rsidRPr="00000000" w14:paraId="000000B6">
            <w:pPr>
              <w:spacing w:after="16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B7">
      <w:pPr>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Handoff</w:t>
      </w:r>
    </w:p>
    <w:tbl>
      <w:tblPr>
        <w:tblStyle w:val="Table17"/>
        <w:tblW w:w="936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9">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Warm-transfer to</w:t>
            </w:r>
          </w:p>
        </w:tc>
        <w:tc>
          <w:tcPr>
            <w:tcMar>
              <w:top w:w="80.0" w:type="dxa"/>
              <w:left w:w="120.0" w:type="dxa"/>
              <w:bottom w:w="80.0" w:type="dxa"/>
              <w:right w:w="120.0" w:type="dxa"/>
            </w:tcMar>
          </w:tcPr>
          <w:p w:rsidR="00000000" w:rsidDel="00000000" w:rsidP="00000000" w:rsidRDefault="00000000" w:rsidRPr="00000000" w14:paraId="000000BA">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Identity Administrators     ☐  M365 Admin Team☐  Azure Engineering     ☐  Epic Analyst team</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Handoff summary—must state the observed dependency chain: what was checked, what the evidence showed, what it ruled out</w:t>
            </w:r>
          </w:p>
        </w:tc>
        <w:tc>
          <w:tcPr>
            <w:tcMar>
              <w:top w:w="80.0" w:type="dxa"/>
              <w:left w:w="120.0" w:type="dxa"/>
              <w:bottom w:w="80.0" w:type="dxa"/>
              <w:right w:w="120.0" w:type="dxa"/>
            </w:tcMar>
          </w:tcPr>
          <w:p w:rsidR="00000000" w:rsidDel="00000000" w:rsidP="00000000" w:rsidRDefault="00000000" w:rsidRPr="00000000" w14:paraId="000000BC">
            <w:pPr>
              <w:spacing w:after="520" w:lineRule="auto"/>
              <w:rPr>
                <w:rFonts w:ascii="Arial" w:cs="Arial" w:eastAsia="Arial" w:hAnsi="Arial"/>
                <w:sz w:val="22"/>
                <w:szCs w:val="22"/>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D">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Flagged to team lead</w:t>
            </w:r>
          </w:p>
        </w:tc>
        <w:tc>
          <w:tcPr>
            <w:tcMar>
              <w:top w:w="80.0" w:type="dxa"/>
              <w:left w:w="120.0" w:type="dxa"/>
              <w:bottom w:w="80.0" w:type="dxa"/>
              <w:right w:w="120.0" w:type="dxa"/>
            </w:tcMar>
          </w:tcPr>
          <w:p w:rsidR="00000000" w:rsidDel="00000000" w:rsidP="00000000" w:rsidRDefault="00000000" w:rsidRPr="00000000" w14:paraId="000000BE">
            <w:pPr>
              <w:spacing w:after="1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BF">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2"/>
        <w:rPr/>
      </w:pPr>
      <w:bookmarkStart w:colFirst="0" w:colLast="0" w:name="_heading=h.9sgbc8efu700" w:id="12"/>
      <w:bookmarkEnd w:id="12"/>
      <w:r w:rsidDel="00000000" w:rsidR="00000000" w:rsidRPr="00000000">
        <w:rPr>
          <w:rtl w:val="0"/>
        </w:rPr>
        <w:t xml:space="preserve">Scope check</w:t>
      </w:r>
    </w:p>
    <w:p w:rsidR="00000000" w:rsidDel="00000000" w:rsidP="00000000" w:rsidRDefault="00000000" w:rsidRPr="00000000" w14:paraId="000000C1">
      <w:pPr>
        <w:rPr>
          <w:rFonts w:ascii="Arial" w:cs="Arial" w:eastAsia="Arial" w:hAnsi="Arial"/>
          <w:sz w:val="22"/>
          <w:szCs w:val="22"/>
        </w:rPr>
      </w:pPr>
      <w:r w:rsidDel="00000000" w:rsidR="00000000" w:rsidRPr="00000000">
        <w:rPr>
          <w:rFonts w:ascii="Arial" w:cs="Arial" w:eastAsia="Arial" w:hAnsi="Arial"/>
          <w:sz w:val="22"/>
          <w:szCs w:val="22"/>
          <w:rtl w:val="0"/>
        </w:rPr>
        <w:t xml:space="preserve">Complete once, after all three grids.</w:t>
      </w:r>
    </w:p>
    <w:p w:rsidR="00000000" w:rsidDel="00000000" w:rsidP="00000000" w:rsidRDefault="00000000" w:rsidRPr="00000000" w14:paraId="000000C2">
      <w:pPr>
        <w:spacing w:after="60" w:lineRule="auto"/>
        <w:rPr>
          <w:rFonts w:ascii="Arial" w:cs="Arial" w:eastAsia="Arial" w:hAnsi="Arial"/>
          <w:sz w:val="22"/>
          <w:szCs w:val="22"/>
        </w:rPr>
      </w:pPr>
      <w:r w:rsidDel="00000000" w:rsidR="00000000" w:rsidRPr="00000000">
        <w:rPr>
          <w:rtl w:val="0"/>
        </w:rPr>
      </w:r>
    </w:p>
    <w:tbl>
      <w:tblPr>
        <w:tblStyle w:val="Table18"/>
        <w:tblW w:w="936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520"/>
        <w:gridCol w:w="4040"/>
        <w:gridCol w:w="4800"/>
        <w:tblGridChange w:id="0">
          <w:tblGrid>
            <w:gridCol w:w="520"/>
            <w:gridCol w:w="4040"/>
            <w:gridCol w:w="4800"/>
          </w:tblGrid>
        </w:tblGridChange>
      </w:tblGrid>
      <w:tr>
        <w:trPr>
          <w:cantSplit w:val="0"/>
          <w:tblHeader w:val="1"/>
        </w:trPr>
        <w:tc>
          <w:tcPr>
            <w:shd w:fill="d9e2f3" w:val="clear"/>
            <w:tcMar>
              <w:top w:w="80.0" w:type="dxa"/>
              <w:left w:w="120.0" w:type="dxa"/>
              <w:bottom w:w="80.0" w:type="dxa"/>
              <w:right w:w="120.0" w:type="dxa"/>
            </w:tcMar>
          </w:tcPr>
          <w:p w:rsidR="00000000" w:rsidDel="00000000" w:rsidP="00000000" w:rsidRDefault="00000000" w:rsidRPr="00000000" w14:paraId="000000C3">
            <w:pPr>
              <w:spacing w:after="40" w:before="40" w:lineRule="auto"/>
              <w:rPr>
                <w:rFonts w:ascii="Arial" w:cs="Arial" w:eastAsia="Arial" w:hAnsi="Arial"/>
                <w:sz w:val="22"/>
                <w:szCs w:val="22"/>
              </w:rPr>
            </w:pPr>
            <w:r w:rsidDel="00000000" w:rsidR="00000000" w:rsidRPr="00000000">
              <w:rPr>
                <w:rtl w:val="0"/>
              </w:rPr>
            </w:r>
          </w:p>
        </w:tc>
        <w:tc>
          <w:tcPr>
            <w:shd w:fill="d9e2f3" w:val="clear"/>
            <w:tcMar>
              <w:top w:w="80.0" w:type="dxa"/>
              <w:left w:w="120.0" w:type="dxa"/>
              <w:bottom w:w="80.0" w:type="dxa"/>
              <w:right w:w="120.0" w:type="dxa"/>
            </w:tcMar>
          </w:tcPr>
          <w:p w:rsidR="00000000" w:rsidDel="00000000" w:rsidP="00000000" w:rsidRDefault="00000000" w:rsidRPr="00000000" w14:paraId="000000C4">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Check</w:t>
            </w:r>
          </w:p>
        </w:tc>
        <w:tc>
          <w:tcPr>
            <w:shd w:fill="d9e2f3" w:val="clear"/>
            <w:tcMar>
              <w:top w:w="80.0" w:type="dxa"/>
              <w:left w:w="120.0" w:type="dxa"/>
              <w:bottom w:w="80.0" w:type="dxa"/>
              <w:right w:w="120.0" w:type="dxa"/>
            </w:tcMar>
          </w:tcPr>
          <w:p w:rsidR="00000000" w:rsidDel="00000000" w:rsidP="00000000" w:rsidRDefault="00000000" w:rsidRPr="00000000" w14:paraId="000000C5">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It fails if…</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6">
            <w:pPr>
              <w:spacing w:after="40" w:before="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Mar>
              <w:top w:w="80.0" w:type="dxa"/>
              <w:left w:w="120.0" w:type="dxa"/>
              <w:bottom w:w="80.0" w:type="dxa"/>
              <w:right w:w="120.0" w:type="dxa"/>
            </w:tcMar>
          </w:tcPr>
          <w:p w:rsidR="00000000" w:rsidDel="00000000" w:rsidP="00000000" w:rsidRDefault="00000000" w:rsidRPr="00000000" w14:paraId="000000C7">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Every case names a traced category and a side of the boundary, both supported by cited observations.</w:t>
            </w:r>
          </w:p>
        </w:tc>
        <w:tc>
          <w:tcPr>
            <w:tcMar>
              <w:top w:w="80.0" w:type="dxa"/>
              <w:left w:w="120.0" w:type="dxa"/>
              <w:bottom w:w="80.0" w:type="dxa"/>
              <w:right w:w="120.0" w:type="dxa"/>
            </w:tcMar>
          </w:tcPr>
          <w:p w:rsidR="00000000" w:rsidDel="00000000" w:rsidP="00000000" w:rsidRDefault="00000000" w:rsidRPr="00000000" w14:paraId="000000C8">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category was named from the shape of the symptom rather than from evidence.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9">
            <w:pPr>
              <w:spacing w:after="40" w:before="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Mar>
              <w:top w:w="80.0" w:type="dxa"/>
              <w:left w:w="120.0" w:type="dxa"/>
              <w:bottom w:w="80.0" w:type="dxa"/>
              <w:right w:w="120.0" w:type="dxa"/>
            </w:tcMar>
          </w:tcPr>
          <w:p w:rsidR="00000000" w:rsidDel="00000000" w:rsidP="00000000" w:rsidRDefault="00000000" w:rsidRPr="00000000" w14:paraId="000000CA">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Categories that were ruled out are recorded with what ruled them out.</w:t>
            </w:r>
          </w:p>
        </w:tc>
        <w:tc>
          <w:tcPr>
            <w:tcMar>
              <w:top w:w="80.0" w:type="dxa"/>
              <w:left w:w="120.0" w:type="dxa"/>
              <w:bottom w:w="80.0" w:type="dxa"/>
              <w:right w:w="120.0" w:type="dxa"/>
            </w:tcMar>
          </w:tcPr>
          <w:p w:rsidR="00000000" w:rsidDel="00000000" w:rsidP="00000000" w:rsidRDefault="00000000" w:rsidRPr="00000000" w14:paraId="000000CB">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Only the winning category is documented, leaving the next team to re-check the rest.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C">
            <w:pPr>
              <w:spacing w:after="40" w:before="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Mar>
              <w:top w:w="80.0" w:type="dxa"/>
              <w:left w:w="120.0" w:type="dxa"/>
              <w:bottom w:w="80.0" w:type="dxa"/>
              <w:right w:w="120.0" w:type="dxa"/>
            </w:tcMar>
          </w:tcPr>
          <w:p w:rsidR="00000000" w:rsidDel="00000000" w:rsidP="00000000" w:rsidRDefault="00000000" w:rsidRPr="00000000" w14:paraId="000000CD">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 case includes a hypothesis about what is wrong inside Epic.</w:t>
            </w:r>
          </w:p>
        </w:tc>
        <w:tc>
          <w:tcPr>
            <w:tcMar>
              <w:top w:w="80.0" w:type="dxa"/>
              <w:left w:w="120.0" w:type="dxa"/>
              <w:bottom w:w="80.0" w:type="dxa"/>
              <w:right w:w="120.0" w:type="dxa"/>
            </w:tcMar>
          </w:tcPr>
          <w:p w:rsidR="00000000" w:rsidDel="00000000" w:rsidP="00000000" w:rsidRDefault="00000000" w:rsidRPr="00000000" w14:paraId="000000CE">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worksheet offers an explanation of an Epic fault. Naming the category is in scope; explaining it is not.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F">
            <w:pPr>
              <w:spacing w:after="40" w:before="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Mar>
              <w:top w:w="80.0" w:type="dxa"/>
              <w:left w:w="120.0" w:type="dxa"/>
              <w:bottom w:w="80.0" w:type="dxa"/>
              <w:right w:w="120.0" w:type="dxa"/>
            </w:tcMar>
          </w:tcPr>
          <w:p w:rsidR="00000000" w:rsidDel="00000000" w:rsidP="00000000" w:rsidRDefault="00000000" w:rsidRPr="00000000" w14:paraId="000000D0">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 integration, permission, group membership, or service was modified during analysis.</w:t>
            </w:r>
          </w:p>
        </w:tc>
        <w:tc>
          <w:tcPr>
            <w:tcMar>
              <w:top w:w="80.0" w:type="dxa"/>
              <w:left w:w="120.0" w:type="dxa"/>
              <w:bottom w:w="80.0" w:type="dxa"/>
              <w:right w:w="120.0" w:type="dxa"/>
            </w:tcMar>
          </w:tcPr>
          <w:p w:rsidR="00000000" w:rsidDel="00000000" w:rsidP="00000000" w:rsidRDefault="00000000" w:rsidRPr="00000000" w14:paraId="000000D1">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Anything was changed rather than observed. Analysis is read-only at Tier 1.</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2">
            <w:pPr>
              <w:spacing w:after="40" w:before="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Mar>
              <w:top w:w="80.0" w:type="dxa"/>
              <w:left w:w="120.0" w:type="dxa"/>
              <w:bottom w:w="80.0" w:type="dxa"/>
              <w:right w:w="120.0" w:type="dxa"/>
            </w:tcMar>
          </w:tcPr>
          <w:p w:rsidR="00000000" w:rsidDel="00000000" w:rsidP="00000000" w:rsidRDefault="00000000" w:rsidRPr="00000000" w14:paraId="000000D3">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 decision was recorded about which team should own resolution beyond the warm-transfer target.</w:t>
            </w:r>
          </w:p>
        </w:tc>
        <w:tc>
          <w:tcPr>
            <w:tcMar>
              <w:top w:w="80.0" w:type="dxa"/>
              <w:left w:w="120.0" w:type="dxa"/>
              <w:bottom w:w="80.0" w:type="dxa"/>
              <w:right w:w="120.0" w:type="dxa"/>
            </w:tcMar>
          </w:tcPr>
          <w:p w:rsidR="00000000" w:rsidDel="00000000" w:rsidP="00000000" w:rsidRDefault="00000000" w:rsidRPr="00000000" w14:paraId="000000D4">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worksheet assigns ownership or priority to another team. Transfer is a handoff, not an assignment.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5">
            <w:pPr>
              <w:spacing w:after="40" w:before="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Mar>
              <w:top w:w="80.0" w:type="dxa"/>
              <w:left w:w="120.0" w:type="dxa"/>
              <w:bottom w:w="80.0" w:type="dxa"/>
              <w:right w:w="120.0" w:type="dxa"/>
            </w:tcMar>
          </w:tcPr>
          <w:p w:rsidR="00000000" w:rsidDel="00000000" w:rsidP="00000000" w:rsidRDefault="00000000" w:rsidRPr="00000000" w14:paraId="000000D6">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Each handoff summary states the observed dependency chain in full.</w:t>
            </w:r>
          </w:p>
        </w:tc>
        <w:tc>
          <w:tcPr>
            <w:tcMar>
              <w:top w:w="80.0" w:type="dxa"/>
              <w:left w:w="120.0" w:type="dxa"/>
              <w:bottom w:w="80.0" w:type="dxa"/>
              <w:right w:w="120.0" w:type="dxa"/>
            </w:tcMar>
          </w:tcPr>
          <w:p w:rsidR="00000000" w:rsidDel="00000000" w:rsidP="00000000" w:rsidRDefault="00000000" w:rsidRPr="00000000" w14:paraId="000000D7">
            <w:pPr>
              <w:spacing w:after="40" w:before="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summary names a team and a symptom but not what was checked and ruled out.</w:t>
            </w:r>
          </w:p>
        </w:tc>
      </w:tr>
    </w:tbl>
    <w:p w:rsidR="00000000" w:rsidDel="00000000" w:rsidP="00000000" w:rsidRDefault="00000000" w:rsidRPr="00000000" w14:paraId="000000D8">
      <w:pPr>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9">
      <w:pPr>
        <w:rPr>
          <w:rFonts w:ascii="Arial" w:cs="Arial" w:eastAsia="Arial" w:hAnsi="Arial"/>
          <w:sz w:val="22"/>
          <w:szCs w:val="22"/>
        </w:rPr>
      </w:pPr>
      <w:r w:rsidDel="00000000" w:rsidR="00000000" w:rsidRPr="00000000">
        <w:rPr>
          <w:rFonts w:ascii="Arial" w:cs="Arial" w:eastAsia="Arial" w:hAnsi="Arial"/>
          <w:sz w:val="22"/>
          <w:szCs w:val="22"/>
          <w:rtl w:val="0"/>
        </w:rPr>
        <w:t xml:space="preserve">Anything you could not place, or any case where the evidence points two ways, goes to the team lead rather than into a handoff as a guess.</w:t>
      </w:r>
    </w:p>
    <w:sectPr>
      <w:footerReference r:id="rId7" w:type="default"/>
      <w:pgSz w:h="15840" w:w="12240"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pBdr>
        <w:top w:color="b4c6e7" w:space="6" w:sz="4" w:val="single"/>
      </w:pBdr>
      <w:spacing w:before="120"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40"/>
      </w:pPr>
      <w:rPr/>
    </w:lvl>
    <w:lvl w:ilvl="1">
      <w:start w:val="1"/>
      <w:numFmt w:val="bullet"/>
      <w:lvlText w:val="◦"/>
      <w:lvlJc w:val="left"/>
      <w:pPr>
        <w:ind w:left="720" w:hanging="24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4c6e7" w:space="4" w:sz="6" w:val="single"/>
        <w:right w:space="0" w:sz="0" w:val="nil"/>
        <w:between w:space="0" w:sz="0" w:val="nil"/>
      </w:pBdr>
      <w:shd w:fill="auto" w:val="clear"/>
      <w:spacing w:after="140" w:before="320" w:line="264" w:lineRule="auto"/>
      <w:ind w:left="0" w:right="0" w:firstLine="0"/>
      <w:jc w:val="left"/>
    </w:pPr>
    <w:rPr>
      <w:rFonts w:ascii="Calibri" w:cs="Calibri" w:eastAsia="Calibri" w:hAnsi="Calibri"/>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spacing w:after="60" w:lineRule="auto"/>
    </w:pPr>
    <w:rPr>
      <w:rFonts w:ascii="Arial" w:cs="Arial" w:eastAsia="Arial" w:hAnsi="Arial"/>
      <w:b w:val="1"/>
      <w:bCs w:val="1"/>
      <w:sz w:val="28"/>
      <w:szCs w:val="28"/>
    </w:rPr>
  </w:style>
  <w:style w:type="paragraph" w:styleId="Heading3">
    <w:name w:val="heading 3"/>
    <w:basedOn w:val="Normal"/>
    <w:next w:val="Normal"/>
    <w:pPr>
      <w:spacing w:after="60" w:lineRule="auto"/>
    </w:pPr>
    <w:rPr>
      <w:rFonts w:ascii="Arial" w:cs="Arial" w:eastAsia="Arial" w:hAnsi="Arial"/>
      <w:b w:val="1"/>
      <w:bCs w:val="1"/>
      <w:sz w:val="24"/>
      <w:szCs w:val="24"/>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pPr>
    <w:rPr>
      <w:rFonts w:ascii="Calibri" w:cs="Calibri" w:eastAsia="Calibri" w:hAnsi="Calibri"/>
      <w:b w:val="1"/>
      <w:bCs w:val="1"/>
      <w:i w:val="0"/>
      <w:iCs w:val="0"/>
      <w:smallCaps w:val="0"/>
      <w:strike w:val="0"/>
      <w:color w:val="1f3864"/>
      <w:sz w:val="40"/>
      <w:szCs w:val="40"/>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wxGG1/joFwJBbVlK4tJNpvoz+Q==">CgMxLjAyDmgud20wemJ1NjFiYXAyMg5oLmR3cDMzb2UxOW9zbjIOaC45ZzVucHZpamVkeWkyDmguOG5sb3h5bW5objJ1Mg5oLjV0cWJ4NHNpcTRobDIOaC5hYWo2aDZtMzhhZzIyDmgucDNmY3p5dWFmMWQ1Mg5oLmhnMjNpNDgzdTM1ZzIOaC5oMHdpd3R1Y2JwMW0yDmgua3lxdXg1Ymh1Zjd4Mg5oLjJqY3Fnam5yMXgyMzIOaC4yOW1jNWpyNGV3azkyDmguOXNnYmM4ZWZ1NzAwOAByITExOFlYX29odVF1Z3BVbzYyRGRINlhXY0pfZlJZXzRF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2026-08-18T20:14:09.723Z</dcterms:created>
  <dc:creator>Northridge Health System ITS</dc:creator>
</cp:coreProperties>
</file>

<file path=docProps/custom.xml><?xml version="1.0" encoding="utf-8"?>
<Properties xmlns="http://schemas.openxmlformats.org/officeDocument/2006/custom-properties" xmlns:vt="http://schemas.openxmlformats.org/officeDocument/2006/docPropsVTypes"/>
</file>