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Case Report</w:t>
      </w:r>
    </w:p>
    <w:p>
      <w:pPr>
        <w:jc w:val="left"/>
      </w:pPr>
      <w:r>
        <w:rPr>
          <w:rFonts w:ascii="Aptos" w:hAnsi="Aptos"/>
          <w:color w:val="5B6770"/>
          <w:sz w:val="20"/>
        </w:rPr>
        <w:t>LC 4 - Five-Component Submission</w:t>
      </w:r>
    </w:p>
    <w:tbl>
      <w:tblPr>
        <w:tblW w:type="auto" w:w="0"/>
        <w:jc w:val="left"/>
        <w:tblLook w:firstColumn="1" w:firstRow="1" w:lastColumn="0" w:lastRow="0" w:noHBand="0" w:noVBand="1" w:val="04A0"/>
      </w:tblPr>
      <w:tblGrid>
        <w:gridCol w:w="3408"/>
        <w:gridCol w:w="3408"/>
        <w:gridCol w:w="3408"/>
      </w:tblGrid>
      <w:tr>
        <w:tc>
          <w:tcPr>
            <w:tcW w:type="dxa" w:w="3408"/>
            <w:shd w:fill="EEF1F3"/>
            <w:tcMar>
              <w:top w:w="90" w:type="dxa"/>
              <w:start w:w="100" w:type="dxa"/>
              <w:bottom w:w="90" w:type="dxa"/>
              <w:end w:w="100" w:type="dxa"/>
            </w:tcMar>
          </w:tcPr>
          <w:p>
            <w:pPr>
              <w:spacing w:after="0"/>
            </w:pPr>
            <w:r>
              <w:rPr>
                <w:b/>
                <w:color w:val="2D7F85"/>
                <w:sz w:val="16"/>
              </w:rPr>
              <w:t>VERSION</w:t>
              <w:br/>
            </w:r>
            <w:r>
              <w:rPr>
                <w:color w:val="17324D"/>
                <w:sz w:val="19"/>
              </w:rPr>
              <w:t>v1.0</w:t>
            </w:r>
          </w:p>
        </w:tc>
        <w:tc>
          <w:tcPr>
            <w:tcW w:type="dxa" w:w="3408"/>
            <w:shd w:fill="EEF1F3"/>
            <w:tcMar>
              <w:top w:w="90" w:type="dxa"/>
              <w:start w:w="100" w:type="dxa"/>
              <w:bottom w:w="90" w:type="dxa"/>
              <w:end w:w="100" w:type="dxa"/>
            </w:tcMar>
          </w:tcPr>
          <w:p>
            <w:pPr>
              <w:spacing w:after="0"/>
            </w:pPr>
            <w:r>
              <w:rPr>
                <w:b/>
                <w:color w:val="2D7F85"/>
                <w:sz w:val="16"/>
              </w:rPr>
              <w:t>DATE</w:t>
              <w:br/>
            </w:r>
            <w:r>
              <w:rPr>
                <w:color w:val="17324D"/>
                <w:sz w:val="19"/>
              </w:rPr>
              <w:t>2026-09-01</w:t>
            </w:r>
          </w:p>
        </w:tc>
        <w:tc>
          <w:tcPr>
            <w:tcW w:type="dxa" w:w="3408"/>
            <w:shd w:fill="EEF1F3"/>
            <w:tcMar>
              <w:top w:w="90" w:type="dxa"/>
              <w:start w:w="100" w:type="dxa"/>
              <w:bottom w:w="90" w:type="dxa"/>
              <w:end w:w="100" w:type="dxa"/>
            </w:tcMar>
          </w:tcPr>
          <w:p>
            <w:pPr>
              <w:spacing w:after="0"/>
            </w:pPr>
            <w:r>
              <w:rPr>
                <w:b/>
                <w:color w:val="2D7F85"/>
                <w:sz w:val="16"/>
              </w:rPr>
              <w:t>AUDIENCE</w:t>
              <w:br/>
            </w:r>
            <w:r>
              <w:rPr>
                <w:color w:val="17324D"/>
                <w:sz w:val="19"/>
              </w:rPr>
              <w:t>Learner submission</w:t>
            </w:r>
          </w:p>
        </w:tc>
      </w:tr>
    </w:tbl>
    <w:p>
      <w:pPr>
        <w:spacing w:after="20"/>
      </w:pPr>
    </w:p>
    <w:tbl>
      <w:tblPr>
        <w:tblW w:type="auto" w:w="0"/>
        <w:jc w:val="left"/>
        <w:tblLook w:firstColumn="1" w:firstRow="1" w:lastColumn="0" w:lastRow="0" w:noHBand="0" w:noVBand="1" w:val="04A0"/>
      </w:tblPr>
      <w:tblGrid>
        <w:gridCol w:w="10224"/>
      </w:tblGrid>
      <w:tr>
        <w:tc>
          <w:tcPr>
            <w:tcW w:type="dxa" w:w="10224"/>
            <w:shd w:fill="EEF5F5"/>
            <w:tcMar>
              <w:top w:w="120" w:type="dxa"/>
              <w:start w:w="140" w:type="dxa"/>
              <w:bottom w:w="120" w:type="dxa"/>
              <w:end w:w="140" w:type="dxa"/>
            </w:tcMar>
          </w:tcPr>
          <w:p>
            <w:pPr>
              <w:spacing w:after="0"/>
            </w:pPr>
            <w:r>
              <w:rPr>
                <w:b/>
                <w:color w:val="2D7F85"/>
                <w:sz w:val="19"/>
              </w:rPr>
              <w:t xml:space="preserve">Submission structure: </w:t>
            </w:r>
            <w:r>
              <w:rPr>
                <w:color w:val="1C2730"/>
                <w:sz w:val="19"/>
              </w:rPr>
              <w:t>Complete five components. There is no separate overall case-summary section. Use minimum necessary synthetic information and cite the supplied evidence documents.</w:t>
            </w:r>
          </w:p>
        </w:tc>
      </w:tr>
    </w:tbl>
    <w:p>
      <w:pPr>
        <w:spacing w:after="20"/>
      </w:pPr>
    </w:p>
    <w:p>
      <w:pPr>
        <w:pStyle w:val="Heading1"/>
      </w:pPr>
      <w:r>
        <w:t>Component 1 - System Context and Dependency Analysis</w:t>
      </w:r>
    </w:p>
    <w:tbl>
      <w:tblPr>
        <w:tblStyle w:val="TableGrid"/>
        <w:tblW w:w="10224" w:type="dxa"/>
        <w:jc w:val="center"/>
        <w:tblLayout w:type="fixed"/>
        <w:tblLook w:firstColumn="1" w:firstRow="1" w:lastColumn="0" w:lastRow="0" w:noHBand="0" w:noVBand="1" w:val="04A0"/>
      </w:tblPr>
      <w:tblGrid>
        <w:gridCol w:w="1900"/>
        <w:gridCol w:w="8324"/>
      </w:tblGrid>
      <w:tr>
        <w:tc>
          <w:tcPr>
            <w:tcW w:type="dxa" w:w="1900"/>
            <w:shd w:fill="17324D"/>
            <w:tcMar>
              <w:top w:w="90" w:type="dxa"/>
              <w:start w:w="100" w:type="dxa"/>
              <w:bottom w:w="90" w:type="dxa"/>
              <w:end w:w="100" w:type="dxa"/>
            </w:tcMar>
            <w:vAlign w:val="center"/>
          </w:tcPr>
          <w:p>
            <w:pPr>
              <w:jc w:val="left"/>
            </w:pPr>
            <w:r>
              <w:rPr>
                <w:b/>
                <w:color w:val="FFFFFF"/>
                <w:sz w:val="18"/>
              </w:rPr>
              <w:t>Field</w:t>
            </w:r>
          </w:p>
        </w:tc>
        <w:tc>
          <w:tcPr>
            <w:tcW w:type="dxa" w:w="8324"/>
            <w:shd w:fill="17324D"/>
            <w:tcMar>
              <w:top w:w="90" w:type="dxa"/>
              <w:start w:w="100" w:type="dxa"/>
              <w:bottom w:w="90" w:type="dxa"/>
              <w:end w:w="100" w:type="dxa"/>
            </w:tcMar>
            <w:vAlign w:val="center"/>
          </w:tcPr>
          <w:p>
            <w:pPr>
              <w:jc w:val="left"/>
            </w:pPr>
            <w:r>
              <w:rPr>
                <w:b/>
                <w:color w:val="FFFFFF"/>
                <w:sz w:val="18"/>
              </w:rPr>
              <w:t>Learner entry</w:t>
            </w:r>
          </w:p>
        </w:tc>
      </w:tr>
      <w:tr>
        <w:tc>
          <w:tcPr>
            <w:tcW w:type="dxa" w:w="1900"/>
            <w:tcBorders>
              <w:bottom w:val="single" w:sz="6" w:color="D8E0E4"/>
            </w:tcBorders>
            <w:shd w:fill="F8FAFB"/>
            <w:tcMar>
              <w:top w:w="90" w:type="dxa"/>
              <w:start w:w="100" w:type="dxa"/>
              <w:bottom w:w="90" w:type="dxa"/>
              <w:end w:w="100" w:type="dxa"/>
            </w:tcMar>
            <w:vAlign w:val="top"/>
          </w:tcPr>
          <w:p>
            <w:pPr>
              <w:spacing w:after="40"/>
            </w:pPr>
            <w:r>
              <w:rPr>
                <w:sz w:val="17"/>
              </w:rPr>
              <w:t>System context</w:t>
            </w:r>
          </w:p>
        </w:tc>
        <w:tc>
          <w:tcPr>
            <w:tcW w:type="dxa" w:w="8324"/>
            <w:tcBorders>
              <w:bottom w:val="single" w:sz="6" w:color="D8E0E4"/>
            </w:tcBorders>
            <w:shd w:fill="F8FAFB"/>
            <w:tcMar>
              <w:top w:w="90" w:type="dxa"/>
              <w:start w:w="100" w:type="dxa"/>
              <w:bottom w:w="90" w:type="dxa"/>
              <w:end w:w="100" w:type="dxa"/>
            </w:tcMar>
            <w:vAlign w:val="top"/>
          </w:tcPr>
          <w:p>
            <w:pPr>
              <w:spacing w:before="0" w:after="40"/>
            </w:pPr>
            <w:r>
              <w:rPr>
                <w:b/>
                <w:color w:val="2D7F85"/>
                <w:sz w:val="15"/>
              </w:rPr>
              <w:t>INTEGRATION PICTURE</w:t>
            </w:r>
          </w:p>
          <w:p>
            <w:pPr>
              <w:spacing w:before="0" w:after="60"/>
            </w:pPr>
            <w:r>
              <w:rPr>
                <w:color w:val="1C2730"/>
                <w:sz w:val="17"/>
              </w:rPr>
              <w:t xml:space="preserve">Systems are named exactly as in the Fact Sheet's System boundary table. “Direct technical integration” is marked </w:t>
            </w:r>
            <w:r>
              <w:rPr>
                <w:b/>
                <w:color w:val="1C2730"/>
                <w:sz w:val="17"/>
              </w:rPr>
              <w:t>Yes</w:t>
            </w:r>
            <w:r>
              <w:rPr>
                <w:color w:val="1C2730"/>
                <w:sz w:val="17"/>
              </w:rPr>
              <w:t xml:space="preserve"> only where the Fact Sheet documents an automated connection. Anything that depends on Dr. Chen acting is marked </w:t>
            </w:r>
            <w:r>
              <w:rPr>
                <w:b/>
                <w:color w:val="1C2730"/>
                <w:sz w:val="17"/>
              </w:rPr>
              <w:t>No (human-mediated)</w:t>
            </w:r>
            <w:r>
              <w:rPr>
                <w:color w:val="1C2730"/>
                <w:sz w:val="17"/>
              </w:rPr>
              <w:t>. The Fact Sheet has no section numbers, so citations name the table and row (for example, Fact Sheet › Policy baseline › External sharing).</w:t>
            </w:r>
          </w:p>
          <w:tbl>
            <w:tblPr>
              <w:tblW w:w="8100" w:type="dxa"/>
              <w:tblBorders>
                <w:top w:val="single" w:sz="4" w:space="0" w:color="D8E0E4"/>
                <w:left w:val="single" w:sz="4" w:space="0" w:color="D8E0E4"/>
                <w:bottom w:val="single" w:sz="4" w:space="0" w:color="D8E0E4"/>
                <w:right w:val="single" w:sz="4" w:space="0" w:color="D8E0E4"/>
                <w:insideH w:val="single" w:sz="4" w:space="0" w:color="D8E0E4"/>
                <w:insideV w:val="single" w:sz="4" w:space="0" w:color="D8E0E4"/>
              </w:tblBorders>
              <w:tblLayout w:type="fixed"/>
              <w:tblCellMar>
                <w:top w:w="45" w:type="dxa"/>
                <w:left w:w="80" w:type="dxa"/>
                <w:bottom w:w="45" w:type="dxa"/>
                <w:right w:w="80" w:type="dxa"/>
              </w:tblCellMar>
              <w:tblLook w:firstColumn="1" w:firstRow="1" w:lastColumn="0" w:lastRow="0" w:noHBand="0" w:noVBand="1" w:val="04A0"/>
            </w:tblPr>
            <w:tblGrid>
              <w:gridCol w:w="1350"/>
              <w:gridCol w:w="1250"/>
              <w:gridCol w:w="3600"/>
              <w:gridCol w:w="1900"/>
            </w:tblGrid>
            <w:tr>
              <w:trPr>
                <w:tblHeader/>
                <w:cantSplit/>
              </w:trPr>
              <w:tc>
                <w:tcPr>
                  <w:tcW w:type="dxa" w:w="1350"/>
                  <w:shd w:val="clear" w:color="auto" w:fill="17324D"/>
                </w:tcPr>
                <w:p>
                  <w:pPr>
                    <w:keepNext/>
                    <w:spacing w:before="0" w:after="30"/>
                  </w:pPr>
                  <w:r>
                    <w:rPr>
                      <w:b/>
                      <w:color w:val="FFFFFF"/>
                      <w:sz w:val="15"/>
                    </w:rPr>
                    <w:t>System / service</w:t>
                  </w:r>
                </w:p>
              </w:tc>
              <w:tc>
                <w:tcPr>
                  <w:tcW w:type="dxa" w:w="1250"/>
                  <w:shd w:val="clear" w:color="auto" w:fill="17324D"/>
                </w:tcPr>
                <w:p>
                  <w:pPr>
                    <w:keepNext/>
                    <w:spacing w:before="0" w:after="30"/>
                  </w:pPr>
                  <w:r>
                    <w:rPr>
                      <w:b/>
                      <w:color w:val="FFFFFF"/>
                      <w:sz w:val="15"/>
                    </w:rPr>
                    <w:t>Type</w:t>
                  </w:r>
                </w:p>
              </w:tc>
              <w:tc>
                <w:tcPr>
                  <w:tcW w:type="dxa" w:w="3600"/>
                  <w:shd w:val="clear" w:color="auto" w:fill="17324D"/>
                </w:tcPr>
                <w:p>
                  <w:pPr>
                    <w:keepNext/>
                    <w:spacing w:before="0" w:after="30"/>
                  </w:pPr>
                  <w:r>
                    <w:rPr>
                      <w:b/>
                      <w:color w:val="FFFFFF"/>
                      <w:sz w:val="15"/>
                    </w:rPr>
                    <w:t>Role in this workflow (evidence)</w:t>
                  </w:r>
                </w:p>
              </w:tc>
              <w:tc>
                <w:tcPr>
                  <w:tcW w:type="dxa" w:w="1900"/>
                  <w:shd w:val="clear" w:color="auto" w:fill="17324D"/>
                </w:tcPr>
                <w:p>
                  <w:pPr>
                    <w:keepNext/>
                    <w:spacing w:before="0" w:after="30"/>
                  </w:pPr>
                  <w:r>
                    <w:rPr>
                      <w:b/>
                      <w:color w:val="FFFFFF"/>
                      <w:sz w:val="15"/>
                    </w:rPr>
                    <w:t>Direct technical integration?</w:t>
                  </w:r>
                </w:p>
              </w:tc>
            </w:tr>
            <w:tr>
              <w:tc>
                <w:tcPr>
                  <w:tcW w:type="dxa" w:w="1350"/>
                </w:tcPr>
                <w:p>
                  <w:pPr>
                    <w:spacing w:before="0" w:after="30"/>
                  </w:pPr>
                  <w:r>
                    <w:rPr>
                      <w:b/>
                      <w:color w:val="1C2730"/>
                      <w:sz w:val="15"/>
                    </w:rPr>
                    <w:t>Epic Hyperspace</w:t>
                  </w:r>
                </w:p>
              </w:tc>
              <w:tc>
                <w:tcPr>
                  <w:tcW w:type="dxa" w:w="1250"/>
                </w:tcPr>
                <w:p>
                  <w:pPr>
                    <w:spacing w:before="0" w:after="30"/>
                  </w:pPr>
                  <w:r>
                    <w:rPr>
                      <w:color w:val="1C2730"/>
                      <w:sz w:val="15"/>
                    </w:rPr>
                    <w:t>Clinical application</w:t>
                  </w:r>
                </w:p>
              </w:tc>
              <w:tc>
                <w:tcPr>
                  <w:tcW w:type="dxa" w:w="3600"/>
                </w:tcPr>
                <w:p>
                  <w:pPr>
                    <w:spacing w:before="0" w:after="30"/>
                  </w:pPr>
                  <w:r>
                    <w:rPr>
                      <w:color w:val="1C2730"/>
                      <w:sz w:val="15"/>
                    </w:rPr>
                    <w:t>Upstream clinical context only. The case summary is not pulled from Epic here: the synthetic file is already in the SharePoint team site.</w:t>
                  </w:r>
                </w:p>
                <w:p>
                  <w:pPr>
                    <w:spacing w:before="0" w:after="30"/>
                  </w:pPr>
                  <w:r>
                    <w:rPr>
                      <w:i/>
                      <w:color w:val="1C2730"/>
                      <w:sz w:val="15"/>
                    </w:rPr>
                    <w:t>Fact Sheet › System boundary › Epic Hyperspace; Case Packet › File, Collaboration location</w:t>
                  </w:r>
                </w:p>
              </w:tc>
              <w:tc>
                <w:tcPr>
                  <w:tcW w:type="dxa" w:w="1900"/>
                </w:tcPr>
                <w:p>
                  <w:pPr>
                    <w:spacing w:before="0" w:after="30"/>
                  </w:pPr>
                  <w:r>
                    <w:rPr>
                      <w:b/>
                      <w:color w:val="1C2730"/>
                      <w:sz w:val="15"/>
                    </w:rPr>
                    <w:t>No.</w:t>
                  </w:r>
                  <w:r>
                    <w:rPr>
                      <w:color w:val="1C2730"/>
                      <w:sz w:val="15"/>
                    </w:rPr>
                    <w:t xml:space="preserve"> “No direct Epic-to-Copilot integration is established.” No Epic link to SharePoint or Outlook is documented either.</w:t>
                  </w:r>
                </w:p>
              </w:tc>
            </w:tr>
            <w:tr>
              <w:trPr>
                <w:cantSplit/>
              </w:trPr>
              <w:tc>
                <w:tcPr>
                  <w:tcW w:type="dxa" w:w="1350"/>
                  <w:shd w:val="clear" w:color="auto" w:fill="F8FAFB"/>
                </w:tcPr>
                <w:p>
                  <w:pPr>
                    <w:spacing w:before="0" w:after="30"/>
                  </w:pPr>
                  <w:r>
                    <w:rPr>
                      <w:b/>
                      <w:color w:val="1C2730"/>
                      <w:sz w:val="15"/>
                    </w:rPr>
                    <w:t>Microsoft Entra ID</w:t>
                  </w:r>
                </w:p>
              </w:tc>
              <w:tc>
                <w:tcPr>
                  <w:tcW w:type="dxa" w:w="1250"/>
                  <w:shd w:val="clear" w:color="auto" w:fill="F8FAFB"/>
                </w:tcPr>
                <w:p>
                  <w:pPr>
                    <w:spacing w:before="0" w:after="30"/>
                  </w:pPr>
                  <w:r>
                    <w:rPr>
                      <w:color w:val="1C2730"/>
                      <w:sz w:val="15"/>
                    </w:rPr>
                    <w:t>Microsoft cloud identity service (formerly Azure Active Directory)</w:t>
                  </w:r>
                </w:p>
              </w:tc>
              <w:tc>
                <w:tcPr>
                  <w:tcW w:type="dxa" w:w="3600"/>
                  <w:shd w:val="clear" w:color="auto" w:fill="F8FAFB"/>
                </w:tcPr>
                <w:p>
                  <w:pPr>
                    <w:spacing w:before="0" w:after="30"/>
                  </w:pPr>
                  <w:r>
                    <w:rPr>
                      <w:color w:val="1C2730"/>
                      <w:sz w:val="15"/>
                    </w:rPr>
                    <w:t>Signs in Dr. Chen's workforce account for SharePoint / OneDrive, Microsoft 365 Copilot and Outlook. Evidence it can give: user identity, group membership, authentication methods, Conditional Access results.</w:t>
                  </w:r>
                </w:p>
                <w:p>
                  <w:pPr>
                    <w:spacing w:before="0" w:after="30"/>
                  </w:pPr>
                  <w:r>
                    <w:rPr>
                      <w:i/>
                      <w:color w:val="1C2730"/>
                      <w:sz w:val="15"/>
                    </w:rPr>
                    <w:t>Fact Sheet › System boundary › Microsoft Entra ID</w:t>
                  </w:r>
                </w:p>
              </w:tc>
              <w:tc>
                <w:tcPr>
                  <w:tcW w:type="dxa" w:w="1900"/>
                  <w:shd w:val="clear" w:color="auto" w:fill="F8FAFB"/>
                </w:tcPr>
                <w:p>
                  <w:pPr>
                    <w:spacing w:before="0" w:after="30"/>
                  </w:pPr>
                  <w:r>
                    <w:rPr>
                      <w:b/>
                      <w:color w:val="1C2730"/>
                      <w:sz w:val="15"/>
                    </w:rPr>
                    <w:t>Yes, for sign-in only.</w:t>
                  </w:r>
                  <w:r>
                    <w:rPr>
                      <w:color w:val="1C2730"/>
                      <w:sz w:val="15"/>
                    </w:rPr>
                    <w:t xml:space="preserve"> Every Microsoft 365 surface in this workflow depends on Entra ID authentication. No case content passes through it.</w:t>
                  </w:r>
                </w:p>
              </w:tc>
            </w:tr>
            <w:tr>
              <w:trPr>
                <w:cantSplit/>
              </w:trPr>
              <w:tc>
                <w:tcPr>
                  <w:tcW w:type="dxa" w:w="1350"/>
                </w:tcPr>
                <w:p>
                  <w:pPr>
                    <w:spacing w:before="0" w:after="30"/>
                  </w:pPr>
                  <w:r>
                    <w:rPr>
                      <w:b/>
                      <w:color w:val="1C2730"/>
                      <w:sz w:val="15"/>
                    </w:rPr>
                    <w:t>SharePoint / OneDrive</w:t>
                  </w:r>
                </w:p>
              </w:tc>
              <w:tc>
                <w:tcPr>
                  <w:tcW w:type="dxa" w:w="1250"/>
                </w:tcPr>
                <w:p>
                  <w:pPr>
                    <w:spacing w:before="0" w:after="30"/>
                  </w:pPr>
                  <w:r>
                    <w:rPr>
                      <w:color w:val="1C2730"/>
                      <w:sz w:val="15"/>
                    </w:rPr>
                    <w:t>Microsoft 365 file collaboration</w:t>
                  </w:r>
                </w:p>
              </w:tc>
              <w:tc>
                <w:tcPr>
                  <w:tcW w:type="dxa" w:w="3600"/>
                </w:tcPr>
                <w:p>
                  <w:pPr>
                    <w:spacing w:before="0" w:after="30"/>
                  </w:pPr>
                  <w:r>
                    <w:rPr>
                      <w:color w:val="1C2730"/>
                      <w:sz w:val="15"/>
                    </w:rPr>
                    <w:t xml:space="preserve">Holds </w:t>
                  </w:r>
                  <w:r>
                    <w:rPr>
                      <w:i/>
                      <w:color w:val="1C2730"/>
                      <w:sz w:val="15"/>
                    </w:rPr>
                    <w:t>Synthetic Case Summary – Patient A.docx</w:t>
                  </w:r>
                  <w:r>
                    <w:rPr>
                      <w:color w:val="1C2730"/>
                      <w:sz w:val="15"/>
                    </w:rPr>
                    <w:t xml:space="preserve"> in the approved SharePoint team site library. It enforces who can open the file and shows the access list in Manage Access. Dr. Chen calls it “OneDrive”; the Fact Sheet and Case Packet place the file in the SharePoint team site, reached through the Microsoft 365 collaboration experience.</w:t>
                  </w:r>
                </w:p>
                <w:p>
                  <w:pPr>
                    <w:spacing w:before="0" w:after="30"/>
                  </w:pPr>
                  <w:r>
                    <w:rPr>
                      <w:i/>
                      <w:color w:val="1C2730"/>
                      <w:sz w:val="15"/>
                    </w:rPr>
                    <w:t>Fact Sheet › System boundary › SharePoint / OneDrive; Policy baseline › External sharing</w:t>
                  </w:r>
                </w:p>
              </w:tc>
              <w:tc>
                <w:tcPr>
                  <w:tcW w:type="dxa" w:w="1900"/>
                </w:tcPr>
                <w:p>
                  <w:pPr>
                    <w:spacing w:before="0" w:after="30"/>
                  </w:pPr>
                  <w:r>
                    <w:rPr>
                      <w:b/>
                      <w:color w:val="1C2730"/>
                      <w:sz w:val="15"/>
                    </w:rPr>
                    <w:t>No (human-mediated).</w:t>
                  </w:r>
                  <w:r>
                    <w:rPr>
                      <w:color w:val="1C2730"/>
                      <w:sz w:val="15"/>
                    </w:rPr>
                    <w:t xml:space="preserve"> Dr. Chen picks the file, the recipient and the link type. SharePoint enforces what she sets, but nothing moves the file to Copilot or Outlook.</w:t>
                  </w:r>
                </w:p>
              </w:tc>
            </w:tr>
            <w:tr>
              <w:trPr>
                <w:cantSplit/>
              </w:trPr>
              <w:tc>
                <w:tcPr>
                  <w:tcW w:type="dxa" w:w="1350"/>
                  <w:shd w:val="clear" w:color="auto" w:fill="F8FAFB"/>
                </w:tcPr>
                <w:p>
                  <w:pPr>
                    <w:spacing w:before="0" w:after="30"/>
                  </w:pPr>
                  <w:r>
                    <w:rPr>
                      <w:b/>
                      <w:color w:val="1C2730"/>
                      <w:sz w:val="15"/>
                    </w:rPr>
                    <w:t>Microsoft 365 Copilot</w:t>
                  </w:r>
                </w:p>
              </w:tc>
              <w:tc>
                <w:tcPr>
                  <w:tcW w:type="dxa" w:w="1250"/>
                  <w:shd w:val="clear" w:color="auto" w:fill="F8FAFB"/>
                </w:tcPr>
                <w:p>
                  <w:pPr>
                    <w:spacing w:before="0" w:after="30"/>
                  </w:pPr>
                  <w:r>
                    <w:rPr>
                      <w:color w:val="1C2730"/>
                      <w:sz w:val="15"/>
                    </w:rPr>
                    <w:t>Microsoft 365 AI drafting service</w:t>
                  </w:r>
                </w:p>
              </w:tc>
              <w:tc>
                <w:tcPr>
                  <w:tcW w:type="dxa" w:w="3600"/>
                  <w:shd w:val="clear" w:color="auto" w:fill="F8FAFB"/>
                </w:tcPr>
                <w:p>
                  <w:pPr>
                    <w:spacing w:before="0" w:after="30"/>
                  </w:pPr>
                  <w:r>
                    <w:rPr>
                      <w:color w:val="1C2730"/>
                      <w:sz w:val="15"/>
                    </w:rPr>
                    <w:t>Drafts the administrative email from typed synthetic facts only. It is not given the case file.</w:t>
                  </w:r>
                </w:p>
                <w:p>
                  <w:pPr>
                    <w:spacing w:before="0" w:after="30"/>
                  </w:pPr>
                  <w:r>
                    <w:rPr>
                      <w:i/>
                      <w:color w:val="1C2730"/>
                      <w:sz w:val="15"/>
                    </w:rPr>
                    <w:t>Fact Sheet › System boundary › Microsoft 365 Copilot; Policy baseline › Copilot use, Input data</w:t>
                  </w:r>
                </w:p>
              </w:tc>
              <w:tc>
                <w:tcPr>
                  <w:tcW w:type="dxa" w:w="1900"/>
                  <w:shd w:val="clear" w:color="auto" w:fill="F8FAFB"/>
                </w:tcPr>
                <w:p>
                  <w:pPr>
                    <w:spacing w:before="0" w:after="30"/>
                  </w:pPr>
                  <w:r>
                    <w:rPr>
                      <w:b/>
                      <w:color w:val="1C2730"/>
                      <w:sz w:val="15"/>
                    </w:rPr>
                    <w:t>No (human-mediated).</w:t>
                  </w:r>
                  <w:r>
                    <w:rPr>
                      <w:color w:val="1C2730"/>
                      <w:sz w:val="15"/>
                    </w:rPr>
                    <w:t xml:space="preserve"> Dr. Chen types the prompt and moves the draft into the email. No Epic connection.</w:t>
                  </w:r>
                </w:p>
              </w:tc>
            </w:tr>
            <w:tr>
              <w:trPr>
                <w:cantSplit/>
              </w:trPr>
              <w:tc>
                <w:tcPr>
                  <w:tcW w:type="dxa" w:w="1350"/>
                </w:tcPr>
                <w:p>
                  <w:pPr>
                    <w:spacing w:before="0" w:after="30"/>
                  </w:pPr>
                  <w:r>
                    <w:rPr>
                      <w:b/>
                      <w:color w:val="1C2730"/>
                      <w:sz w:val="15"/>
                    </w:rPr>
                    <w:t>Outlook / Exchange Online</w:t>
                  </w:r>
                </w:p>
              </w:tc>
              <w:tc>
                <w:tcPr>
                  <w:tcW w:type="dxa" w:w="1250"/>
                </w:tcPr>
                <w:p>
                  <w:pPr>
                    <w:spacing w:before="0" w:after="30"/>
                  </w:pPr>
                  <w:r>
                    <w:rPr>
                      <w:color w:val="1C2730"/>
                      <w:sz w:val="15"/>
                    </w:rPr>
                    <w:t>Microsoft 365 messaging</w:t>
                  </w:r>
                </w:p>
              </w:tc>
              <w:tc>
                <w:tcPr>
                  <w:tcW w:type="dxa" w:w="3600"/>
                </w:tcPr>
                <w:p>
                  <w:pPr>
                    <w:spacing w:before="0" w:after="30"/>
                  </w:pPr>
                  <w:r>
                    <w:rPr>
                      <w:color w:val="1C2730"/>
                      <w:sz w:val="15"/>
                    </w:rPr>
                    <w:t>Outlook is where Dr. Chen writes, reviews and sends; Exchange Online delivers. She owns recipient selection, message review and Send.</w:t>
                  </w:r>
                </w:p>
                <w:p>
                  <w:pPr>
                    <w:spacing w:before="0" w:after="30"/>
                  </w:pPr>
                  <w:r>
                    <w:rPr>
                      <w:i/>
                      <w:color w:val="1C2730"/>
                      <w:sz w:val="15"/>
                    </w:rPr>
                    <w:t>Fact Sheet › System boundary › Outlook / Exchange Online</w:t>
                  </w:r>
                </w:p>
              </w:tc>
              <w:tc>
                <w:tcPr>
                  <w:tcW w:type="dxa" w:w="1900"/>
                </w:tcPr>
                <w:p>
                  <w:pPr>
                    <w:spacing w:before="0" w:after="30"/>
                  </w:pPr>
                  <w:r>
                    <w:rPr>
                      <w:b/>
                      <w:color w:val="1C2730"/>
                      <w:sz w:val="15"/>
                    </w:rPr>
                    <w:t>No (human-mediated).</w:t>
                  </w:r>
                  <w:r>
                    <w:rPr>
                      <w:color w:val="1C2730"/>
                      <w:sz w:val="15"/>
                    </w:rPr>
                    <w:t xml:space="preserve"> Delivery runs automatically only after Dr. Chen selects Send.</w:t>
                  </w:r>
                </w:p>
              </w:tc>
            </w:tr>
            <w:tr>
              <w:trPr>
                <w:cantSplit/>
              </w:trPr>
              <w:tc>
                <w:tcPr>
                  <w:tcW w:type="dxa" w:w="1350"/>
                  <w:shd w:val="clear" w:color="auto" w:fill="F8FAFB"/>
                </w:tcPr>
                <w:p>
                  <w:pPr>
                    <w:spacing w:before="0" w:after="30"/>
                  </w:pPr>
                  <w:r>
                    <w:rPr>
                      <w:b/>
                      <w:color w:val="1C2730"/>
                      <w:sz w:val="15"/>
                    </w:rPr>
                    <w:t>Coursera AI</w:t>
                  </w:r>
                </w:p>
              </w:tc>
              <w:tc>
                <w:tcPr>
                  <w:tcW w:type="dxa" w:w="1250"/>
                  <w:shd w:val="clear" w:color="auto" w:fill="F8FAFB"/>
                </w:tcPr>
                <w:p>
                  <w:pPr>
                    <w:spacing w:before="0" w:after="30"/>
                  </w:pPr>
                  <w:r>
                    <w:rPr>
                      <w:color w:val="1C2730"/>
                      <w:sz w:val="15"/>
                    </w:rPr>
                    <w:t>Simulation participant, outside the tenant</w:t>
                  </w:r>
                </w:p>
              </w:tc>
              <w:tc>
                <w:tcPr>
                  <w:tcW w:type="dxa" w:w="3600"/>
                  <w:shd w:val="clear" w:color="auto" w:fill="F8FAFB"/>
                </w:tcPr>
                <w:p>
                  <w:pPr>
                    <w:spacing w:before="0" w:after="30"/>
                  </w:pPr>
                  <w:r>
                    <w:rPr>
                      <w:color w:val="1C2730"/>
                      <w:sz w:val="15"/>
                    </w:rPr>
                    <w:t>Plays Dr. Chen in the coaching role play, with synthetic dialogue only.</w:t>
                  </w:r>
                </w:p>
                <w:p>
                  <w:pPr>
                    <w:spacing w:before="0" w:after="30"/>
                  </w:pPr>
                  <w:r>
                    <w:rPr>
                      <w:i/>
                      <w:color w:val="1C2730"/>
                      <w:sz w:val="15"/>
                    </w:rPr>
                    <w:t>Fact Sheet › System boundary › Coursera AI</w:t>
                  </w:r>
                </w:p>
              </w:tc>
              <w:tc>
                <w:tcPr>
                  <w:tcW w:type="dxa" w:w="1900"/>
                  <w:shd w:val="clear" w:color="auto" w:fill="F8FAFB"/>
                </w:tcPr>
                <w:p>
                  <w:pPr>
                    <w:spacing w:before="0" w:after="30"/>
                  </w:pPr>
                  <w:r>
                    <w:rPr>
                      <w:b/>
                      <w:color w:val="1C2730"/>
                      <w:sz w:val="15"/>
                    </w:rPr>
                    <w:t>No.</w:t>
                  </w:r>
                  <w:r>
                    <w:rPr>
                      <w:color w:val="1C2730"/>
                      <w:sz w:val="15"/>
                    </w:rPr>
                    <w:t xml:space="preserve"> “Not connected to the Contoso tenant or clinical systems.”</w:t>
                  </w:r>
                </w:p>
              </w:tc>
            </w:tr>
          </w:tbl>
          <w:p>
            <w:pPr>
              <w:spacing w:before="0" w:after="0"/>
              <w:rPr>
                <w:sz w:val="8"/>
              </w:rPr>
            </w:pPr>
          </w:p>
          <w:p>
            <w:pPr>
              <w:spacing w:before="80" w:after="40"/>
            </w:pPr>
            <w:r>
              <w:rPr>
                <w:b/>
                <w:color w:val="2D7F85"/>
                <w:sz w:val="15"/>
              </w:rPr>
              <w:t>WORKFLOW STEPS: HUMAN-MEDIATED OR TECHNICAL</w:t>
            </w:r>
          </w:p>
          <w:tbl>
            <w:tblPr>
              <w:tblW w:w="8100" w:type="dxa"/>
              <w:tblBorders>
                <w:top w:val="single" w:sz="4" w:space="0" w:color="D8E0E4"/>
                <w:left w:val="single" w:sz="4" w:space="0" w:color="D8E0E4"/>
                <w:bottom w:val="single" w:sz="4" w:space="0" w:color="D8E0E4"/>
                <w:right w:val="single" w:sz="4" w:space="0" w:color="D8E0E4"/>
                <w:insideH w:val="single" w:sz="4" w:space="0" w:color="D8E0E4"/>
                <w:insideV w:val="single" w:sz="4" w:space="0" w:color="D8E0E4"/>
              </w:tblBorders>
              <w:tblLayout w:type="fixed"/>
              <w:tblCellMar>
                <w:top w:w="45" w:type="dxa"/>
                <w:left w:w="80" w:type="dxa"/>
                <w:bottom w:w="45" w:type="dxa"/>
                <w:right w:w="80" w:type="dxa"/>
              </w:tblCellMar>
              <w:tblLook w:firstColumn="1" w:firstRow="1" w:lastColumn="0" w:lastRow="0" w:noHBand="0" w:noVBand="1" w:val="04A0"/>
            </w:tblPr>
            <w:tblGrid>
              <w:gridCol w:w="300"/>
              <w:gridCol w:w="2550"/>
              <w:gridCol w:w="1300"/>
              <w:gridCol w:w="1700"/>
              <w:gridCol w:w="2250"/>
            </w:tblGrid>
            <w:tr>
              <w:trPr>
                <w:tblHeader/>
                <w:cantSplit/>
              </w:trPr>
              <w:tc>
                <w:tcPr>
                  <w:tcW w:type="dxa" w:w="300"/>
                  <w:shd w:val="clear" w:color="auto" w:fill="17324D"/>
                </w:tcPr>
                <w:p>
                  <w:pPr>
                    <w:keepNext/>
                    <w:spacing w:before="0" w:after="30"/>
                  </w:pPr>
                  <w:r>
                    <w:rPr>
                      <w:b/>
                      <w:color w:val="FFFFFF"/>
                      <w:sz w:val="15"/>
                    </w:rPr>
                    <w:t>#</w:t>
                  </w:r>
                </w:p>
              </w:tc>
              <w:tc>
                <w:tcPr>
                  <w:tcW w:type="dxa" w:w="2550"/>
                  <w:shd w:val="clear" w:color="auto" w:fill="17324D"/>
                </w:tcPr>
                <w:p>
                  <w:pPr>
                    <w:keepNext/>
                    <w:spacing w:before="0" w:after="30"/>
                  </w:pPr>
                  <w:r>
                    <w:rPr>
                      <w:b/>
                      <w:color w:val="FFFFFF"/>
                      <w:sz w:val="15"/>
                    </w:rPr>
                    <w:t>Workflow action</w:t>
                  </w:r>
                </w:p>
              </w:tc>
              <w:tc>
                <w:tcPr>
                  <w:tcW w:type="dxa" w:w="1300"/>
                  <w:shd w:val="clear" w:color="auto" w:fill="17324D"/>
                </w:tcPr>
                <w:p>
                  <w:pPr>
                    <w:keepNext/>
                    <w:spacing w:before="0" w:after="30"/>
                  </w:pPr>
                  <w:r>
                    <w:rPr>
                      <w:b/>
                      <w:color w:val="FFFFFF"/>
                      <w:sz w:val="15"/>
                    </w:rPr>
                    <w:t>Done by</w:t>
                  </w:r>
                </w:p>
              </w:tc>
              <w:tc>
                <w:tcPr>
                  <w:tcW w:type="dxa" w:w="1700"/>
                  <w:shd w:val="clear" w:color="auto" w:fill="17324D"/>
                </w:tcPr>
                <w:p>
                  <w:pPr>
                    <w:keepNext/>
                    <w:spacing w:before="0" w:after="30"/>
                  </w:pPr>
                  <w:r>
                    <w:rPr>
                      <w:b/>
                      <w:color w:val="FFFFFF"/>
                      <w:sz w:val="15"/>
                    </w:rPr>
                    <w:t>Classification</w:t>
                  </w:r>
                </w:p>
              </w:tc>
              <w:tc>
                <w:tcPr>
                  <w:tcW w:type="dxa" w:w="2250"/>
                  <w:shd w:val="clear" w:color="auto" w:fill="17324D"/>
                </w:tcPr>
                <w:p>
                  <w:pPr>
                    <w:keepNext/>
                    <w:spacing w:before="0" w:after="30"/>
                  </w:pPr>
                  <w:r>
                    <w:rPr>
                      <w:b/>
                      <w:color w:val="FFFFFF"/>
                      <w:sz w:val="15"/>
                    </w:rPr>
                    <w:t>Evidence</w:t>
                  </w:r>
                </w:p>
              </w:tc>
            </w:tr>
            <w:tr>
              <w:tc>
                <w:tcPr>
                  <w:tcW w:type="dxa" w:w="300"/>
                </w:tcPr>
                <w:p>
                  <w:pPr>
                    <w:spacing w:before="0" w:after="30"/>
                  </w:pPr>
                  <w:r>
                    <w:rPr>
                      <w:color w:val="1C2730"/>
                      <w:sz w:val="15"/>
                    </w:rPr>
                    <w:t>1</w:t>
                  </w:r>
                </w:p>
              </w:tc>
              <w:tc>
                <w:tcPr>
                  <w:tcW w:type="dxa" w:w="2550"/>
                </w:tcPr>
                <w:p>
                  <w:pPr>
                    <w:spacing w:before="0" w:after="30"/>
                  </w:pPr>
                  <w:r>
                    <w:rPr>
                      <w:color w:val="1C2730"/>
                      <w:sz w:val="15"/>
                    </w:rPr>
                    <w:t>Confirm the synthetic case summary is in the approved team site library. No Epic export.</w:t>
                  </w:r>
                </w:p>
              </w:tc>
              <w:tc>
                <w:tcPr>
                  <w:tcW w:type="dxa" w:w="1300"/>
                </w:tcPr>
                <w:p>
                  <w:pPr>
                    <w:spacing w:before="0" w:after="30"/>
                  </w:pPr>
                  <w:r>
                    <w:rPr>
                      <w:color w:val="1C2730"/>
                      <w:sz w:val="15"/>
                    </w:rPr>
                    <w:t>Dr. Chen</w:t>
                  </w:r>
                </w:p>
              </w:tc>
              <w:tc>
                <w:tcPr>
                  <w:tcW w:type="dxa" w:w="1700"/>
                </w:tcPr>
                <w:p>
                  <w:pPr>
                    <w:spacing w:before="0" w:after="30"/>
                  </w:pPr>
                  <w:r>
                    <w:rPr>
                      <w:color w:val="1C2730"/>
                      <w:sz w:val="15"/>
                    </w:rPr>
                    <w:t>Human-mediated</w:t>
                  </w:r>
                </w:p>
              </w:tc>
              <w:tc>
                <w:tcPr>
                  <w:tcW w:type="dxa" w:w="2250"/>
                </w:tcPr>
                <w:p>
                  <w:pPr>
                    <w:spacing w:before="0" w:after="30"/>
                  </w:pPr>
                  <w:r>
                    <w:rPr>
                      <w:color w:val="1C2730"/>
                      <w:sz w:val="15"/>
                    </w:rPr>
                    <w:t>Case Packet › File, Collaboration location; Fact Sheet › SharePoint / OneDrive</w:t>
                  </w:r>
                </w:p>
              </w:tc>
            </w:tr>
            <w:tr>
              <w:trPr>
                <w:cantSplit/>
              </w:trPr>
              <w:tc>
                <w:tcPr>
                  <w:tcW w:type="dxa" w:w="300"/>
                  <w:shd w:val="clear" w:color="auto" w:fill="F8FAFB"/>
                </w:tcPr>
                <w:p>
                  <w:pPr>
                    <w:spacing w:before="0" w:after="30"/>
                  </w:pPr>
                  <w:r>
                    <w:rPr>
                      <w:color w:val="1C2730"/>
                      <w:sz w:val="15"/>
                    </w:rPr>
                    <w:t>2</w:t>
                  </w:r>
                </w:p>
              </w:tc>
              <w:tc>
                <w:tcPr>
                  <w:tcW w:type="dxa" w:w="2550"/>
                  <w:shd w:val="clear" w:color="auto" w:fill="F8FAFB"/>
                </w:tcPr>
                <w:p>
                  <w:pPr>
                    <w:spacing w:before="0" w:after="30"/>
                  </w:pPr>
                  <w:r>
                    <w:rPr>
                      <w:color w:val="1C2730"/>
                      <w:sz w:val="15"/>
                    </w:rPr>
                    <w:t>Sign in to SharePoint, Copilot and Outlook.</w:t>
                  </w:r>
                </w:p>
              </w:tc>
              <w:tc>
                <w:tcPr>
                  <w:tcW w:type="dxa" w:w="1300"/>
                  <w:shd w:val="clear" w:color="auto" w:fill="F8FAFB"/>
                </w:tcPr>
                <w:p>
                  <w:pPr>
                    <w:spacing w:before="0" w:after="30"/>
                  </w:pPr>
                  <w:r>
                    <w:rPr>
                      <w:color w:val="1C2730"/>
                      <w:sz w:val="15"/>
                    </w:rPr>
                    <w:t>Dr. Chen → Entra ID</w:t>
                  </w:r>
                </w:p>
              </w:tc>
              <w:tc>
                <w:tcPr>
                  <w:tcW w:type="dxa" w:w="1700"/>
                  <w:shd w:val="clear" w:color="auto" w:fill="F8FAFB"/>
                </w:tcPr>
                <w:p>
                  <w:pPr>
                    <w:spacing w:before="0" w:after="30"/>
                  </w:pPr>
                  <w:r>
                    <w:rPr>
                      <w:b/>
                      <w:color w:val="1C2730"/>
                      <w:sz w:val="15"/>
                    </w:rPr>
                    <w:t>Technical integration</w:t>
                  </w:r>
                  <w:r>
                    <w:rPr>
                      <w:color w:val="1C2730"/>
                      <w:sz w:val="15"/>
                    </w:rPr>
                    <w:t xml:space="preserve"> (authentication)</w:t>
                  </w:r>
                </w:p>
              </w:tc>
              <w:tc>
                <w:tcPr>
                  <w:tcW w:type="dxa" w:w="2250"/>
                  <w:shd w:val="clear" w:color="auto" w:fill="F8FAFB"/>
                </w:tcPr>
                <w:p>
                  <w:pPr>
                    <w:spacing w:before="0" w:after="30"/>
                  </w:pPr>
                  <w:r>
                    <w:rPr>
                      <w:color w:val="1C2730"/>
                      <w:sz w:val="15"/>
                    </w:rPr>
                    <w:t>Fact Sheet › Microsoft Entra ID</w:t>
                  </w:r>
                </w:p>
              </w:tc>
            </w:tr>
            <w:tr>
              <w:trPr>
                <w:cantSplit/>
              </w:trPr>
              <w:tc>
                <w:tcPr>
                  <w:tcW w:type="dxa" w:w="300"/>
                </w:tcPr>
                <w:p>
                  <w:pPr>
                    <w:spacing w:before="0" w:after="30"/>
                  </w:pPr>
                  <w:r>
                    <w:rPr>
                      <w:color w:val="1C2730"/>
                      <w:sz w:val="15"/>
                    </w:rPr>
                    <w:t>3</w:t>
                  </w:r>
                </w:p>
              </w:tc>
              <w:tc>
                <w:tcPr>
                  <w:tcW w:type="dxa" w:w="2550"/>
                </w:tcPr>
                <w:p>
                  <w:pPr>
                    <w:spacing w:before="0" w:after="30"/>
                  </w:pPr>
                  <w:r>
                    <w:rPr>
                      <w:color w:val="1C2730"/>
                      <w:sz w:val="15"/>
                    </w:rPr>
                    <w:t>Confirm the colleague is the authenticated person named in the approved request.</w:t>
                  </w:r>
                </w:p>
              </w:tc>
              <w:tc>
                <w:tcPr>
                  <w:tcW w:type="dxa" w:w="1300"/>
                </w:tcPr>
                <w:p>
                  <w:pPr>
                    <w:spacing w:before="0" w:after="30"/>
                  </w:pPr>
                  <w:r>
                    <w:rPr>
                      <w:color w:val="1C2730"/>
                      <w:sz w:val="15"/>
                    </w:rPr>
                    <w:t>Dr. Chen</w:t>
                  </w:r>
                </w:p>
              </w:tc>
              <w:tc>
                <w:tcPr>
                  <w:tcW w:type="dxa" w:w="1700"/>
                </w:tcPr>
                <w:p>
                  <w:pPr>
                    <w:spacing w:before="0" w:after="30"/>
                  </w:pPr>
                  <w:r>
                    <w:rPr>
                      <w:color w:val="1C2730"/>
                      <w:sz w:val="15"/>
                    </w:rPr>
                    <w:t>Human-mediated (clinician decision)</w:t>
                  </w:r>
                </w:p>
              </w:tc>
              <w:tc>
                <w:tcPr>
                  <w:tcW w:type="dxa" w:w="2250"/>
                </w:tcPr>
                <w:p>
                  <w:pPr>
                    <w:spacing w:before="0" w:after="30"/>
                  </w:pPr>
                  <w:r>
                    <w:rPr>
                      <w:color w:val="1C2730"/>
                      <w:sz w:val="15"/>
                    </w:rPr>
                    <w:t>Case Packet › Recipient; Fact Sheet › Outlook / Exchange Online; KB-410 bullet 3</w:t>
                  </w:r>
                </w:p>
              </w:tc>
            </w:tr>
            <w:tr>
              <w:trPr>
                <w:cantSplit/>
              </w:trPr>
              <w:tc>
                <w:tcPr>
                  <w:tcW w:type="dxa" w:w="300"/>
                  <w:shd w:val="clear" w:color="auto" w:fill="F8FAFB"/>
                </w:tcPr>
                <w:p>
                  <w:pPr>
                    <w:spacing w:before="0" w:after="30"/>
                  </w:pPr>
                  <w:r>
                    <w:rPr>
                      <w:color w:val="1C2730"/>
                      <w:sz w:val="15"/>
                    </w:rPr>
                    <w:t>4</w:t>
                  </w:r>
                </w:p>
              </w:tc>
              <w:tc>
                <w:tcPr>
                  <w:tcW w:type="dxa" w:w="2550"/>
                  <w:shd w:val="clear" w:color="auto" w:fill="F8FAFB"/>
                </w:tcPr>
                <w:p>
                  <w:pPr>
                    <w:spacing w:before="0" w:after="30"/>
                  </w:pPr>
                  <w:r>
                    <w:rPr>
                      <w:color w:val="1C2730"/>
                      <w:sz w:val="15"/>
                    </w:rPr>
                    <w:t>Share with that person only: recipient-specific, Can view, no Anyone link.</w:t>
                  </w:r>
                </w:p>
              </w:tc>
              <w:tc>
                <w:tcPr>
                  <w:tcW w:type="dxa" w:w="1300"/>
                  <w:shd w:val="clear" w:color="auto" w:fill="F8FAFB"/>
                </w:tcPr>
                <w:p>
                  <w:pPr>
                    <w:spacing w:before="0" w:after="30"/>
                  </w:pPr>
                  <w:r>
                    <w:rPr>
                      <w:color w:val="1C2730"/>
                      <w:sz w:val="15"/>
                    </w:rPr>
                    <w:t>Dr. Chen (Tier 1 explains)</w:t>
                  </w:r>
                </w:p>
              </w:tc>
              <w:tc>
                <w:tcPr>
                  <w:tcW w:type="dxa" w:w="1700"/>
                  <w:shd w:val="clear" w:color="auto" w:fill="F8FAFB"/>
                </w:tcPr>
                <w:p>
                  <w:pPr>
                    <w:spacing w:before="0" w:after="30"/>
                  </w:pPr>
                  <w:r>
                    <w:rPr>
                      <w:color w:val="1C2730"/>
                      <w:sz w:val="15"/>
                    </w:rPr>
                    <w:t>Human-mediated; SharePoint enforces the permission</w:t>
                  </w:r>
                </w:p>
              </w:tc>
              <w:tc>
                <w:tcPr>
                  <w:tcW w:type="dxa" w:w="2250"/>
                  <w:shd w:val="clear" w:color="auto" w:fill="F8FAFB"/>
                </w:tcPr>
                <w:p>
                  <w:pPr>
                    <w:spacing w:before="0" w:after="30"/>
                  </w:pPr>
                  <w:r>
                    <w:rPr>
                      <w:color w:val="1C2730"/>
                      <w:sz w:val="15"/>
                    </w:rPr>
                    <w:t>Fact Sheet › Policy baseline › External sharing, Permissions</w:t>
                  </w:r>
                </w:p>
              </w:tc>
            </w:tr>
            <w:tr>
              <w:trPr>
                <w:cantSplit/>
              </w:trPr>
              <w:tc>
                <w:tcPr>
                  <w:tcW w:type="dxa" w:w="300"/>
                </w:tcPr>
                <w:p>
                  <w:pPr>
                    <w:spacing w:before="0" w:after="30"/>
                  </w:pPr>
                  <w:r>
                    <w:rPr>
                      <w:color w:val="1C2730"/>
                      <w:sz w:val="15"/>
                    </w:rPr>
                    <w:t>5</w:t>
                  </w:r>
                </w:p>
              </w:tc>
              <w:tc>
                <w:tcPr>
                  <w:tcW w:type="dxa" w:w="2550"/>
                </w:tcPr>
                <w:p>
                  <w:pPr>
                    <w:spacing w:before="0" w:after="30"/>
                  </w:pPr>
                  <w:r>
                    <w:rPr>
                      <w:color w:val="1C2730"/>
                      <w:sz w:val="15"/>
                    </w:rPr>
                    <w:t>Read the Manage Access list.</w:t>
                  </w:r>
                </w:p>
              </w:tc>
              <w:tc>
                <w:tcPr>
                  <w:tcW w:type="dxa" w:w="1300"/>
                </w:tcPr>
                <w:p>
                  <w:pPr>
                    <w:spacing w:before="0" w:after="30"/>
                  </w:pPr>
                  <w:r>
                    <w:rPr>
                      <w:color w:val="1C2730"/>
                      <w:sz w:val="15"/>
                    </w:rPr>
                    <w:t>Dr. Chen (Tier 1 asks what she sees)</w:t>
                  </w:r>
                </w:p>
              </w:tc>
              <w:tc>
                <w:tcPr>
                  <w:tcW w:type="dxa" w:w="1700"/>
                </w:tcPr>
                <w:p>
                  <w:pPr>
                    <w:spacing w:before="0" w:after="30"/>
                  </w:pPr>
                  <w:r>
                    <w:rPr>
                      <w:color w:val="1C2730"/>
                      <w:sz w:val="15"/>
                    </w:rPr>
                    <w:t>Human-mediated</w:t>
                  </w:r>
                </w:p>
              </w:tc>
              <w:tc>
                <w:tcPr>
                  <w:tcW w:type="dxa" w:w="2250"/>
                </w:tcPr>
                <w:p>
                  <w:pPr>
                    <w:spacing w:before="0" w:after="30"/>
                  </w:pPr>
                  <w:r>
                    <w:rPr>
                      <w:color w:val="1C2730"/>
                      <w:sz w:val="15"/>
                    </w:rPr>
                    <w:t>Fact Sheet › External sharing (“Manage Access evidence and recipient confirmation”)</w:t>
                  </w:r>
                </w:p>
              </w:tc>
            </w:tr>
            <w:tr>
              <w:trPr>
                <w:cantSplit/>
              </w:trPr>
              <w:tc>
                <w:tcPr>
                  <w:tcW w:type="dxa" w:w="300"/>
                  <w:shd w:val="clear" w:color="auto" w:fill="F8FAFB"/>
                </w:tcPr>
                <w:p>
                  <w:pPr>
                    <w:spacing w:before="0" w:after="30"/>
                  </w:pPr>
                  <w:r>
                    <w:rPr>
                      <w:color w:val="1C2730"/>
                      <w:sz w:val="15"/>
                    </w:rPr>
                    <w:t>6</w:t>
                  </w:r>
                </w:p>
              </w:tc>
              <w:tc>
                <w:tcPr>
                  <w:tcW w:type="dxa" w:w="2550"/>
                  <w:shd w:val="clear" w:color="auto" w:fill="F8FAFB"/>
                </w:tcPr>
                <w:p>
                  <w:pPr>
                    <w:spacing w:before="0" w:after="30"/>
                  </w:pPr>
                  <w:r>
                    <w:rPr>
                      <w:color w:val="1C2730"/>
                      <w:sz w:val="15"/>
                    </w:rPr>
                    <w:t>Enter the RCCOF prompt card (synthetic administrative facts only).</w:t>
                  </w:r>
                </w:p>
              </w:tc>
              <w:tc>
                <w:tcPr>
                  <w:tcW w:type="dxa" w:w="1300"/>
                  <w:shd w:val="clear" w:color="auto" w:fill="F8FAFB"/>
                </w:tcPr>
                <w:p>
                  <w:pPr>
                    <w:spacing w:before="0" w:after="30"/>
                  </w:pPr>
                  <w:r>
                    <w:rPr>
                      <w:color w:val="1C2730"/>
                      <w:sz w:val="15"/>
                    </w:rPr>
                    <w:t>Dr. Chen</w:t>
                  </w:r>
                </w:p>
              </w:tc>
              <w:tc>
                <w:tcPr>
                  <w:tcW w:type="dxa" w:w="1700"/>
                  <w:shd w:val="clear" w:color="auto" w:fill="F8FAFB"/>
                </w:tcPr>
                <w:p>
                  <w:pPr>
                    <w:spacing w:before="0" w:after="30"/>
                  </w:pPr>
                  <w:r>
                    <w:rPr>
                      <w:color w:val="1C2730"/>
                      <w:sz w:val="15"/>
                    </w:rPr>
                    <w:t>Human-mediated</w:t>
                  </w:r>
                </w:p>
              </w:tc>
              <w:tc>
                <w:tcPr>
                  <w:tcW w:type="dxa" w:w="2250"/>
                  <w:shd w:val="clear" w:color="auto" w:fill="F8FAFB"/>
                </w:tcPr>
                <w:p>
                  <w:pPr>
                    <w:spacing w:before="0" w:after="30"/>
                  </w:pPr>
                  <w:r>
                    <w:rPr>
                      <w:color w:val="1C2730"/>
                      <w:sz w:val="15"/>
                    </w:rPr>
                    <w:t>Fact Sheet › Copilot use, Input data</w:t>
                  </w:r>
                </w:p>
              </w:tc>
            </w:tr>
            <w:tr>
              <w:trPr>
                <w:cantSplit/>
              </w:trPr>
              <w:tc>
                <w:tcPr>
                  <w:tcW w:type="dxa" w:w="300"/>
                </w:tcPr>
                <w:p>
                  <w:pPr>
                    <w:spacing w:before="0" w:after="30"/>
                  </w:pPr>
                  <w:r>
                    <w:rPr>
                      <w:color w:val="1C2730"/>
                      <w:sz w:val="15"/>
                    </w:rPr>
                    <w:t>7</w:t>
                  </w:r>
                </w:p>
              </w:tc>
              <w:tc>
                <w:tcPr>
                  <w:tcW w:type="dxa" w:w="2550"/>
                </w:tcPr>
                <w:p>
                  <w:pPr>
                    <w:spacing w:before="0" w:after="30"/>
                  </w:pPr>
                  <w:r>
                    <w:rPr>
                      <w:color w:val="1C2730"/>
                      <w:sz w:val="15"/>
                    </w:rPr>
                    <w:t>Copilot returns a draft.</w:t>
                  </w:r>
                </w:p>
              </w:tc>
              <w:tc>
                <w:tcPr>
                  <w:tcW w:type="dxa" w:w="1300"/>
                </w:tcPr>
                <w:p>
                  <w:pPr>
                    <w:spacing w:before="0" w:after="30"/>
                  </w:pPr>
                  <w:r>
                    <w:rPr>
                      <w:color w:val="1C2730"/>
                      <w:sz w:val="15"/>
                    </w:rPr>
                    <w:t>Microsoft 365 Copilot</w:t>
                  </w:r>
                </w:p>
              </w:tc>
              <w:tc>
                <w:tcPr>
                  <w:tcW w:type="dxa" w:w="1700"/>
                </w:tcPr>
                <w:p>
                  <w:pPr>
                    <w:spacing w:before="0" w:after="30"/>
                  </w:pPr>
                  <w:r>
                    <w:rPr>
                      <w:color w:val="1C2730"/>
                      <w:sz w:val="15"/>
                    </w:rPr>
                    <w:t>Technical, inside Copilot only; no onward data flow</w:t>
                  </w:r>
                </w:p>
              </w:tc>
              <w:tc>
                <w:tcPr>
                  <w:tcW w:type="dxa" w:w="2250"/>
                </w:tcPr>
                <w:p>
                  <w:pPr>
                    <w:spacing w:before="0" w:after="30"/>
                  </w:pPr>
                  <w:r>
                    <w:rPr>
                      <w:color w:val="1C2730"/>
                      <w:sz w:val="15"/>
                    </w:rPr>
                    <w:t>Fact Sheet › Microsoft 365 Copilot</w:t>
                  </w:r>
                </w:p>
              </w:tc>
            </w:tr>
            <w:tr>
              <w:trPr>
                <w:cantSplit/>
              </w:trPr>
              <w:tc>
                <w:tcPr>
                  <w:tcW w:type="dxa" w:w="300"/>
                  <w:shd w:val="clear" w:color="auto" w:fill="F8FAFB"/>
                </w:tcPr>
                <w:p>
                  <w:pPr>
                    <w:spacing w:before="0" w:after="30"/>
                  </w:pPr>
                  <w:r>
                    <w:rPr>
                      <w:color w:val="1C2730"/>
                      <w:sz w:val="15"/>
                    </w:rPr>
                    <w:t>8</w:t>
                  </w:r>
                </w:p>
              </w:tc>
              <w:tc>
                <w:tcPr>
                  <w:tcW w:type="dxa" w:w="2550"/>
                  <w:shd w:val="clear" w:color="auto" w:fill="F8FAFB"/>
                </w:tcPr>
                <w:p>
                  <w:pPr>
                    <w:spacing w:before="0" w:after="30"/>
                  </w:pPr>
                  <w:r>
                    <w:rPr>
                      <w:color w:val="1C2730"/>
                      <w:sz w:val="15"/>
                    </w:rPr>
                    <w:t>Check the draft against the Case Packet and the KB.</w:t>
                  </w:r>
                </w:p>
              </w:tc>
              <w:tc>
                <w:tcPr>
                  <w:tcW w:type="dxa" w:w="1300"/>
                  <w:shd w:val="clear" w:color="auto" w:fill="F8FAFB"/>
                </w:tcPr>
                <w:p>
                  <w:pPr>
                    <w:spacing w:before="0" w:after="30"/>
                  </w:pPr>
                  <w:r>
                    <w:rPr>
                      <w:color w:val="1C2730"/>
                      <w:sz w:val="15"/>
                    </w:rPr>
                    <w:t>Dr. Chen (Tier 1 coaches)</w:t>
                  </w:r>
                </w:p>
              </w:tc>
              <w:tc>
                <w:tcPr>
                  <w:tcW w:type="dxa" w:w="1700"/>
                  <w:shd w:val="clear" w:color="auto" w:fill="F8FAFB"/>
                </w:tcPr>
                <w:p>
                  <w:pPr>
                    <w:spacing w:before="0" w:after="30"/>
                  </w:pPr>
                  <w:r>
                    <w:rPr>
                      <w:color w:val="1C2730"/>
                      <w:sz w:val="15"/>
                    </w:rPr>
                    <w:t>Human-mediated</w:t>
                  </w:r>
                </w:p>
              </w:tc>
              <w:tc>
                <w:tcPr>
                  <w:tcW w:type="dxa" w:w="2250"/>
                  <w:shd w:val="clear" w:color="auto" w:fill="F8FAFB"/>
                </w:tcPr>
                <w:p>
                  <w:pPr>
                    <w:spacing w:before="0" w:after="30"/>
                  </w:pPr>
                  <w:r>
                    <w:rPr>
                      <w:color w:val="1C2730"/>
                      <w:sz w:val="15"/>
                    </w:rPr>
                    <w:t>Fact Sheet › Prompt verification</w:t>
                  </w:r>
                </w:p>
              </w:tc>
            </w:tr>
            <w:tr>
              <w:trPr>
                <w:cantSplit/>
              </w:trPr>
              <w:tc>
                <w:tcPr>
                  <w:tcW w:type="dxa" w:w="300"/>
                </w:tcPr>
                <w:p>
                  <w:pPr>
                    <w:spacing w:before="0" w:after="30"/>
                  </w:pPr>
                  <w:r>
                    <w:rPr>
                      <w:color w:val="1C2730"/>
                      <w:sz w:val="15"/>
                    </w:rPr>
                    <w:t>9</w:t>
                  </w:r>
                </w:p>
              </w:tc>
              <w:tc>
                <w:tcPr>
                  <w:tcW w:type="dxa" w:w="2550"/>
                </w:tcPr>
                <w:p>
                  <w:pPr>
                    <w:spacing w:before="0" w:after="30"/>
                  </w:pPr>
                  <w:r>
                    <w:rPr>
                      <w:color w:val="1C2730"/>
                      <w:sz w:val="15"/>
                    </w:rPr>
                    <w:t>Add recipient, link and signature, then select Send.</w:t>
                  </w:r>
                </w:p>
              </w:tc>
              <w:tc>
                <w:tcPr>
                  <w:tcW w:type="dxa" w:w="1300"/>
                </w:tcPr>
                <w:p>
                  <w:pPr>
                    <w:spacing w:before="0" w:after="30"/>
                  </w:pPr>
                  <w:r>
                    <w:rPr>
                      <w:color w:val="1C2730"/>
                      <w:sz w:val="15"/>
                    </w:rPr>
                    <w:t>Dr. Chen</w:t>
                  </w:r>
                </w:p>
              </w:tc>
              <w:tc>
                <w:tcPr>
                  <w:tcW w:type="dxa" w:w="1700"/>
                </w:tcPr>
                <w:p>
                  <w:pPr>
                    <w:spacing w:before="0" w:after="30"/>
                  </w:pPr>
                  <w:r>
                    <w:rPr>
                      <w:color w:val="1C2730"/>
                      <w:sz w:val="15"/>
                    </w:rPr>
                    <w:t>Human-mediated; Exchange Online delivers after Send</w:t>
                  </w:r>
                </w:p>
              </w:tc>
              <w:tc>
                <w:tcPr>
                  <w:tcW w:type="dxa" w:w="2250"/>
                </w:tcPr>
                <w:p>
                  <w:pPr>
                    <w:spacing w:before="0" w:after="30"/>
                  </w:pPr>
                  <w:r>
                    <w:rPr>
                      <w:color w:val="1C2730"/>
                      <w:sz w:val="15"/>
                    </w:rPr>
                    <w:t>Fact Sheet › Outlook / Exchange Online; Tier 1 authority</w:t>
                  </w:r>
                </w:p>
              </w:tc>
            </w:tr>
          </w:tbl>
          <w:p>
            <w:pPr>
              <w:spacing w:before="0" w:after="0"/>
              <w:rPr>
                <w:sz w:val="8"/>
              </w:rPr>
            </w:pPr>
          </w:p>
        </w:tc>
      </w:tr>
      <w:tr>
        <w:tc>
          <w:tcPr>
            <w:tcW w:type="dxa" w:w="1900"/>
            <w:tcBorders>
              <w:bottom w:val="single" w:sz="6" w:color="D8E0E4"/>
            </w:tcBorders>
            <w:tcMar>
              <w:top w:w="90" w:type="dxa"/>
              <w:start w:w="100" w:type="dxa"/>
              <w:bottom w:w="90" w:type="dxa"/>
              <w:end w:w="100" w:type="dxa"/>
            </w:tcMar>
            <w:vAlign w:val="top"/>
          </w:tcPr>
          <w:p>
            <w:pPr>
              <w:spacing w:after="40"/>
            </w:pPr>
            <w:r>
              <w:rPr>
                <w:sz w:val="17"/>
              </w:rPr>
              <w:t>Dependency chain</w:t>
            </w:r>
          </w:p>
        </w:tc>
        <w:tc>
          <w:tcPr>
            <w:tcW w:type="dxa" w:w="8324"/>
            <w:tcBorders>
              <w:bottom w:val="single" w:sz="6" w:color="D8E0E4"/>
            </w:tcBorders>
            <w:tcMar>
              <w:top w:w="90" w:type="dxa"/>
              <w:start w:w="100" w:type="dxa"/>
              <w:bottom w:w="90" w:type="dxa"/>
              <w:end w:w="100" w:type="dxa"/>
            </w:tcMar>
            <w:vAlign w:val="top"/>
          </w:tcPr>
          <w:p>
            <w:pPr>
              <w:spacing w:before="0" w:after="80"/>
            </w:pPr>
            <w:r>
              <w:rPr>
                <w:color w:val="1C2730"/>
                <w:sz w:val="17"/>
              </w:rPr>
              <w:t>Traced in the Analysis Worksheet order (§1.1): identity first, because an identity fault looks like a problem in any of the other three. Each row answers the required question for that category.</w:t>
            </w:r>
          </w:p>
          <w:tbl>
            <w:tblPr>
              <w:tblW w:w="8100" w:type="dxa"/>
              <w:tblBorders>
                <w:top w:val="single" w:sz="4" w:space="0" w:color="D8E0E4"/>
                <w:left w:val="single" w:sz="4" w:space="0" w:color="D8E0E4"/>
                <w:bottom w:val="single" w:sz="4" w:space="0" w:color="D8E0E4"/>
                <w:right w:val="single" w:sz="4" w:space="0" w:color="D8E0E4"/>
                <w:insideH w:val="single" w:sz="4" w:space="0" w:color="D8E0E4"/>
                <w:insideV w:val="single" w:sz="4" w:space="0" w:color="D8E0E4"/>
              </w:tblBorders>
              <w:tblLayout w:type="fixed"/>
              <w:tblCellMar>
                <w:top w:w="45" w:type="dxa"/>
                <w:left w:w="80" w:type="dxa"/>
                <w:bottom w:w="45" w:type="dxa"/>
                <w:right w:w="80" w:type="dxa"/>
              </w:tblCellMar>
              <w:tblLook w:firstColumn="1" w:firstRow="1" w:lastColumn="0" w:lastRow="0" w:noHBand="0" w:noVBand="1" w:val="04A0"/>
            </w:tblPr>
            <w:tblGrid>
              <w:gridCol w:w="1250"/>
              <w:gridCol w:w="2550"/>
              <w:gridCol w:w="2650"/>
              <w:gridCol w:w="1650"/>
            </w:tblGrid>
            <w:tr>
              <w:trPr>
                <w:tblHeader/>
                <w:cantSplit/>
              </w:trPr>
              <w:tc>
                <w:tcPr>
                  <w:tcW w:type="dxa" w:w="1250"/>
                  <w:shd w:val="clear" w:color="auto" w:fill="17324D"/>
                </w:tcPr>
                <w:p>
                  <w:pPr>
                    <w:keepNext/>
                    <w:spacing w:before="0" w:after="30"/>
                  </w:pPr>
                  <w:r>
                    <w:rPr>
                      <w:b/>
                      <w:color w:val="FFFFFF"/>
                      <w:sz w:val="15"/>
                    </w:rPr>
                    <w:t>Category · service</w:t>
                  </w:r>
                </w:p>
              </w:tc>
              <w:tc>
                <w:tcPr>
                  <w:tcW w:type="dxa" w:w="2550"/>
                  <w:shd w:val="clear" w:color="auto" w:fill="17324D"/>
                </w:tcPr>
                <w:p>
                  <w:pPr>
                    <w:keepNext/>
                    <w:spacing w:before="0" w:after="30"/>
                  </w:pPr>
                  <w:r>
                    <w:rPr>
                      <w:b/>
                      <w:color w:val="FFFFFF"/>
                      <w:sz w:val="15"/>
                    </w:rPr>
                    <w:t>Normal function (what must work)</w:t>
                  </w:r>
                </w:p>
              </w:tc>
              <w:tc>
                <w:tcPr>
                  <w:tcW w:type="dxa" w:w="2650"/>
                  <w:shd w:val="clear" w:color="auto" w:fill="17324D"/>
                </w:tcPr>
                <w:p>
                  <w:pPr>
                    <w:keepNext/>
                    <w:spacing w:before="0" w:after="30"/>
                  </w:pPr>
                  <w:r>
                    <w:rPr>
                      <w:b/>
                      <w:color w:val="FFFFFF"/>
                      <w:sz w:val="15"/>
                    </w:rPr>
                    <w:t>If degraded or down: what breaks, for whom, in what order</w:t>
                  </w:r>
                </w:p>
              </w:tc>
              <w:tc>
                <w:tcPr>
                  <w:tcW w:type="dxa" w:w="1650"/>
                  <w:shd w:val="clear" w:color="auto" w:fill="17324D"/>
                </w:tcPr>
                <w:p>
                  <w:pPr>
                    <w:keepNext/>
                    <w:spacing w:before="0" w:after="30"/>
                  </w:pPr>
                  <w:r>
                    <w:rPr>
                      <w:b/>
                      <w:color w:val="FFFFFF"/>
                      <w:sz w:val="15"/>
                    </w:rPr>
                    <w:t>Human vs. technical · side (Worksheet §1.2)</w:t>
                  </w:r>
                </w:p>
              </w:tc>
            </w:tr>
            <w:tr>
              <w:tc>
                <w:tcPr>
                  <w:tcW w:type="dxa" w:w="1250"/>
                </w:tcPr>
                <w:p>
                  <w:pPr>
                    <w:spacing w:before="0" w:after="30"/>
                  </w:pPr>
                  <w:r>
                    <w:rPr>
                      <w:b/>
                      <w:color w:val="1C2730"/>
                      <w:sz w:val="15"/>
                    </w:rPr>
                    <w:t>1 · Identity</w:t>
                  </w:r>
                </w:p>
                <w:p>
                  <w:pPr>
                    <w:spacing w:before="0" w:after="30"/>
                  </w:pPr>
                  <w:r>
                    <w:rPr>
                      <w:color w:val="1C2730"/>
                      <w:sz w:val="15"/>
                    </w:rPr>
                    <w:t>Microsoft Entra ID</w:t>
                  </w:r>
                </w:p>
              </w:tc>
              <w:tc>
                <w:tcPr>
                  <w:tcW w:type="dxa" w:w="2550"/>
                </w:tcPr>
                <w:p>
                  <w:pPr>
                    <w:spacing w:before="0" w:after="30"/>
                  </w:pPr>
                  <w:r>
                    <w:rPr>
                      <w:b/>
                      <w:color w:val="1C2730"/>
                      <w:sz w:val="15"/>
                    </w:rPr>
                    <w:t>Entra ID authenticates Dr. Chen</w:t>
                  </w:r>
                  <w:r>
                    <w:rPr>
                      <w:color w:val="1C2730"/>
                      <w:sz w:val="15"/>
                    </w:rPr>
                    <w:t xml:space="preserve"> for SharePoint / OneDrive and is the identity boundary for Copilot and Outlook (Conditional Access applies). </w:t>
                  </w:r>
                  <w:r>
                    <w:rPr>
                      <w:b/>
                      <w:color w:val="1C2730"/>
                      <w:sz w:val="15"/>
                    </w:rPr>
                    <w:t>The colleague must authenticate as the named recipient</w:t>
                  </w:r>
                  <w:r>
                    <w:rPr>
                      <w:color w:val="1C2730"/>
                      <w:sz w:val="15"/>
                    </w:rPr>
                    <w:t xml:space="preserve"> before the file opens (authenticated recipient-specific sharing).</w:t>
                  </w:r>
                </w:p>
                <w:p>
                  <w:pPr>
                    <w:spacing w:before="0" w:after="30"/>
                  </w:pPr>
                  <w:r>
                    <w:rPr>
                      <w:i/>
                      <w:color w:val="1C2730"/>
                      <w:sz w:val="15"/>
                    </w:rPr>
                    <w:t>Fact Sheet › Entra ID; External sharing</w:t>
                  </w:r>
                </w:p>
              </w:tc>
              <w:tc>
                <w:tcPr>
                  <w:tcW w:type="dxa" w:w="2650"/>
                </w:tcPr>
                <w:p>
                  <w:pPr>
                    <w:spacing w:before="0" w:after="30"/>
                  </w:pPr>
                  <w:r>
                    <w:rPr>
                      <w:color w:val="1C2730"/>
                      <w:sz w:val="15"/>
                    </w:rPr>
                    <w:t>If Dr. Chen can't sign in or Conditional Access blocks her, the workflow stops at step 2: no file, no Copilot, no Outlook. If the colleague can't authenticate, the email still arrives but the file won't open, so the consult starts without the summary. The fix is never an Anyone link.</w:t>
                  </w:r>
                </w:p>
                <w:p>
                  <w:pPr>
                    <w:spacing w:before="0" w:after="30"/>
                  </w:pPr>
                  <w:r>
                    <w:rPr>
                      <w:b/>
                      <w:color w:val="1C2730"/>
                      <w:sz w:val="15"/>
                    </w:rPr>
                    <w:t>Unable to Verify:</w:t>
                  </w:r>
                  <w:r>
                    <w:rPr>
                      <w:color w:val="1C2730"/>
                      <w:sz w:val="15"/>
                    </w:rPr>
                    <w:t xml:space="preserve"> the Fact Sheet doesn't describe how an external colleague signs in, or Dr. Chen's Copilot license. Record it and escalate if blocked (Fact Sheet › Decision boundaries, bullet 4).</w:t>
                  </w:r>
                </w:p>
              </w:tc>
              <w:tc>
                <w:tcPr>
                  <w:tcW w:type="dxa" w:w="1650"/>
                </w:tcPr>
                <w:p>
                  <w:pPr>
                    <w:spacing w:before="0" w:after="30"/>
                  </w:pPr>
                  <w:r>
                    <w:rPr>
                      <w:color w:val="1C2730"/>
                      <w:sz w:val="15"/>
                    </w:rPr>
                    <w:t>Technical integration (sign-in). Recipient choice is human.</w:t>
                  </w:r>
                </w:p>
                <w:p>
                  <w:pPr>
                    <w:spacing w:before="0" w:after="30"/>
                  </w:pPr>
                  <w:r>
                    <w:rPr>
                      <w:b/>
                      <w:color w:val="1C2730"/>
                      <w:sz w:val="15"/>
                    </w:rPr>
                    <w:t>Upstream of both</w:t>
                  </w:r>
                </w:p>
              </w:tc>
            </w:tr>
            <w:tr>
              <w:tc>
                <w:tcPr>
                  <w:tcW w:type="dxa" w:w="1250"/>
                  <w:shd w:val="clear" w:color="auto" w:fill="F8FAFB"/>
                </w:tcPr>
                <w:p>
                  <w:pPr>
                    <w:spacing w:before="0" w:after="30"/>
                  </w:pPr>
                  <w:r>
                    <w:rPr>
                      <w:b/>
                      <w:color w:val="1C2730"/>
                      <w:sz w:val="15"/>
                    </w:rPr>
                    <w:t>2 · Messaging</w:t>
                  </w:r>
                </w:p>
                <w:p>
                  <w:pPr>
                    <w:spacing w:before="0" w:after="30"/>
                  </w:pPr>
                  <w:r>
                    <w:rPr>
                      <w:color w:val="1C2730"/>
                      <w:sz w:val="15"/>
                    </w:rPr>
                    <w:t>Outlook / Exchange Online</w:t>
                  </w:r>
                </w:p>
              </w:tc>
              <w:tc>
                <w:tcPr>
                  <w:tcW w:type="dxa" w:w="2550"/>
                  <w:shd w:val="clear" w:color="auto" w:fill="F8FAFB"/>
                </w:tcPr>
                <w:p>
                  <w:pPr>
                    <w:spacing w:before="0" w:after="30"/>
                  </w:pPr>
                  <w:r>
                    <w:rPr>
                      <w:b/>
                      <w:color w:val="1C2730"/>
                      <w:sz w:val="15"/>
                    </w:rPr>
                    <w:t>Exchange Online delivers</w:t>
                  </w:r>
                  <w:r>
                    <w:rPr>
                      <w:color w:val="1C2730"/>
                      <w:sz w:val="15"/>
                    </w:rPr>
                    <w:t xml:space="preserve"> Dr. Chen's email, with the pasted link, to the address in the approved request.</w:t>
                  </w:r>
                </w:p>
                <w:p>
                  <w:pPr>
                    <w:spacing w:before="0" w:after="30"/>
                  </w:pPr>
                  <w:r>
                    <w:rPr>
                      <w:b/>
                      <w:color w:val="1C2730"/>
                      <w:sz w:val="15"/>
                    </w:rPr>
                    <w:t>Downstream dependency for the colleague:</w:t>
                  </w:r>
                  <w:r>
                    <w:rPr>
                      <w:color w:val="1C2730"/>
                      <w:sz w:val="15"/>
                    </w:rPr>
                    <w:t xml:space="preserve"> the email is only a pointer. Opening the file still depends on Identity (the colleague signs in) and File access (permission granted to that same identity).</w:t>
                  </w:r>
                </w:p>
                <w:p>
                  <w:pPr>
                    <w:spacing w:before="0" w:after="30"/>
                  </w:pPr>
                  <w:r>
                    <w:rPr>
                      <w:i/>
                      <w:color w:val="1C2730"/>
                      <w:sz w:val="15"/>
                    </w:rPr>
                    <w:t>Fact Sheet › Outlook / Exchange Online</w:t>
                  </w:r>
                </w:p>
              </w:tc>
              <w:tc>
                <w:tcPr>
                  <w:tcW w:type="dxa" w:w="2650"/>
                  <w:shd w:val="clear" w:color="auto" w:fill="F8FAFB"/>
                </w:tcPr>
                <w:p>
                  <w:pPr>
                    <w:spacing w:before="0" w:after="30"/>
                  </w:pPr>
                  <w:r>
                    <w:rPr>
                      <w:color w:val="1C2730"/>
                      <w:sz w:val="15"/>
                    </w:rPr>
                    <w:t>If delivery is delayed or bounces, the colleague has no pointer before the consult. The sharing permission itself is unaffected. A typo in the To line sends the pointer to the wrong person; the link should still not open for them, because access is tied to the named recipient. Tier 1 does not resend on Dr. Chen's behalf.</w:t>
                  </w:r>
                </w:p>
              </w:tc>
              <w:tc>
                <w:tcPr>
                  <w:tcW w:type="dxa" w:w="1650"/>
                  <w:shd w:val="clear" w:color="auto" w:fill="F8FAFB"/>
                </w:tcPr>
                <w:p>
                  <w:pPr>
                    <w:spacing w:before="0" w:after="30"/>
                  </w:pPr>
                  <w:r>
                    <w:rPr>
                      <w:color w:val="1C2730"/>
                      <w:sz w:val="15"/>
                    </w:rPr>
                    <w:t>Human-mediated: Dr. Chen enters the address and sends.</w:t>
                  </w:r>
                </w:p>
                <w:p>
                  <w:pPr>
                    <w:spacing w:before="0" w:after="30"/>
                  </w:pPr>
                  <w:r>
                    <w:rPr>
                      <w:b/>
                      <w:color w:val="1C2730"/>
                      <w:sz w:val="15"/>
                    </w:rPr>
                    <w:t>Microsoft 365 side</w:t>
                  </w:r>
                </w:p>
              </w:tc>
            </w:tr>
            <w:tr>
              <w:tc>
                <w:tcPr>
                  <w:tcW w:type="dxa" w:w="1250"/>
                </w:tcPr>
                <w:p>
                  <w:pPr>
                    <w:spacing w:before="0" w:after="30"/>
                  </w:pPr>
                  <w:r>
                    <w:rPr>
                      <w:b/>
                      <w:color w:val="1C2730"/>
                      <w:sz w:val="15"/>
                    </w:rPr>
                    <w:t>3 · File access</w:t>
                  </w:r>
                </w:p>
                <w:p>
                  <w:pPr>
                    <w:spacing w:before="0" w:after="30"/>
                  </w:pPr>
                  <w:r>
                    <w:rPr>
                      <w:color w:val="1C2730"/>
                      <w:sz w:val="15"/>
                    </w:rPr>
                    <w:t>SharePoint / OneDrive</w:t>
                  </w:r>
                </w:p>
              </w:tc>
              <w:tc>
                <w:tcPr>
                  <w:tcW w:type="dxa" w:w="2550"/>
                </w:tcPr>
                <w:p>
                  <w:pPr>
                    <w:spacing w:before="0" w:after="30"/>
                  </w:pPr>
                  <w:r>
                    <w:rPr>
                      <w:b/>
                      <w:color w:val="1C2730"/>
                      <w:sz w:val="15"/>
                    </w:rPr>
                    <w:t>SharePoint / OneDrive decides whether the colleague can open the file.</w:t>
                  </w:r>
                  <w:r>
                    <w:rPr>
                      <w:color w:val="1C2730"/>
                      <w:sz w:val="15"/>
                    </w:rPr>
                    <w:t xml:space="preserve"> Required configuration for external collaboration: authenticated recipient-specific sharing (People you choose / Specific people); no anonymous or Anyone link; no broadening of site or library permissions. Can view is the minimum-necessary level. The Fact Sheet sets no level, so Dr. Chen confirms it.</w:t>
                  </w:r>
                </w:p>
                <w:p>
                  <w:pPr>
                    <w:spacing w:before="0" w:after="30"/>
                  </w:pPr>
                  <w:r>
                    <w:rPr>
                      <w:i/>
                      <w:color w:val="1C2730"/>
                      <w:sz w:val="15"/>
                    </w:rPr>
                    <w:t>Fact Sheet › External sharing, Permissions; KB-410 bullets 1–2</w:t>
                  </w:r>
                </w:p>
              </w:tc>
              <w:tc>
                <w:tcPr>
                  <w:tcW w:type="dxa" w:w="2650"/>
                </w:tcPr>
                <w:p>
                  <w:pPr>
                    <w:spacing w:before="0" w:after="30"/>
                  </w:pPr>
                  <w:r>
                    <w:rPr>
                      <w:color w:val="1C2730"/>
                      <w:sz w:val="15"/>
                    </w:rPr>
                    <w:t>If recipient-specific external sharing is blocked by tenant policy or inherited permissions, the approved path is unavailable: stop and escalate. Don't switch the link type (Fact Sheet › Permissions). If it is misconfigured (Anyone link, wrong person), the file may be disclosed inappropriately: privacy route. If the service is degraded, the colleague can't open the file even when the email arrives.</w:t>
                  </w:r>
                </w:p>
              </w:tc>
              <w:tc>
                <w:tcPr>
                  <w:tcW w:type="dxa" w:w="1650"/>
                </w:tcPr>
                <w:p>
                  <w:pPr>
                    <w:spacing w:before="0" w:after="30"/>
                  </w:pPr>
                  <w:r>
                    <w:rPr>
                      <w:color w:val="1C2730"/>
                      <w:sz w:val="15"/>
                    </w:rPr>
                    <w:t>Human-mediated setting; SharePoint enforces it.</w:t>
                  </w:r>
                </w:p>
                <w:p>
                  <w:pPr>
                    <w:spacing w:before="0" w:after="30"/>
                  </w:pPr>
                  <w:r>
                    <w:rPr>
                      <w:b/>
                      <w:color w:val="1C2730"/>
                      <w:sz w:val="15"/>
                    </w:rPr>
                    <w:t>Microsoft 365 side</w:t>
                  </w:r>
                </w:p>
              </w:tc>
            </w:tr>
            <w:tr>
              <w:tc>
                <w:tcPr>
                  <w:tcW w:type="dxa" w:w="1250"/>
                  <w:shd w:val="clear" w:color="auto" w:fill="F8FAFB"/>
                </w:tcPr>
                <w:p>
                  <w:pPr>
                    <w:spacing w:before="0" w:after="30"/>
                  </w:pPr>
                  <w:r>
                    <w:rPr>
                      <w:b/>
                      <w:color w:val="1C2730"/>
                      <w:sz w:val="15"/>
                    </w:rPr>
                    <w:t>4 · Clinical system availability</w:t>
                  </w:r>
                </w:p>
                <w:p>
                  <w:pPr>
                    <w:spacing w:before="0" w:after="30"/>
                  </w:pPr>
                  <w:r>
                    <w:rPr>
                      <w:color w:val="1C2730"/>
                      <w:sz w:val="15"/>
                    </w:rPr>
                    <w:t>Epic Hyperspace</w:t>
                  </w:r>
                </w:p>
              </w:tc>
              <w:tc>
                <w:tcPr>
                  <w:tcW w:type="dxa" w:w="2550"/>
                  <w:shd w:val="clear" w:color="auto" w:fill="F8FAFB"/>
                </w:tcPr>
                <w:p>
                  <w:pPr>
                    <w:spacing w:before="0" w:after="30"/>
                  </w:pPr>
                  <w:r>
                    <w:rPr>
                      <w:b/>
                      <w:color w:val="1C2730"/>
                      <w:sz w:val="15"/>
                    </w:rPr>
                    <w:t>No runtime role.</w:t>
                  </w:r>
                  <w:r>
                    <w:rPr>
                      <w:color w:val="1C2730"/>
                      <w:sz w:val="15"/>
                    </w:rPr>
                    <w:t xml:space="preserve"> Epic is upstream context only. </w:t>
                  </w:r>
                  <w:r>
                    <w:rPr>
                      <w:b/>
                      <w:color w:val="1C2730"/>
                      <w:sz w:val="15"/>
                    </w:rPr>
                    <w:t>The case summary was produced independently:</w:t>
                  </w:r>
                  <w:r>
                    <w:rPr>
                      <w:color w:val="1C2730"/>
                      <w:sz w:val="15"/>
                    </w:rPr>
                    <w:t xml:space="preserve"> a synthetic, role-coded narrative written for the exercise and already stored in SharePoint. It is not stored in or exported from Epic in this workflow.</w:t>
                  </w:r>
                </w:p>
                <w:p>
                  <w:pPr>
                    <w:spacing w:before="0" w:after="30"/>
                  </w:pPr>
                  <w:r>
                    <w:rPr>
                      <w:i/>
                      <w:color w:val="1C2730"/>
                      <w:sz w:val="15"/>
                    </w:rPr>
                    <w:t>Fact Sheet › Epic Hyperspace; Case Packet › File, Synthetic source summary</w:t>
                  </w:r>
                </w:p>
              </w:tc>
              <w:tc>
                <w:tcPr>
                  <w:tcW w:type="dxa" w:w="2650"/>
                  <w:shd w:val="clear" w:color="auto" w:fill="F8FAFB"/>
                </w:tcPr>
                <w:p>
                  <w:pPr>
                    <w:spacing w:before="0" w:after="30"/>
                  </w:pPr>
                  <w:r>
                    <w:rPr>
                      <w:color w:val="1C2730"/>
                      <w:sz w:val="15"/>
                    </w:rPr>
                    <w:t>An Epic outage does not stop sharing, drafting or sending; it affects Dr. Chen's wider clinical work, which is outside this request. If she reports an Epic problem, Tier 1 names the category and warm-transfers without diagnosing it (Worksheet §1.4).</w:t>
                  </w:r>
                </w:p>
              </w:tc>
              <w:tc>
                <w:tcPr>
                  <w:tcW w:type="dxa" w:w="1650"/>
                  <w:shd w:val="clear" w:color="auto" w:fill="F8FAFB"/>
                </w:tcPr>
                <w:p>
                  <w:pPr>
                    <w:spacing w:before="0" w:after="30"/>
                  </w:pPr>
                  <w:r>
                    <w:rPr>
                      <w:color w:val="1C2730"/>
                      <w:sz w:val="15"/>
                    </w:rPr>
                    <w:t>No integration.</w:t>
                  </w:r>
                </w:p>
                <w:p>
                  <w:pPr>
                    <w:spacing w:before="0" w:after="30"/>
                  </w:pPr>
                  <w:r>
                    <w:rPr>
                      <w:b/>
                      <w:color w:val="1C2730"/>
                      <w:sz w:val="15"/>
                    </w:rPr>
                    <w:t>Clinical application side</w:t>
                  </w:r>
                </w:p>
              </w:tc>
            </w:tr>
          </w:tbl>
          <w:p>
            <w:pPr>
              <w:spacing w:before="0" w:after="0"/>
              <w:rPr>
                <w:sz w:val="8"/>
              </w:rPr>
            </w:pPr>
          </w:p>
          <w:tbl>
            <w:tblPr>
              <w:tblW w:w="8100" w:type="dxa"/>
              <w:tblBorders>
                <w:top w:val="single" w:sz="4" w:space="0" w:color="2D7F85"/>
                <w:left w:val="single" w:sz="24" w:space="0" w:color="2D7F85"/>
                <w:bottom w:val="single" w:sz="4" w:space="0" w:color="2D7F85"/>
                <w:right w:val="single" w:sz="4" w:space="0" w:color="2D7F85"/>
              </w:tblBorders>
              <w:tblLayout w:type="fixed"/>
              <w:tblCellMar>
                <w:top w:w="70" w:type="dxa"/>
                <w:left w:w="120" w:type="dxa"/>
                <w:bottom w:w="70" w:type="dxa"/>
                <w:right w:w="120" w:type="dxa"/>
              </w:tblCellMar>
              <w:tblLook w:firstColumn="1" w:firstRow="1" w:lastColumn="0" w:lastRow="0" w:noHBand="0" w:noVBand="1" w:val="04A0"/>
            </w:tblPr>
            <w:tblGrid>
              <w:gridCol w:w="8100"/>
            </w:tblGrid>
            <w:tr>
              <w:trPr>
                <w:cantSplit/>
              </w:trPr>
              <w:tc>
                <w:tcPr>
                  <w:tcW w:type="dxa" w:w="8100"/>
                  <w:shd w:val="clear" w:color="auto" w:fill="EEF5F5"/>
                </w:tcPr>
                <w:p>
                  <w:pPr>
                    <w:spacing w:before="0" w:after="40"/>
                  </w:pPr>
                  <w:r>
                    <w:rPr>
                      <w:b/>
                      <w:color w:val="2D7F85"/>
                      <w:sz w:val="17"/>
                    </w:rPr>
                    <w:t>Failure sequence in one line</w:t>
                  </w:r>
                </w:p>
                <w:p>
                  <w:pPr>
                    <w:spacing w:before="0" w:after="40"/>
                  </w:pPr>
                  <w:r>
                    <w:rPr>
                      <w:color w:val="1C2730"/>
                      <w:sz w:val="17"/>
                    </w:rPr>
                    <w:t>An identity failure stops everything. A file-access failure leaves an email pointing to a file nobody can open. A messaging failure leaves a correctly shared file with no pointer. An Epic failure doesn't touch this workflow.</w:t>
                  </w:r>
                </w:p>
                <w:p>
                  <w:pPr>
                    <w:spacing w:before="0" w:after="40"/>
                  </w:pPr>
                  <w:r>
                    <w:rPr>
                      <w:b/>
                      <w:color w:val="1C2730"/>
                      <w:sz w:val="17"/>
                    </w:rPr>
                    <w:t>Not one of the four categories:</w:t>
                  </w:r>
                  <w:r>
                    <w:rPr>
                      <w:color w:val="1C2730"/>
                      <w:sz w:val="17"/>
                    </w:rPr>
                    <w:t xml:space="preserve"> Microsoft 365 Copilot is off the critical path. If it is unavailable, Dr. Chen writes the short email herself. The 45-minute deadline does not justify any workaround (Case Packet › Deadline; ITS-STD-014 §4 NA-03 boundary note).</w:t>
                  </w:r>
                </w:p>
              </w:tc>
            </w:tr>
          </w:tbl>
          <w:p>
            <w:pPr>
              <w:spacing w:before="0" w:after="0"/>
              <w:rPr>
                <w:sz w:val="8"/>
              </w:rPr>
            </w:pPr>
          </w:p>
        </w:tc>
      </w:tr>
      <w:tr>
        <w:tc>
          <w:tcPr>
            <w:tcW w:type="dxa" w:w="1900"/>
            <w:tcBorders>
              <w:bottom w:val="single" w:sz="6" w:color="D8E0E4"/>
            </w:tcBorders>
            <w:shd w:fill="F8FAFB"/>
            <w:tcMar>
              <w:top w:w="90" w:type="dxa"/>
              <w:start w:w="100" w:type="dxa"/>
              <w:bottom w:w="90" w:type="dxa"/>
              <w:end w:w="100" w:type="dxa"/>
            </w:tcMar>
            <w:vAlign w:val="top"/>
          </w:tcPr>
          <w:p>
            <w:pPr>
              <w:spacing w:after="40"/>
            </w:pPr>
            <w:r>
              <w:rPr>
                <w:sz w:val="17"/>
              </w:rPr>
              <w:t>Human vs. technical boundary</w:t>
            </w:r>
          </w:p>
        </w:tc>
        <w:tc>
          <w:tcPr>
            <w:tcW w:type="dxa" w:w="8324"/>
            <w:tcBorders>
              <w:bottom w:val="single" w:sz="6" w:color="D8E0E4"/>
            </w:tcBorders>
            <w:shd w:fill="F8FAFB"/>
            <w:tcMar>
              <w:top w:w="90" w:type="dxa"/>
              <w:start w:w="100" w:type="dxa"/>
              <w:bottom w:w="90" w:type="dxa"/>
              <w:end w:w="100" w:type="dxa"/>
            </w:tcMar>
            <w:vAlign w:val="top"/>
          </w:tcPr>
          <w:p>
            <w:pPr>
              <w:spacing w:before="0" w:after="80"/>
            </w:pPr>
            <w:r>
              <w:rPr>
                <w:b/>
                <w:color w:val="1C2730"/>
                <w:sz w:val="17"/>
              </w:rPr>
              <w:t>The only technical integration documented is Entra ID sign-in.</w:t>
            </w:r>
            <w:r>
              <w:rPr>
                <w:color w:val="1C2730"/>
                <w:sz w:val="17"/>
              </w:rPr>
              <w:t xml:space="preserve"> Every movement of content between systems is human-mediated. Dr. Chen decides what goes into Copilot, moves the draft into Outlook, chooses the recipient, sets the share and selects Send. No Epic-to-Copilot or Epic-to-Microsoft 365 integration is assumed.</w:t>
            </w:r>
          </w:p>
          <w:p>
            <w:pPr>
              <w:spacing w:before="80" w:after="40"/>
            </w:pPr>
            <w:r>
              <w:rPr>
                <w:b/>
                <w:color w:val="2D7F85"/>
                <w:sz w:val="15"/>
              </w:rPr>
              <w:t>WHO OWNS EACH DECISION</w:t>
            </w:r>
          </w:p>
          <w:tbl>
            <w:tblPr>
              <w:tblW w:w="8100" w:type="dxa"/>
              <w:tblBorders>
                <w:top w:val="single" w:sz="4" w:space="0" w:color="D8E0E4"/>
                <w:left w:val="single" w:sz="4" w:space="0" w:color="D8E0E4"/>
                <w:bottom w:val="single" w:sz="4" w:space="0" w:color="D8E0E4"/>
                <w:right w:val="single" w:sz="4" w:space="0" w:color="D8E0E4"/>
                <w:insideH w:val="single" w:sz="4" w:space="0" w:color="D8E0E4"/>
                <w:insideV w:val="single" w:sz="4" w:space="0" w:color="D8E0E4"/>
              </w:tblBorders>
              <w:tblLayout w:type="fixed"/>
              <w:tblCellMar>
                <w:top w:w="45" w:type="dxa"/>
                <w:left w:w="80" w:type="dxa"/>
                <w:bottom w:w="45" w:type="dxa"/>
                <w:right w:w="80" w:type="dxa"/>
              </w:tblCellMar>
              <w:tblLook w:firstColumn="1" w:firstRow="1" w:lastColumn="0" w:lastRow="0" w:noHBand="0" w:noVBand="1" w:val="04A0"/>
            </w:tblPr>
            <w:tblGrid>
              <w:gridCol w:w="2000"/>
              <w:gridCol w:w="1500"/>
              <w:gridCol w:w="2500"/>
              <w:gridCol w:w="2100"/>
            </w:tblGrid>
            <w:tr>
              <w:trPr>
                <w:tblHeader/>
                <w:cantSplit/>
              </w:trPr>
              <w:tc>
                <w:tcPr>
                  <w:tcW w:type="dxa" w:w="2000"/>
                  <w:shd w:val="clear" w:color="auto" w:fill="17324D"/>
                </w:tcPr>
                <w:p>
                  <w:pPr>
                    <w:keepNext/>
                    <w:spacing w:before="0" w:after="30"/>
                  </w:pPr>
                  <w:r>
                    <w:rPr>
                      <w:b/>
                      <w:color w:val="FFFFFF"/>
                      <w:sz w:val="15"/>
                    </w:rPr>
                    <w:t>Decision</w:t>
                  </w:r>
                </w:p>
              </w:tc>
              <w:tc>
                <w:tcPr>
                  <w:tcW w:type="dxa" w:w="1500"/>
                  <w:shd w:val="clear" w:color="auto" w:fill="17324D"/>
                </w:tcPr>
                <w:p>
                  <w:pPr>
                    <w:keepNext/>
                    <w:spacing w:before="0" w:after="30"/>
                  </w:pPr>
                  <w:r>
                    <w:rPr>
                      <w:b/>
                      <w:color w:val="FFFFFF"/>
                      <w:sz w:val="15"/>
                    </w:rPr>
                    <w:t>Owner</w:t>
                  </w:r>
                </w:p>
              </w:tc>
              <w:tc>
                <w:tcPr>
                  <w:tcW w:type="dxa" w:w="2500"/>
                  <w:shd w:val="clear" w:color="auto" w:fill="17324D"/>
                </w:tcPr>
                <w:p>
                  <w:pPr>
                    <w:keepNext/>
                    <w:spacing w:before="0" w:after="30"/>
                  </w:pPr>
                  <w:r>
                    <w:rPr>
                      <w:b/>
                      <w:color w:val="FFFFFF"/>
                      <w:sz w:val="15"/>
                    </w:rPr>
                    <w:t>Tier 1's part</w:t>
                  </w:r>
                </w:p>
              </w:tc>
              <w:tc>
                <w:tcPr>
                  <w:tcW w:type="dxa" w:w="2100"/>
                  <w:shd w:val="clear" w:color="auto" w:fill="17324D"/>
                </w:tcPr>
                <w:p>
                  <w:pPr>
                    <w:keepNext/>
                    <w:spacing w:before="0" w:after="30"/>
                  </w:pPr>
                  <w:r>
                    <w:rPr>
                      <w:b/>
                      <w:color w:val="FFFFFF"/>
                      <w:sz w:val="15"/>
                    </w:rPr>
                    <w:t>Evidence</w:t>
                  </w:r>
                </w:p>
              </w:tc>
            </w:tr>
            <w:tr>
              <w:tc>
                <w:tcPr>
                  <w:tcW w:type="dxa" w:w="2000"/>
                </w:tcPr>
                <w:p>
                  <w:pPr>
                    <w:spacing w:before="0" w:after="30"/>
                  </w:pPr>
                  <w:r>
                    <w:rPr>
                      <w:color w:val="1C2730"/>
                      <w:sz w:val="15"/>
                    </w:rPr>
                    <w:t>Clinical content; whether to consult</w:t>
                  </w:r>
                </w:p>
              </w:tc>
              <w:tc>
                <w:tcPr>
                  <w:tcW w:type="dxa" w:w="1500"/>
                </w:tcPr>
                <w:p>
                  <w:pPr>
                    <w:spacing w:before="0" w:after="30"/>
                  </w:pPr>
                  <w:r>
                    <w:rPr>
                      <w:color w:val="1C2730"/>
                      <w:sz w:val="15"/>
                    </w:rPr>
                    <w:t>Dr. Chen</w:t>
                  </w:r>
                </w:p>
              </w:tc>
              <w:tc>
                <w:tcPr>
                  <w:tcW w:type="dxa" w:w="2500"/>
                </w:tcPr>
                <w:p>
                  <w:pPr>
                    <w:spacing w:before="0" w:after="30"/>
                  </w:pPr>
                  <w:r>
                    <w:rPr>
                      <w:color w:val="1C2730"/>
                      <w:sz w:val="15"/>
                    </w:rPr>
                    <w:t>None. Does not judge clinical appropriateness.</w:t>
                  </w:r>
                </w:p>
              </w:tc>
              <w:tc>
                <w:tcPr>
                  <w:tcW w:type="dxa" w:w="2100"/>
                </w:tcPr>
                <w:p>
                  <w:pPr>
                    <w:spacing w:before="0" w:after="30"/>
                  </w:pPr>
                  <w:r>
                    <w:rPr>
                      <w:color w:val="1C2730"/>
                      <w:sz w:val="15"/>
                    </w:rPr>
                    <w:t>Fact Sheet › Decision boundaries, bullet 1</w:t>
                  </w:r>
                </w:p>
              </w:tc>
            </w:tr>
            <w:tr>
              <w:trPr>
                <w:cantSplit/>
              </w:trPr>
              <w:tc>
                <w:tcPr>
                  <w:tcW w:type="dxa" w:w="2000"/>
                  <w:shd w:val="clear" w:color="auto" w:fill="F8FAFB"/>
                </w:tcPr>
                <w:p>
                  <w:pPr>
                    <w:spacing w:before="0" w:after="30"/>
                  </w:pPr>
                  <w:r>
                    <w:rPr>
                      <w:color w:val="1C2730"/>
                      <w:sz w:val="15"/>
                    </w:rPr>
                    <w:t>Recipient selection and authorization</w:t>
                  </w:r>
                </w:p>
              </w:tc>
              <w:tc>
                <w:tcPr>
                  <w:tcW w:type="dxa" w:w="1500"/>
                  <w:shd w:val="clear" w:color="auto" w:fill="F8FAFB"/>
                </w:tcPr>
                <w:p>
                  <w:pPr>
                    <w:spacing w:before="0" w:after="30"/>
                  </w:pPr>
                  <w:r>
                    <w:rPr>
                      <w:color w:val="1C2730"/>
                      <w:sz w:val="15"/>
                    </w:rPr>
                    <w:t>Dr. Chen</w:t>
                  </w:r>
                </w:p>
              </w:tc>
              <w:tc>
                <w:tcPr>
                  <w:tcW w:type="dxa" w:w="2500"/>
                  <w:shd w:val="clear" w:color="auto" w:fill="F8FAFB"/>
                </w:tcPr>
                <w:p>
                  <w:pPr>
                    <w:spacing w:before="0" w:after="30"/>
                  </w:pPr>
                  <w:r>
                    <w:rPr>
                      <w:color w:val="1C2730"/>
                      <w:sz w:val="15"/>
                    </w:rPr>
                    <w:t>Explains the check. Escalates if the recipient can't be authenticated.</w:t>
                  </w:r>
                </w:p>
              </w:tc>
              <w:tc>
                <w:tcPr>
                  <w:tcW w:type="dxa" w:w="2100"/>
                  <w:shd w:val="clear" w:color="auto" w:fill="F8FAFB"/>
                </w:tcPr>
                <w:p>
                  <w:pPr>
                    <w:spacing w:before="0" w:after="30"/>
                  </w:pPr>
                  <w:r>
                    <w:rPr>
                      <w:color w:val="1C2730"/>
                      <w:sz w:val="15"/>
                    </w:rPr>
                    <w:t>Fact Sheet › Outlook / Exchange Online; KB-410 bullet 3; KB-422 bullet 3</w:t>
                  </w:r>
                </w:p>
              </w:tc>
            </w:tr>
            <w:tr>
              <w:trPr>
                <w:cantSplit/>
              </w:trPr>
              <w:tc>
                <w:tcPr>
                  <w:tcW w:type="dxa" w:w="2000"/>
                </w:tcPr>
                <w:p>
                  <w:pPr>
                    <w:spacing w:before="0" w:after="30"/>
                  </w:pPr>
                  <w:r>
                    <w:rPr>
                      <w:color w:val="1C2730"/>
                      <w:sz w:val="15"/>
                    </w:rPr>
                    <w:t>Disclosure decision</w:t>
                  </w:r>
                </w:p>
              </w:tc>
              <w:tc>
                <w:tcPr>
                  <w:tcW w:type="dxa" w:w="1500"/>
                </w:tcPr>
                <w:p>
                  <w:pPr>
                    <w:spacing w:before="0" w:after="30"/>
                  </w:pPr>
                  <w:r>
                    <w:rPr>
                      <w:color w:val="1C2730"/>
                      <w:sz w:val="15"/>
                    </w:rPr>
                    <w:t>Dr. Chen (doubts go to the Privacy Office)</w:t>
                  </w:r>
                </w:p>
              </w:tc>
              <w:tc>
                <w:tcPr>
                  <w:tcW w:type="dxa" w:w="2500"/>
                </w:tcPr>
                <w:p>
                  <w:pPr>
                    <w:spacing w:before="0" w:after="30"/>
                  </w:pPr>
                  <w:r>
                    <w:rPr>
                      <w:color w:val="1C2730"/>
                      <w:sz w:val="15"/>
                    </w:rPr>
                    <w:t>Is not the disclosure approver.</w:t>
                  </w:r>
                </w:p>
              </w:tc>
              <w:tc>
                <w:tcPr>
                  <w:tcW w:type="dxa" w:w="2100"/>
                </w:tcPr>
                <w:p>
                  <w:pPr>
                    <w:spacing w:before="0" w:after="30"/>
                  </w:pPr>
                  <w:r>
                    <w:rPr>
                      <w:color w:val="1C2730"/>
                      <w:sz w:val="15"/>
                    </w:rPr>
                    <w:t>Fact Sheet › Tier 1 authority; Decision boundaries, bullet 2</w:t>
                  </w:r>
                </w:p>
              </w:tc>
            </w:tr>
            <w:tr>
              <w:trPr>
                <w:cantSplit/>
              </w:trPr>
              <w:tc>
                <w:tcPr>
                  <w:tcW w:type="dxa" w:w="2000"/>
                  <w:shd w:val="clear" w:color="auto" w:fill="F8FAFB"/>
                </w:tcPr>
                <w:p>
                  <w:pPr>
                    <w:spacing w:before="0" w:after="30"/>
                  </w:pPr>
                  <w:r>
                    <w:rPr>
                      <w:color w:val="1C2730"/>
                      <w:sz w:val="15"/>
                    </w:rPr>
                    <w:t>Sharing configuration</w:t>
                  </w:r>
                </w:p>
              </w:tc>
              <w:tc>
                <w:tcPr>
                  <w:tcW w:type="dxa" w:w="1500"/>
                  <w:shd w:val="clear" w:color="auto" w:fill="F8FAFB"/>
                </w:tcPr>
                <w:p>
                  <w:pPr>
                    <w:spacing w:before="0" w:after="30"/>
                  </w:pPr>
                  <w:r>
                    <w:rPr>
                      <w:color w:val="1C2730"/>
                      <w:sz w:val="15"/>
                    </w:rPr>
                    <w:t>Dr. Chen</w:t>
                  </w:r>
                </w:p>
              </w:tc>
              <w:tc>
                <w:tcPr>
                  <w:tcW w:type="dxa" w:w="2500"/>
                  <w:shd w:val="clear" w:color="auto" w:fill="F8FAFB"/>
                </w:tcPr>
                <w:p>
                  <w:pPr>
                    <w:spacing w:before="0" w:after="30"/>
                  </w:pPr>
                  <w:r>
                    <w:rPr>
                      <w:color w:val="1C2730"/>
                      <w:sz w:val="15"/>
                    </w:rPr>
                    <w:t>Explains Manage Access and records the evidence. Never broadens access.</w:t>
                  </w:r>
                </w:p>
              </w:tc>
              <w:tc>
                <w:tcPr>
                  <w:tcW w:type="dxa" w:w="2100"/>
                  <w:shd w:val="clear" w:color="auto" w:fill="F8FAFB"/>
                </w:tcPr>
                <w:p>
                  <w:pPr>
                    <w:spacing w:before="0" w:after="30"/>
                  </w:pPr>
                  <w:r>
                    <w:rPr>
                      <w:color w:val="1C2730"/>
                      <w:sz w:val="15"/>
                    </w:rPr>
                    <w:t>Fact Sheet › External sharing, Permissions; KB-410 bullet 4</w:t>
                  </w:r>
                </w:p>
              </w:tc>
            </w:tr>
            <w:tr>
              <w:trPr>
                <w:cantSplit/>
              </w:trPr>
              <w:tc>
                <w:tcPr>
                  <w:tcW w:type="dxa" w:w="2000"/>
                </w:tcPr>
                <w:p>
                  <w:pPr>
                    <w:spacing w:before="0" w:after="30"/>
                  </w:pPr>
                  <w:r>
                    <w:rPr>
                      <w:color w:val="1C2730"/>
                      <w:sz w:val="15"/>
                    </w:rPr>
                    <w:t>Copilot prompt and draft review</w:t>
                  </w:r>
                </w:p>
              </w:tc>
              <w:tc>
                <w:tcPr>
                  <w:tcW w:type="dxa" w:w="1500"/>
                </w:tcPr>
                <w:p>
                  <w:pPr>
                    <w:spacing w:before="0" w:after="30"/>
                  </w:pPr>
                  <w:r>
                    <w:rPr>
                      <w:color w:val="1C2730"/>
                      <w:sz w:val="15"/>
                    </w:rPr>
                    <w:t>Dr. Chen</w:t>
                  </w:r>
                </w:p>
              </w:tc>
              <w:tc>
                <w:tcPr>
                  <w:tcW w:type="dxa" w:w="2500"/>
                </w:tcPr>
                <w:p>
                  <w:pPr>
                    <w:spacing w:before="0" w:after="30"/>
                  </w:pPr>
                  <w:r>
                    <w:rPr>
                      <w:color w:val="1C2730"/>
                      <w:sz w:val="15"/>
                    </w:rPr>
                    <w:t>Supplies the prompt card and verification plan; coaches.</w:t>
                  </w:r>
                </w:p>
              </w:tc>
              <w:tc>
                <w:tcPr>
                  <w:tcW w:type="dxa" w:w="2100"/>
                </w:tcPr>
                <w:p>
                  <w:pPr>
                    <w:spacing w:before="0" w:after="30"/>
                  </w:pPr>
                  <w:r>
                    <w:rPr>
                      <w:color w:val="1C2730"/>
                      <w:sz w:val="15"/>
                    </w:rPr>
                    <w:t>Fact Sheet › Copilot use, Prompt verification</w:t>
                  </w:r>
                </w:p>
              </w:tc>
            </w:tr>
            <w:tr>
              <w:trPr>
                <w:cantSplit/>
              </w:trPr>
              <w:tc>
                <w:tcPr>
                  <w:tcW w:type="dxa" w:w="2000"/>
                  <w:shd w:val="clear" w:color="auto" w:fill="F8FAFB"/>
                </w:tcPr>
                <w:p>
                  <w:pPr>
                    <w:spacing w:before="0" w:after="30"/>
                  </w:pPr>
                  <w:r>
                    <w:rPr>
                      <w:color w:val="1C2730"/>
                      <w:sz w:val="15"/>
                    </w:rPr>
                    <w:t>Send</w:t>
                  </w:r>
                </w:p>
              </w:tc>
              <w:tc>
                <w:tcPr>
                  <w:tcW w:type="dxa" w:w="1500"/>
                  <w:shd w:val="clear" w:color="auto" w:fill="F8FAFB"/>
                </w:tcPr>
                <w:p>
                  <w:pPr>
                    <w:spacing w:before="0" w:after="30"/>
                  </w:pPr>
                  <w:r>
                    <w:rPr>
                      <w:color w:val="1C2730"/>
                      <w:sz w:val="15"/>
                    </w:rPr>
                    <w:t>Dr. Chen</w:t>
                  </w:r>
                </w:p>
              </w:tc>
              <w:tc>
                <w:tcPr>
                  <w:tcW w:type="dxa" w:w="2500"/>
                  <w:shd w:val="clear" w:color="auto" w:fill="F8FAFB"/>
                </w:tcPr>
                <w:p>
                  <w:pPr>
                    <w:spacing w:before="0" w:after="30"/>
                  </w:pPr>
                  <w:r>
                    <w:rPr>
                      <w:color w:val="1C2730"/>
                      <w:sz w:val="15"/>
                    </w:rPr>
                    <w:t>Never sends.</w:t>
                  </w:r>
                </w:p>
              </w:tc>
              <w:tc>
                <w:tcPr>
                  <w:tcW w:type="dxa" w:w="2100"/>
                  <w:shd w:val="clear" w:color="auto" w:fill="F8FAFB"/>
                </w:tcPr>
                <w:p>
                  <w:pPr>
                    <w:spacing w:before="0" w:after="30"/>
                  </w:pPr>
                  <w:r>
                    <w:rPr>
                      <w:color w:val="1C2730"/>
                      <w:sz w:val="15"/>
                    </w:rPr>
                    <w:t>Fact Sheet › Tier 1 authority; KB-422 bullet 4</w:t>
                  </w:r>
                </w:p>
              </w:tc>
            </w:tr>
          </w:tbl>
          <w:p>
            <w:pPr>
              <w:spacing w:before="0" w:after="0"/>
              <w:rPr>
                <w:sz w:val="8"/>
              </w:rPr>
            </w:pPr>
          </w:p>
          <w:p>
            <w:pPr>
              <w:spacing w:before="80" w:after="40"/>
            </w:pPr>
            <w:r>
              <w:rPr>
                <w:b/>
                <w:color w:val="2D7F85"/>
                <w:sz w:val="15"/>
              </w:rPr>
              <w:t>TIER 1 CHECKS AND ESCALATION TRIGGERS</w:t>
            </w:r>
          </w:p>
          <w:tbl>
            <w:tblPr>
              <w:tblW w:w="8100" w:type="dxa"/>
              <w:tblBorders>
                <w:top w:val="single" w:sz="4" w:space="0" w:color="D8E0E4"/>
                <w:left w:val="single" w:sz="4" w:space="0" w:color="D8E0E4"/>
                <w:bottom w:val="single" w:sz="4" w:space="0" w:color="D8E0E4"/>
                <w:right w:val="single" w:sz="4" w:space="0" w:color="D8E0E4"/>
                <w:insideH w:val="single" w:sz="4" w:space="0" w:color="D8E0E4"/>
                <w:insideV w:val="single" w:sz="4" w:space="0" w:color="D8E0E4"/>
              </w:tblBorders>
              <w:tblLayout w:type="fixed"/>
              <w:tblCellMar>
                <w:top w:w="45" w:type="dxa"/>
                <w:left w:w="80" w:type="dxa"/>
                <w:bottom w:w="45" w:type="dxa"/>
                <w:right w:w="80" w:type="dxa"/>
              </w:tblCellMar>
              <w:tblLook w:firstColumn="1" w:firstRow="1" w:lastColumn="0" w:lastRow="0" w:noHBand="0" w:noVBand="1" w:val="04A0"/>
            </w:tblPr>
            <w:tblGrid>
              <w:gridCol w:w="1300"/>
              <w:gridCol w:w="2500"/>
              <w:gridCol w:w="2400"/>
              <w:gridCol w:w="1900"/>
            </w:tblGrid>
            <w:tr>
              <w:trPr>
                <w:tblHeader/>
                <w:cantSplit/>
              </w:trPr>
              <w:tc>
                <w:tcPr>
                  <w:tcW w:type="dxa" w:w="1300"/>
                  <w:shd w:val="clear" w:color="auto" w:fill="17324D"/>
                </w:tcPr>
                <w:p>
                  <w:pPr>
                    <w:keepNext/>
                    <w:spacing w:before="0" w:after="30"/>
                  </w:pPr>
                  <w:r>
                    <w:rPr>
                      <w:b/>
                      <w:color w:val="FFFFFF"/>
                      <w:sz w:val="15"/>
                    </w:rPr>
                    <w:t>Dependency point</w:t>
                  </w:r>
                </w:p>
              </w:tc>
              <w:tc>
                <w:tcPr>
                  <w:tcW w:type="dxa" w:w="2500"/>
                  <w:shd w:val="clear" w:color="auto" w:fill="17324D"/>
                </w:tcPr>
                <w:p>
                  <w:pPr>
                    <w:keepNext/>
                    <w:spacing w:before="0" w:after="30"/>
                  </w:pPr>
                  <w:r>
                    <w:rPr>
                      <w:b/>
                      <w:color w:val="FFFFFF"/>
                      <w:sz w:val="15"/>
                    </w:rPr>
                    <w:t>Tier 1 can check (guided, read-only)</w:t>
                  </w:r>
                </w:p>
              </w:tc>
              <w:tc>
                <w:tcPr>
                  <w:tcW w:type="dxa" w:w="2400"/>
                  <w:shd w:val="clear" w:color="auto" w:fill="17324D"/>
                </w:tcPr>
                <w:p>
                  <w:pPr>
                    <w:keepNext/>
                    <w:spacing w:before="0" w:after="30"/>
                  </w:pPr>
                  <w:r>
                    <w:rPr>
                      <w:b/>
                      <w:color w:val="FFFFFF"/>
                      <w:sz w:val="15"/>
                    </w:rPr>
                    <w:t>Escalation trigger</w:t>
                  </w:r>
                </w:p>
              </w:tc>
              <w:tc>
                <w:tcPr>
                  <w:tcW w:type="dxa" w:w="1900"/>
                  <w:shd w:val="clear" w:color="auto" w:fill="17324D"/>
                </w:tcPr>
                <w:p>
                  <w:pPr>
                    <w:keepNext/>
                    <w:spacing w:before="0" w:after="30"/>
                  </w:pPr>
                  <w:r>
                    <w:rPr>
                      <w:b/>
                      <w:color w:val="FFFFFF"/>
                      <w:sz w:val="15"/>
                    </w:rPr>
                    <w:t>Warm-transfer target (Worksheet §1.3)</w:t>
                  </w:r>
                </w:p>
              </w:tc>
            </w:tr>
            <w:tr>
              <w:tc>
                <w:tcPr>
                  <w:tcW w:type="dxa" w:w="1300"/>
                </w:tcPr>
                <w:p>
                  <w:pPr>
                    <w:spacing w:before="0" w:after="30"/>
                  </w:pPr>
                  <w:r>
                    <w:rPr>
                      <w:color w:val="1C2730"/>
                      <w:sz w:val="15"/>
                    </w:rPr>
                    <w:t>Identity</w:t>
                  </w:r>
                </w:p>
              </w:tc>
              <w:tc>
                <w:tcPr>
                  <w:tcW w:type="dxa" w:w="2500"/>
                </w:tcPr>
                <w:p>
                  <w:pPr>
                    <w:spacing w:before="0" w:after="30"/>
                  </w:pPr>
                  <w:r>
                    <w:rPr>
                      <w:color w:val="1C2730"/>
                      <w:sz w:val="15"/>
                    </w:rPr>
                    <w:t>Dr. Chen confirms she is signed in with her own workforce account and can open SharePoint, Copilot and Outlook. Tier 1 records any Conditional Access message she reads out.</w:t>
                  </w:r>
                </w:p>
              </w:tc>
              <w:tc>
                <w:tcPr>
                  <w:tcW w:type="dxa" w:w="2400"/>
                </w:tcPr>
                <w:p>
                  <w:pPr>
                    <w:spacing w:before="0" w:after="30"/>
                  </w:pPr>
                  <w:r>
                    <w:rPr>
                      <w:color w:val="1C2730"/>
                      <w:sz w:val="15"/>
                    </w:rPr>
                    <w:t>Sign-in blocked; Conditional Access denial; account or group-membership problem; colleague can't authenticate as the named recipient.</w:t>
                  </w:r>
                </w:p>
              </w:tc>
              <w:tc>
                <w:tcPr>
                  <w:tcW w:type="dxa" w:w="1900"/>
                </w:tcPr>
                <w:p>
                  <w:pPr>
                    <w:spacing w:before="0" w:after="30"/>
                  </w:pPr>
                  <w:r>
                    <w:rPr>
                      <w:color w:val="1C2730"/>
                      <w:sz w:val="15"/>
                    </w:rPr>
                    <w:t>Identity Administrators</w:t>
                  </w:r>
                </w:p>
              </w:tc>
            </w:tr>
            <w:tr>
              <w:trPr>
                <w:cantSplit/>
              </w:trPr>
              <w:tc>
                <w:tcPr>
                  <w:tcW w:type="dxa" w:w="1300"/>
                  <w:shd w:val="clear" w:color="auto" w:fill="F8FAFB"/>
                </w:tcPr>
                <w:p>
                  <w:pPr>
                    <w:spacing w:before="0" w:after="30"/>
                  </w:pPr>
                  <w:r>
                    <w:rPr>
                      <w:color w:val="1C2730"/>
                      <w:sz w:val="15"/>
                    </w:rPr>
                    <w:t>File access: setup</w:t>
                  </w:r>
                </w:p>
              </w:tc>
              <w:tc>
                <w:tcPr>
                  <w:tcW w:type="dxa" w:w="2500"/>
                  <w:shd w:val="clear" w:color="auto" w:fill="F8FAFB"/>
                </w:tcPr>
                <w:p>
                  <w:pPr>
                    <w:spacing w:before="0" w:after="30"/>
                  </w:pPr>
                  <w:r>
                    <w:rPr>
                      <w:color w:val="1C2730"/>
                      <w:sz w:val="15"/>
                    </w:rPr>
                    <w:t>Dr. Chen opens Share, then Manage Access, and reads out the link type, the named person and the permission.</w:t>
                  </w:r>
                </w:p>
              </w:tc>
              <w:tc>
                <w:tcPr>
                  <w:tcW w:type="dxa" w:w="2400"/>
                  <w:shd w:val="clear" w:color="auto" w:fill="F8FAFB"/>
                </w:tcPr>
                <w:p>
                  <w:pPr>
                    <w:spacing w:before="0" w:after="30"/>
                  </w:pPr>
                  <w:r>
                    <w:rPr>
                      <w:color w:val="1C2730"/>
                      <w:sz w:val="15"/>
                    </w:rPr>
                    <w:t>Recipient-specific option missing, or blocked by tenant policy; inherited permissions prevent the approved path; a fix would need wider access.</w:t>
                  </w:r>
                </w:p>
              </w:tc>
              <w:tc>
                <w:tcPr>
                  <w:tcW w:type="dxa" w:w="1900"/>
                  <w:shd w:val="clear" w:color="auto" w:fill="F8FAFB"/>
                </w:tcPr>
                <w:p>
                  <w:pPr>
                    <w:spacing w:before="0" w:after="30"/>
                  </w:pPr>
                  <w:r>
                    <w:rPr>
                      <w:color w:val="1C2730"/>
                      <w:sz w:val="15"/>
                    </w:rPr>
                    <w:t>M365 Admin Team, with a ticket note (Fact Sheet › Permissions)</w:t>
                  </w:r>
                </w:p>
              </w:tc>
            </w:tr>
            <w:tr>
              <w:trPr>
                <w:cantSplit/>
              </w:trPr>
              <w:tc>
                <w:tcPr>
                  <w:tcW w:type="dxa" w:w="1300"/>
                </w:tcPr>
                <w:p>
                  <w:pPr>
                    <w:spacing w:before="0" w:after="30"/>
                  </w:pPr>
                  <w:r>
                    <w:rPr>
                      <w:color w:val="1C2730"/>
                      <w:sz w:val="15"/>
                    </w:rPr>
                    <w:t>File access: exposure</w:t>
                  </w:r>
                </w:p>
              </w:tc>
              <w:tc>
                <w:tcPr>
                  <w:tcW w:type="dxa" w:w="2500"/>
                </w:tcPr>
                <w:p>
                  <w:pPr>
                    <w:spacing w:before="0" w:after="30"/>
                  </w:pPr>
                  <w:r>
                    <w:rPr>
                      <w:color w:val="1C2730"/>
                      <w:sz w:val="15"/>
                    </w:rPr>
                    <w:t>The same Manage Access read-out.</w:t>
                  </w:r>
                </w:p>
              </w:tc>
              <w:tc>
                <w:tcPr>
                  <w:tcW w:type="dxa" w:w="2400"/>
                </w:tcPr>
                <w:p>
                  <w:pPr>
                    <w:spacing w:before="0" w:after="30"/>
                  </w:pPr>
                  <w:r>
                    <w:rPr>
                      <w:color w:val="1C2730"/>
                      <w:sz w:val="15"/>
                    </w:rPr>
                    <w:t>An Anyone link, or someone unexpected already has access: possible inappropriate disclosure.</w:t>
                  </w:r>
                </w:p>
              </w:tc>
              <w:tc>
                <w:tcPr>
                  <w:tcW w:type="dxa" w:w="1900"/>
                </w:tcPr>
                <w:p>
                  <w:pPr>
                    <w:spacing w:before="0" w:after="30"/>
                  </w:pPr>
                  <w:r>
                    <w:rPr>
                      <w:color w:val="1C2730"/>
                      <w:sz w:val="15"/>
                    </w:rPr>
                    <w:t>Privacy Office intake (the organization-designated privacy / security route), with minimum-necessary evidence (Fact Sheet › Privacy escalation)</w:t>
                  </w:r>
                </w:p>
              </w:tc>
            </w:tr>
            <w:tr>
              <w:trPr>
                <w:cantSplit/>
              </w:trPr>
              <w:tc>
                <w:tcPr>
                  <w:tcW w:type="dxa" w:w="1300"/>
                  <w:shd w:val="clear" w:color="auto" w:fill="F8FAFB"/>
                </w:tcPr>
                <w:p>
                  <w:pPr>
                    <w:spacing w:before="0" w:after="30"/>
                  </w:pPr>
                  <w:r>
                    <w:rPr>
                      <w:color w:val="1C2730"/>
                      <w:sz w:val="15"/>
                    </w:rPr>
                    <w:t>Messaging</w:t>
                  </w:r>
                </w:p>
              </w:tc>
              <w:tc>
                <w:tcPr>
                  <w:tcW w:type="dxa" w:w="2500"/>
                  <w:shd w:val="clear" w:color="auto" w:fill="F8FAFB"/>
                </w:tcPr>
                <w:p>
                  <w:pPr>
                    <w:spacing w:before="0" w:after="30"/>
                  </w:pPr>
                  <w:r>
                    <w:rPr>
                      <w:color w:val="1C2730"/>
                      <w:sz w:val="15"/>
                    </w:rPr>
                    <w:t>Outlook opens. Dr. Chen reads the To line against the approved request.</w:t>
                  </w:r>
                </w:p>
              </w:tc>
              <w:tc>
                <w:tcPr>
                  <w:tcW w:type="dxa" w:w="2400"/>
                  <w:shd w:val="clear" w:color="auto" w:fill="F8FAFB"/>
                </w:tcPr>
                <w:p>
                  <w:pPr>
                    <w:spacing w:before="0" w:after="30"/>
                  </w:pPr>
                  <w:r>
                    <w:rPr>
                      <w:color w:val="1C2730"/>
                      <w:sz w:val="15"/>
                    </w:rPr>
                    <w:t>Bounce or delivery-failure notice; Outlook unavailable.</w:t>
                  </w:r>
                </w:p>
              </w:tc>
              <w:tc>
                <w:tcPr>
                  <w:tcW w:type="dxa" w:w="1900"/>
                  <w:shd w:val="clear" w:color="auto" w:fill="F8FAFB"/>
                </w:tcPr>
                <w:p>
                  <w:pPr>
                    <w:spacing w:before="0" w:after="30"/>
                  </w:pPr>
                  <w:r>
                    <w:rPr>
                      <w:color w:val="1C2730"/>
                      <w:sz w:val="15"/>
                    </w:rPr>
                    <w:t>M365 Admin Team</w:t>
                  </w:r>
                </w:p>
              </w:tc>
            </w:tr>
            <w:tr>
              <w:trPr>
                <w:cantSplit/>
              </w:trPr>
              <w:tc>
                <w:tcPr>
                  <w:tcW w:type="dxa" w:w="1300"/>
                </w:tcPr>
                <w:p>
                  <w:pPr>
                    <w:spacing w:before="0" w:after="30"/>
                  </w:pPr>
                  <w:r>
                    <w:rPr>
                      <w:color w:val="1C2730"/>
                      <w:sz w:val="15"/>
                    </w:rPr>
                    <w:t>Copilot</w:t>
                  </w:r>
                </w:p>
              </w:tc>
              <w:tc>
                <w:tcPr>
                  <w:tcW w:type="dxa" w:w="2500"/>
                </w:tcPr>
                <w:p>
                  <w:pPr>
                    <w:spacing w:before="0" w:after="30"/>
                  </w:pPr>
                  <w:r>
                    <w:rPr>
                      <w:color w:val="1C2730"/>
                      <w:sz w:val="15"/>
                    </w:rPr>
                    <w:t>Copilot appears in her approved experience. The prompt passes Checklist C1–C11.</w:t>
                  </w:r>
                </w:p>
              </w:tc>
              <w:tc>
                <w:tcPr>
                  <w:tcW w:type="dxa" w:w="2400"/>
                </w:tcPr>
                <w:p>
                  <w:pPr>
                    <w:spacing w:before="0" w:after="30"/>
                  </w:pPr>
                  <w:r>
                    <w:rPr>
                      <w:color w:val="1C2730"/>
                      <w:sz w:val="15"/>
                    </w:rPr>
                    <w:t>Copilot missing because of role, license, tenant policy or product state: record Unable to Verify (Fact Sheet › Decision boundaries, bullet 4). Use-case boundary unclear.</w:t>
                  </w:r>
                </w:p>
              </w:tc>
              <w:tc>
                <w:tcPr>
                  <w:tcW w:type="dxa" w:w="1900"/>
                </w:tcPr>
                <w:p>
                  <w:pPr>
                    <w:spacing w:before="0" w:after="30"/>
                  </w:pPr>
                  <w:r>
                    <w:rPr>
                      <w:color w:val="1C2730"/>
                      <w:sz w:val="15"/>
                    </w:rPr>
                    <w:t>M365 Admin Team (availability); team lead flag (ITS-STD-014 §6.3)</w:t>
                  </w:r>
                </w:p>
              </w:tc>
            </w:tr>
            <w:tr>
              <w:trPr>
                <w:cantSplit/>
              </w:trPr>
              <w:tc>
                <w:tcPr>
                  <w:tcW w:type="dxa" w:w="1300"/>
                  <w:shd w:val="clear" w:color="auto" w:fill="F8FAFB"/>
                </w:tcPr>
                <w:p>
                  <w:pPr>
                    <w:spacing w:before="0" w:after="30"/>
                  </w:pPr>
                  <w:r>
                    <w:rPr>
                      <w:color w:val="1C2730"/>
                      <w:sz w:val="15"/>
                    </w:rPr>
                    <w:t>Clinical system</w:t>
                  </w:r>
                </w:p>
              </w:tc>
              <w:tc>
                <w:tcPr>
                  <w:tcW w:type="dxa" w:w="2500"/>
                  <w:shd w:val="clear" w:color="auto" w:fill="F8FAFB"/>
                </w:tcPr>
                <w:p>
                  <w:pPr>
                    <w:spacing w:before="0" w:after="30"/>
                  </w:pPr>
                  <w:r>
                    <w:rPr>
                      <w:color w:val="1C2730"/>
                      <w:sz w:val="15"/>
                    </w:rPr>
                    <w:t>Name the category only.</w:t>
                  </w:r>
                </w:p>
              </w:tc>
              <w:tc>
                <w:tcPr>
                  <w:tcW w:type="dxa" w:w="2400"/>
                  <w:shd w:val="clear" w:color="auto" w:fill="F8FAFB"/>
                </w:tcPr>
                <w:p>
                  <w:pPr>
                    <w:spacing w:before="0" w:after="30"/>
                  </w:pPr>
                  <w:r>
                    <w:rPr>
                      <w:color w:val="1C2730"/>
                      <w:sz w:val="15"/>
                    </w:rPr>
                    <w:t>Epic unavailable, or a fault inside Epic.</w:t>
                  </w:r>
                </w:p>
              </w:tc>
              <w:tc>
                <w:tcPr>
                  <w:tcW w:type="dxa" w:w="1900"/>
                  <w:shd w:val="clear" w:color="auto" w:fill="F8FAFB"/>
                </w:tcPr>
                <w:p>
                  <w:pPr>
                    <w:spacing w:before="0" w:after="30"/>
                  </w:pPr>
                  <w:r>
                    <w:rPr>
                      <w:color w:val="1C2730"/>
                      <w:sz w:val="15"/>
                    </w:rPr>
                    <w:t>Epic Analyst team, without diagnosis (Worksheet §1.4)</w:t>
                  </w:r>
                </w:p>
              </w:tc>
            </w:tr>
            <w:tr>
              <w:trPr>
                <w:cantSplit/>
              </w:trPr>
              <w:tc>
                <w:tcPr>
                  <w:tcW w:type="dxa" w:w="1300"/>
                </w:tcPr>
                <w:p>
                  <w:pPr>
                    <w:spacing w:before="0" w:after="30"/>
                  </w:pPr>
                  <w:r>
                    <w:rPr>
                      <w:color w:val="1C2730"/>
                      <w:sz w:val="15"/>
                    </w:rPr>
                    <w:t>Platform</w:t>
                  </w:r>
                </w:p>
              </w:tc>
              <w:tc>
                <w:tcPr>
                  <w:tcW w:type="dxa" w:w="2500"/>
                </w:tcPr>
                <w:p>
                  <w:pPr>
                    <w:spacing w:before="0" w:after="30"/>
                  </w:pPr>
                  <w:r>
                    <w:rPr>
                      <w:color w:val="1C2730"/>
                      <w:sz w:val="15"/>
                    </w:rPr>
                    <w:t>Nothing to check at Tier 1.</w:t>
                  </w:r>
                </w:p>
              </w:tc>
              <w:tc>
                <w:tcPr>
                  <w:tcW w:type="dxa" w:w="2400"/>
                </w:tcPr>
                <w:p>
                  <w:pPr>
                    <w:spacing w:before="0" w:after="30"/>
                  </w:pPr>
                  <w:r>
                    <w:rPr>
                      <w:color w:val="1C2730"/>
                      <w:sz w:val="15"/>
                    </w:rPr>
                    <w:t>A service-wide fault beneath the tenant (hosting or platform).</w:t>
                  </w:r>
                </w:p>
              </w:tc>
              <w:tc>
                <w:tcPr>
                  <w:tcW w:type="dxa" w:w="1900"/>
                </w:tcPr>
                <w:p>
                  <w:pPr>
                    <w:spacing w:before="0" w:after="30"/>
                  </w:pPr>
                  <w:r>
                    <w:rPr>
                      <w:color w:val="1C2730"/>
                      <w:sz w:val="15"/>
                    </w:rPr>
                    <w:t>Azure Engineering</w:t>
                  </w:r>
                </w:p>
              </w:tc>
            </w:tr>
          </w:tbl>
          <w:p>
            <w:pPr>
              <w:spacing w:before="0" w:after="0"/>
              <w:rPr>
                <w:sz w:val="8"/>
              </w:rPr>
            </w:pPr>
          </w:p>
          <w:p>
            <w:pPr>
              <w:spacing w:before="0" w:after="60"/>
            </w:pPr>
            <w:r>
              <w:rPr>
                <w:i/>
                <w:color w:val="5B6770"/>
                <w:sz w:val="15"/>
              </w:rPr>
              <w:t>The Worksheet names receiving teams rather than tier numbers; every target sits above Tier 1 (Tier 2 or 3). Tier 1 hands off with the documented chain and does not assign ownership or priority (Worksheet › Scope check).</w:t>
            </w:r>
          </w:p>
        </w:tc>
      </w:tr>
      <w:tr>
        <w:tc>
          <w:tcPr>
            <w:tcW w:type="dxa" w:w="1900"/>
            <w:tcBorders>
              <w:bottom w:val="single" w:sz="6" w:color="D8E0E4"/>
            </w:tcBorders>
            <w:tcMar>
              <w:top w:w="90" w:type="dxa"/>
              <w:start w:w="100" w:type="dxa"/>
              <w:bottom w:w="90" w:type="dxa"/>
              <w:end w:w="100" w:type="dxa"/>
            </w:tcMar>
            <w:vAlign w:val="top"/>
          </w:tcPr>
          <w:p>
            <w:pPr>
              <w:spacing w:after="40"/>
            </w:pPr>
            <w:r>
              <w:rPr>
                <w:sz w:val="17"/>
              </w:rPr>
              <w:t>Evidence sources</w:t>
            </w:r>
          </w:p>
        </w:tc>
        <w:tc>
          <w:tcPr>
            <w:tcW w:type="dxa" w:w="8324"/>
            <w:tcBorders>
              <w:bottom w:val="single" w:sz="6" w:color="D8E0E4"/>
            </w:tcBorders>
            <w:tcMar>
              <w:top w:w="90" w:type="dxa"/>
              <w:start w:w="100" w:type="dxa"/>
              <w:bottom w:w="90" w:type="dxa"/>
              <w:end w:w="100" w:type="dxa"/>
            </w:tcMar>
            <w:vAlign w:val="top"/>
          </w:tcPr>
          <w:p>
            <w:pPr>
              <w:pStyle w:val="ListBullet"/>
              <w:spacing w:before="0" w:after="30"/>
              <w:ind w:left="300" w:hanging="200"/>
            </w:pPr>
            <w:r>
              <w:rPr>
                <w:b/>
                <w:color w:val="1C2730"/>
                <w:sz w:val="17"/>
              </w:rPr>
              <w:t>Technical Environment and Contoso Policy Fact Sheet v1.0:</w:t>
            </w:r>
            <w:r>
              <w:rPr>
                <w:color w:val="1C2730"/>
                <w:sz w:val="17"/>
              </w:rPr>
              <w:t xml:space="preserve"> System boundary (all six rows); Policy baseline (Copilot use, Input data, External sharing, Permissions, Tier 1 authority, Privacy escalation); Decision boundaries 1–4.</w:t>
            </w:r>
          </w:p>
          <w:p>
            <w:pPr>
              <w:pStyle w:val="ListBullet"/>
              <w:spacing w:before="0" w:after="30"/>
              <w:ind w:left="300" w:hanging="200"/>
            </w:pPr>
            <w:r>
              <w:rPr>
                <w:b/>
                <w:color w:val="1C2730"/>
                <w:sz w:val="17"/>
              </w:rPr>
              <w:t>Synthetic Case Packet and Source Summary v1.0:</w:t>
            </w:r>
            <w:r>
              <w:rPr>
                <w:color w:val="1C2730"/>
                <w:sz w:val="17"/>
              </w:rPr>
              <w:t xml:space="preserve"> Source facts (File, Collaboration location, Recipient, Deadline, Tier 1 boundary); Stop condition; Synthetic source summary.</w:t>
            </w:r>
          </w:p>
          <w:p>
            <w:pPr>
              <w:pStyle w:val="ListBullet"/>
              <w:spacing w:before="0" w:after="30"/>
              <w:ind w:left="300" w:hanging="200"/>
            </w:pPr>
            <w:r>
              <w:rPr>
                <w:b/>
                <w:color w:val="1C2730"/>
                <w:sz w:val="17"/>
              </w:rPr>
              <w:t>Dependency Analysis Worksheet ITS-TRN-016-B:</w:t>
            </w:r>
            <w:r>
              <w:rPr>
                <w:color w:val="1C2730"/>
                <w:sz w:val="17"/>
              </w:rPr>
              <w:t xml:space="preserve"> §1.1 category order, §1.2 boundary sides, §1.3 warm-transfer targets, §1.4 Epic-side limit, Scope check. Its CASE-01 to CASE-03 grids belong to another dataset and were not used.</w:t>
            </w:r>
          </w:p>
          <w:p>
            <w:pPr>
              <w:pStyle w:val="ListBullet"/>
              <w:spacing w:before="0" w:after="30"/>
              <w:ind w:left="300" w:hanging="200"/>
            </w:pPr>
            <w:r>
              <w:rPr>
                <w:b/>
                <w:color w:val="1C2730"/>
                <w:sz w:val="17"/>
              </w:rPr>
              <w:t>System-Context Mapping Template:</w:t>
            </w:r>
            <w:r>
              <w:rPr>
                <w:color w:val="1C2730"/>
                <w:sz w:val="17"/>
              </w:rPr>
              <w:t xml:space="preserve"> Sections 1–4 structure used. Its sample rows were not reused: they cite Fact Sheet section numbers that don't exist, assume an Epic export and upload step, and name escalation groups that appear in none of the supplied documents.</w:t>
            </w:r>
          </w:p>
          <w:p>
            <w:pPr>
              <w:pStyle w:val="ListBullet"/>
              <w:spacing w:before="0" w:after="30"/>
              <w:ind w:left="300" w:hanging="200"/>
            </w:pPr>
            <w:r>
              <w:rPr>
                <w:b/>
                <w:color w:val="1C2730"/>
                <w:sz w:val="17"/>
              </w:rPr>
              <w:t>Mock Internal KB:</w:t>
            </w:r>
            <w:r>
              <w:rPr>
                <w:color w:val="1C2730"/>
                <w:sz w:val="17"/>
              </w:rPr>
              <w:t xml:space="preserve"> KB-410 bullets 1–4 and KB-422 bullets 3–4, for the sharing and send boundaries.</w:t>
            </w:r>
          </w:p>
        </w:tc>
      </w:tr>
    </w:tbl>
    <w:p>
      <w:pPr>
        <w:spacing w:after="40"/>
      </w:pPr>
    </w:p>
    <w:p>
      <w:pPr>
        <w:pStyle w:val="Heading1"/>
      </w:pPr>
      <w:r>
        <w:t>Component 2 - Copilot Use Case Determination</w:t>
      </w:r>
    </w:p>
    <w:tbl>
      <w:tblPr>
        <w:tblStyle w:val="TableGrid"/>
        <w:tblW w:w="10224" w:type="dxa"/>
        <w:jc w:val="center"/>
        <w:tblLayout w:type="fixed"/>
        <w:tblLook w:firstColumn="1" w:firstRow="1" w:lastColumn="0" w:lastRow="0" w:noHBand="0" w:noVBand="1" w:val="04A0"/>
      </w:tblPr>
      <w:tblGrid>
        <w:gridCol w:w="1900"/>
        <w:gridCol w:w="8324"/>
      </w:tblGrid>
      <w:tr>
        <w:tc>
          <w:tcPr>
            <w:tcW w:type="dxa" w:w="1900"/>
            <w:shd w:fill="17324D"/>
            <w:tcMar>
              <w:top w:w="90" w:type="dxa"/>
              <w:start w:w="100" w:type="dxa"/>
              <w:bottom w:w="90" w:type="dxa"/>
              <w:end w:w="100" w:type="dxa"/>
            </w:tcMar>
            <w:vAlign w:val="center"/>
          </w:tcPr>
          <w:p>
            <w:pPr>
              <w:jc w:val="left"/>
            </w:pPr>
            <w:r>
              <w:rPr>
                <w:b/>
                <w:color w:val="FFFFFF"/>
                <w:sz w:val="18"/>
              </w:rPr>
              <w:t>Field</w:t>
            </w:r>
          </w:p>
        </w:tc>
        <w:tc>
          <w:tcPr>
            <w:tcW w:type="dxa" w:w="8324"/>
            <w:shd w:fill="17324D"/>
            <w:tcMar>
              <w:top w:w="90" w:type="dxa"/>
              <w:start w:w="100" w:type="dxa"/>
              <w:bottom w:w="90" w:type="dxa"/>
              <w:end w:w="100" w:type="dxa"/>
            </w:tcMar>
            <w:vAlign w:val="center"/>
          </w:tcPr>
          <w:p>
            <w:pPr>
              <w:jc w:val="left"/>
            </w:pPr>
            <w:r>
              <w:rPr>
                <w:b/>
                <w:color w:val="FFFFFF"/>
                <w:sz w:val="18"/>
              </w:rPr>
              <w:t>Learner entry</w:t>
            </w:r>
          </w:p>
        </w:tc>
      </w:tr>
      <w:tr>
        <w:tc>
          <w:tcPr>
            <w:tcW w:type="dxa" w:w="1900"/>
            <w:tcBorders>
              <w:bottom w:val="single" w:sz="6" w:color="D8E0E4"/>
            </w:tcBorders>
            <w:shd w:fill="F8FAFB"/>
            <w:tcMar>
              <w:top w:w="90" w:type="dxa"/>
              <w:start w:w="100" w:type="dxa"/>
              <w:bottom w:w="90" w:type="dxa"/>
              <w:end w:w="100" w:type="dxa"/>
            </w:tcMar>
            <w:vAlign w:val="top"/>
          </w:tcPr>
          <w:p>
            <w:pPr>
              <w:spacing w:after="40"/>
            </w:pPr>
            <w:r>
              <w:rPr>
                <w:sz w:val="17"/>
              </w:rPr>
              <w:t>Request element-by-element classification</w:t>
            </w:r>
          </w:p>
        </w:tc>
        <w:tc>
          <w:tcPr>
            <w:tcW w:type="dxa" w:w="8324"/>
            <w:tcBorders>
              <w:bottom w:val="single" w:sz="6" w:color="D8E0E4"/>
            </w:tcBorders>
            <w:shd w:fill="F8FAFB"/>
            <w:tcMar>
              <w:top w:w="90" w:type="dxa"/>
              <w:start w:w="100" w:type="dxa"/>
              <w:bottom w:w="90" w:type="dxa"/>
              <w:end w:w="100" w:type="dxa"/>
            </w:tcMar>
            <w:vAlign w:val="top"/>
          </w:tcPr>
          <w:p>
            <w:pPr>
              <w:spacing w:before="0" w:after="80"/>
            </w:pPr>
            <w:r>
              <w:rPr>
                <w:color w:val="1C2730"/>
                <w:sz w:val="17"/>
              </w:rPr>
              <w:t>Dr. Chen's request is split into four elements, and each is assessed on its own. The request is not classified as a single unit: ITS-STD-014 §4 makes each not-approved category independently disqualifying, and the RCCOF Template §1.1 (SCN-002 note) shows one request splitting across the line.</w:t>
            </w:r>
          </w:p>
          <w:tbl>
            <w:tblPr>
              <w:tblW w:w="8100" w:type="dxa"/>
              <w:tblBorders>
                <w:top w:val="single" w:sz="4" w:space="0" w:color="D8E0E4"/>
                <w:left w:val="single" w:sz="4" w:space="0" w:color="D8E0E4"/>
                <w:bottom w:val="single" w:sz="4" w:space="0" w:color="D8E0E4"/>
                <w:right w:val="single" w:sz="4" w:space="0" w:color="D8E0E4"/>
                <w:insideH w:val="single" w:sz="4" w:space="0" w:color="D8E0E4"/>
                <w:insideV w:val="single" w:sz="4" w:space="0" w:color="D8E0E4"/>
              </w:tblBorders>
              <w:tblLayout w:type="fixed"/>
              <w:tblCellMar>
                <w:top w:w="45" w:type="dxa"/>
                <w:left w:w="80" w:type="dxa"/>
                <w:bottom w:w="45" w:type="dxa"/>
                <w:right w:w="80" w:type="dxa"/>
              </w:tblCellMar>
              <w:tblLook w:firstColumn="1" w:firstRow="1" w:lastColumn="0" w:lastRow="0" w:noHBand="0" w:noVBand="1" w:val="04A0"/>
            </w:tblPr>
            <w:tblGrid>
              <w:gridCol w:w="1800"/>
              <w:gridCol w:w="2100"/>
              <w:gridCol w:w="4200"/>
            </w:tblGrid>
            <w:tr>
              <w:trPr>
                <w:tblHeader/>
                <w:cantSplit/>
              </w:trPr>
              <w:tc>
                <w:tcPr>
                  <w:tcW w:type="dxa" w:w="1800"/>
                  <w:shd w:val="clear" w:color="auto" w:fill="17324D"/>
                </w:tcPr>
                <w:p>
                  <w:pPr>
                    <w:keepNext/>
                    <w:spacing w:before="0" w:after="30"/>
                  </w:pPr>
                  <w:r>
                    <w:rPr>
                      <w:b/>
                      <w:color w:val="FFFFFF"/>
                      <w:sz w:val="15"/>
                    </w:rPr>
                    <w:t>Request element</w:t>
                  </w:r>
                </w:p>
              </w:tc>
              <w:tc>
                <w:tcPr>
                  <w:tcW w:type="dxa" w:w="2100"/>
                  <w:shd w:val="clear" w:color="auto" w:fill="17324D"/>
                </w:tcPr>
                <w:p>
                  <w:pPr>
                    <w:keepNext/>
                    <w:spacing w:before="0" w:after="30"/>
                  </w:pPr>
                  <w:r>
                    <w:rPr>
                      <w:b/>
                      <w:color w:val="FFFFFF"/>
                      <w:sz w:val="15"/>
                    </w:rPr>
                    <w:t>Classification</w:t>
                  </w:r>
                </w:p>
              </w:tc>
              <w:tc>
                <w:tcPr>
                  <w:tcW w:type="dxa" w:w="4200"/>
                  <w:shd w:val="clear" w:color="auto" w:fill="17324D"/>
                </w:tcPr>
                <w:p>
                  <w:pPr>
                    <w:keepNext/>
                    <w:spacing w:before="0" w:after="30"/>
                  </w:pPr>
                  <w:r>
                    <w:rPr>
                      <w:b/>
                      <w:color w:val="FFFFFF"/>
                      <w:sz w:val="15"/>
                    </w:rPr>
                    <w:t>Policy basis (cited section)</w:t>
                  </w:r>
                </w:p>
              </w:tc>
            </w:tr>
            <w:tr>
              <w:tc>
                <w:tcPr>
                  <w:tcW w:type="dxa" w:w="1800"/>
                </w:tcPr>
                <w:p>
                  <w:pPr>
                    <w:spacing w:before="0" w:after="30"/>
                  </w:pPr>
                  <w:r>
                    <w:rPr>
                      <w:b/>
                      <w:color w:val="1C2730"/>
                      <w:sz w:val="15"/>
                    </w:rPr>
                    <w:t>Administrative email drafting</w:t>
                  </w:r>
                </w:p>
              </w:tc>
              <w:tc>
                <w:tcPr>
                  <w:tcW w:type="dxa" w:w="2100"/>
                </w:tcPr>
                <w:p>
                  <w:pPr>
                    <w:spacing w:before="0" w:after="30"/>
                  </w:pPr>
                  <w:r>
                    <w:rPr>
                      <w:b/>
                      <w:color w:val="1C2730"/>
                      <w:sz w:val="15"/>
                    </w:rPr>
                    <w:t>APPROVED</w:t>
                  </w:r>
                </w:p>
                <w:p>
                  <w:pPr>
                    <w:spacing w:before="0" w:after="30"/>
                  </w:pPr>
                  <w:r>
                    <w:rPr>
                      <w:color w:val="1C2730"/>
                      <w:sz w:val="15"/>
                    </w:rPr>
                    <w:t>Dr. Chen prompts; the draft is reviewed before use.</w:t>
                  </w:r>
                </w:p>
              </w:tc>
              <w:tc>
                <w:tcPr>
                  <w:tcW w:type="dxa" w:w="4200"/>
                </w:tcPr>
                <w:p>
                  <w:pPr>
                    <w:spacing w:before="0" w:after="30"/>
                  </w:pPr>
                  <w:r>
                    <w:rPr>
                      <w:color w:val="1C2730"/>
                      <w:sz w:val="15"/>
                    </w:rPr>
                    <w:t xml:space="preserve">ITS-STD-014 §3 </w:t>
                  </w:r>
                  <w:r>
                    <w:rPr>
                      <w:b/>
                      <w:color w:val="1C2730"/>
                      <w:sz w:val="15"/>
                    </w:rPr>
                    <w:t>UC-02</w:t>
                  </w:r>
                  <w:r>
                    <w:rPr>
                      <w:color w:val="1C2730"/>
                      <w:sz w:val="15"/>
                    </w:rPr>
                    <w:t xml:space="preserve"> User communication drafting (approved output: “a draft email … always reviewed and edited … before sending”), with §5 redaction and §6.1 human review. Exercise-specific approval: </w:t>
                  </w:r>
                  <w:r>
                    <w:rPr>
                      <w:b/>
                      <w:color w:val="1C2730"/>
                      <w:sz w:val="15"/>
                    </w:rPr>
                    <w:t>KB-431 bullet 1</w:t>
                  </w:r>
                  <w:r>
                    <w:rPr>
                      <w:color w:val="1C2730"/>
                      <w:sz w:val="15"/>
                    </w:rPr>
                    <w:t xml:space="preserve"> (“administrative drafting from supplied synthetic notes or facts”); Fact Sheet › Copilot use.</w:t>
                  </w:r>
                </w:p>
              </w:tc>
            </w:tr>
            <w:tr>
              <w:trPr>
                <w:cantSplit/>
              </w:trPr>
              <w:tc>
                <w:tcPr>
                  <w:tcW w:type="dxa" w:w="1800"/>
                  <w:shd w:val="clear" w:color="auto" w:fill="F8FAFB"/>
                </w:tcPr>
                <w:p>
                  <w:pPr>
                    <w:spacing w:before="0" w:after="30"/>
                  </w:pPr>
                  <w:r>
                    <w:rPr>
                      <w:b/>
                      <w:color w:val="1C2730"/>
                      <w:sz w:val="15"/>
                    </w:rPr>
                    <w:t>Clinical case summarization</w:t>
                  </w:r>
                </w:p>
              </w:tc>
              <w:tc>
                <w:tcPr>
                  <w:tcW w:type="dxa" w:w="2100"/>
                  <w:shd w:val="clear" w:color="auto" w:fill="F8FAFB"/>
                </w:tcPr>
                <w:p>
                  <w:pPr>
                    <w:spacing w:before="0" w:after="30"/>
                  </w:pPr>
                  <w:r>
                    <w:rPr>
                      <w:b/>
                      <w:color w:val="1C2730"/>
                      <w:sz w:val="15"/>
                    </w:rPr>
                    <w:t>NOT APPROVED</w:t>
                  </w:r>
                </w:p>
                <w:p>
                  <w:pPr>
                    <w:spacing w:before="0" w:after="30"/>
                  </w:pPr>
                  <w:r>
                    <w:rPr>
                      <w:color w:val="1C2730"/>
                      <w:sz w:val="15"/>
                    </w:rPr>
                    <w:t>Not attempted with Copilot.</w:t>
                  </w:r>
                </w:p>
              </w:tc>
              <w:tc>
                <w:tcPr>
                  <w:tcW w:type="dxa" w:w="4200"/>
                  <w:shd w:val="clear" w:color="auto" w:fill="F8FAFB"/>
                </w:tcPr>
                <w:p>
                  <w:pPr>
                    <w:spacing w:before="0" w:after="30"/>
                  </w:pPr>
                  <w:r>
                    <w:rPr>
                      <w:color w:val="1C2730"/>
                      <w:sz w:val="15"/>
                    </w:rPr>
                    <w:t xml:space="preserve">ITS-STD-014 §4 </w:t>
                  </w:r>
                  <w:r>
                    <w:rPr>
                      <w:b/>
                      <w:color w:val="1C2730"/>
                      <w:sz w:val="15"/>
                    </w:rPr>
                    <w:t>NA-01</w:t>
                  </w:r>
                  <w:r>
                    <w:rPr>
                      <w:color w:val="1C2730"/>
                      <w:sz w:val="15"/>
                    </w:rPr>
                    <w:t xml:space="preserve"> PHI-adjacent content (“a request to explain, interpret, paraphrase, or check clinical content”); §3 UC-02 Explicitly excluded (“Clinical instruction or guidance of any kind”); §4.4 test. Also KB-431 bullet 2; Fact Sheet › Copilot use.</w:t>
                  </w:r>
                </w:p>
              </w:tc>
            </w:tr>
            <w:tr>
              <w:trPr>
                <w:cantSplit/>
              </w:trPr>
              <w:tc>
                <w:tcPr>
                  <w:tcW w:type="dxa" w:w="1800"/>
                </w:tcPr>
                <w:p>
                  <w:pPr>
                    <w:spacing w:before="0" w:after="30"/>
                  </w:pPr>
                  <w:r>
                    <w:rPr>
                      <w:b/>
                      <w:color w:val="1C2730"/>
                      <w:sz w:val="15"/>
                    </w:rPr>
                    <w:t>Recipient authorization</w:t>
                  </w:r>
                </w:p>
              </w:tc>
              <w:tc>
                <w:tcPr>
                  <w:tcW w:type="dxa" w:w="2100"/>
                </w:tcPr>
                <w:p>
                  <w:pPr>
                    <w:spacing w:before="0" w:after="30"/>
                  </w:pPr>
                  <w:r>
                    <w:rPr>
                      <w:b/>
                      <w:color w:val="1C2730"/>
                      <w:sz w:val="15"/>
                    </w:rPr>
                    <w:t>ESCALATE</w:t>
                  </w:r>
                </w:p>
                <w:p>
                  <w:pPr>
                    <w:spacing w:before="0" w:after="30"/>
                  </w:pPr>
                  <w:r>
                    <w:rPr>
                      <w:color w:val="1C2730"/>
                      <w:sz w:val="15"/>
                    </w:rPr>
                    <w:t>Not a Copilot task. Decided by Dr. Chen through the approved request; escalated if it can't be confirmed.</w:t>
                  </w:r>
                </w:p>
              </w:tc>
              <w:tc>
                <w:tcPr>
                  <w:tcW w:type="dxa" w:w="4200"/>
                </w:tcPr>
                <w:p>
                  <w:pPr>
                    <w:spacing w:before="0" w:after="30"/>
                  </w:pPr>
                  <w:r>
                    <w:rPr>
                      <w:color w:val="1C2730"/>
                      <w:sz w:val="15"/>
                    </w:rPr>
                    <w:t xml:space="preserve">ITS-STD-014 §4 </w:t>
                  </w:r>
                  <w:r>
                    <w:rPr>
                      <w:b/>
                      <w:color w:val="1C2730"/>
                      <w:sz w:val="15"/>
                    </w:rPr>
                    <w:t>NA-02</w:t>
                  </w:r>
                  <w:r>
                    <w:rPr>
                      <w:color w:val="1C2730"/>
                      <w:sz w:val="15"/>
                    </w:rPr>
                    <w:t xml:space="preserve"> (a determination of “whether a disclosure was permitted”); §2 (no autonomous determinations on privacy matters); §4 NA-03. Also KB-431 bullet 2 (“recipient authorization decisions” not approved); KB-410 bullet 3; KB-422 bullet 3; Checklist C8.</w:t>
                  </w:r>
                </w:p>
              </w:tc>
            </w:tr>
            <w:tr>
              <w:trPr>
                <w:cantSplit/>
              </w:trPr>
              <w:tc>
                <w:tcPr>
                  <w:tcW w:type="dxa" w:w="1800"/>
                  <w:shd w:val="clear" w:color="auto" w:fill="F8FAFB"/>
                </w:tcPr>
                <w:p>
                  <w:pPr>
                    <w:spacing w:before="0" w:after="30"/>
                  </w:pPr>
                  <w:r>
                    <w:rPr>
                      <w:b/>
                      <w:color w:val="1C2730"/>
                      <w:sz w:val="15"/>
                    </w:rPr>
                    <w:t>Disclosure decisions</w:t>
                  </w:r>
                </w:p>
              </w:tc>
              <w:tc>
                <w:tcPr>
                  <w:tcW w:type="dxa" w:w="2100"/>
                  <w:shd w:val="clear" w:color="auto" w:fill="F8FAFB"/>
                </w:tcPr>
                <w:p>
                  <w:pPr>
                    <w:spacing w:before="0" w:after="30"/>
                  </w:pPr>
                  <w:r>
                    <w:rPr>
                      <w:b/>
                      <w:color w:val="1C2730"/>
                      <w:sz w:val="15"/>
                    </w:rPr>
                    <w:t>ESCALATE</w:t>
                  </w:r>
                </w:p>
                <w:p>
                  <w:pPr>
                    <w:spacing w:before="0" w:after="30"/>
                  </w:pPr>
                  <w:r>
                    <w:rPr>
                      <w:color w:val="1C2730"/>
                      <w:sz w:val="15"/>
                    </w:rPr>
                    <w:t>Clinician-owned. Any doubt about whether the disclosure is permitted goes to the Privacy Office.</w:t>
                  </w:r>
                </w:p>
              </w:tc>
              <w:tc>
                <w:tcPr>
                  <w:tcW w:type="dxa" w:w="4200"/>
                  <w:shd w:val="clear" w:color="auto" w:fill="F8FAFB"/>
                </w:tcPr>
                <w:p>
                  <w:pPr>
                    <w:spacing w:before="0" w:after="30"/>
                  </w:pPr>
                  <w:r>
                    <w:rPr>
                      <w:color w:val="1C2730"/>
                      <w:sz w:val="15"/>
                    </w:rPr>
                    <w:t xml:space="preserve">ITS-STD-014 §4 </w:t>
                  </w:r>
                  <w:r>
                    <w:rPr>
                      <w:b/>
                      <w:color w:val="1C2730"/>
                      <w:sz w:val="15"/>
                    </w:rPr>
                    <w:t>NA-02</w:t>
                  </w:r>
                  <w:r>
                    <w:rPr>
                      <w:color w:val="1C2730"/>
                      <w:sz w:val="15"/>
                    </w:rPr>
                    <w:t>; §2; §4 NA-01 “What to do instead” (possible improper disclosure → Privacy Office intake). Also KB-410 bullet 3; Fact Sheet › Copilot use (“no … autonomous disclosure decisions”), Tier 1 authority, Privacy escalation.</w:t>
                  </w:r>
                </w:p>
              </w:tc>
            </w:tr>
          </w:tbl>
          <w:p>
            <w:pPr>
              <w:spacing w:before="0" w:after="0"/>
              <w:rPr>
                <w:sz w:val="8"/>
              </w:rPr>
            </w:pPr>
          </w:p>
          <w:p>
            <w:pPr>
              <w:spacing w:before="40" w:after="60"/>
            </w:pPr>
            <w:r>
              <w:rPr>
                <w:i/>
                <w:color w:val="5B6770"/>
                <w:sz w:val="15"/>
              </w:rPr>
              <w:t>Not Approved means the element is simply not done with Copilot; no one else has to decide anything. Escalate means a decision still has to be made, by someone other than Copilot or Tier 1.</w:t>
            </w:r>
          </w:p>
        </w:tc>
      </w:tr>
      <w:tr>
        <w:tc>
          <w:tcPr>
            <w:tcW w:type="dxa" w:w="1900"/>
            <w:tcBorders>
              <w:bottom w:val="single" w:sz="6" w:color="D8E0E4"/>
            </w:tcBorders>
            <w:tcMar>
              <w:top w:w="90" w:type="dxa"/>
              <w:start w:w="100" w:type="dxa"/>
              <w:bottom w:w="90" w:type="dxa"/>
              <w:end w:w="100" w:type="dxa"/>
            </w:tcMar>
            <w:vAlign w:val="top"/>
          </w:tcPr>
          <w:p>
            <w:pPr>
              <w:spacing w:after="40"/>
            </w:pPr>
            <w:r>
              <w:rPr>
                <w:sz w:val="17"/>
              </w:rPr>
              <w:t>Approved / not approved / escalate decision</w:t>
            </w:r>
          </w:p>
        </w:tc>
        <w:tc>
          <w:tcPr>
            <w:tcW w:type="dxa" w:w="8324"/>
            <w:tcBorders>
              <w:bottom w:val="single" w:sz="6" w:color="D8E0E4"/>
            </w:tcBorders>
            <w:tcMar>
              <w:top w:w="90" w:type="dxa"/>
              <w:start w:w="100" w:type="dxa"/>
              <w:bottom w:w="90" w:type="dxa"/>
              <w:end w:w="100" w:type="dxa"/>
            </w:tcMar>
            <w:vAlign w:val="top"/>
          </w:tcPr>
          <w:p>
            <w:pPr>
              <w:spacing w:before="0" w:after="60"/>
            </w:pPr>
            <w:r>
              <w:rPr>
                <w:b/>
                <w:color w:val="1C2730"/>
                <w:sz w:val="17"/>
              </w:rPr>
              <w:t>Split decision. Copilot is approved for element 1 only.</w:t>
            </w:r>
          </w:p>
          <w:p>
            <w:pPr>
              <w:pStyle w:val="ListBullet"/>
              <w:spacing w:before="0" w:after="30"/>
              <w:ind w:left="300" w:hanging="200"/>
            </w:pPr>
            <w:r>
              <w:rPr>
                <w:b/>
                <w:color w:val="1C2730"/>
                <w:sz w:val="17"/>
              </w:rPr>
              <w:t>Element 1, Approved:</w:t>
            </w:r>
            <w:r>
              <w:rPr>
                <w:color w:val="1C2730"/>
                <w:sz w:val="17"/>
              </w:rPr>
              <w:t xml:space="preserve"> Dr. Chen uses Copilot herself, with the Component 3 prompt card, after the file is shared. Tier 1 does not run Copilot for her.</w:t>
            </w:r>
          </w:p>
          <w:p>
            <w:pPr>
              <w:pStyle w:val="ListBullet"/>
              <w:spacing w:before="0" w:after="30"/>
              <w:ind w:left="300" w:hanging="200"/>
            </w:pPr>
            <w:r>
              <w:rPr>
                <w:b/>
                <w:color w:val="1C2730"/>
                <w:sz w:val="17"/>
              </w:rPr>
              <w:t>Element 2, Not Approved:</w:t>
            </w:r>
            <w:r>
              <w:rPr>
                <w:color w:val="1C2730"/>
                <w:sz w:val="17"/>
              </w:rPr>
              <w:t xml:space="preserve"> no clinical content enters Copilot, and the email contains none. The case summary already exists; the email only points to it.</w:t>
            </w:r>
          </w:p>
          <w:p>
            <w:pPr>
              <w:pStyle w:val="ListBullet"/>
              <w:spacing w:before="0" w:after="30"/>
              <w:ind w:left="300" w:hanging="200"/>
            </w:pPr>
            <w:r>
              <w:rPr>
                <w:b/>
                <w:color w:val="1C2730"/>
                <w:sz w:val="17"/>
              </w:rPr>
              <w:t>Elements 3 and 4, Escalate:</w:t>
            </w:r>
            <w:r>
              <w:rPr>
                <w:color w:val="1C2730"/>
                <w:sz w:val="17"/>
              </w:rPr>
              <w:t xml:space="preserve"> they stay with Dr. Chen through the approved, human-controlled workflow (approved request, recipient-specific sharing, Manage Access). If the recipient can't be authenticated or the sharing route is blocked, go to Identity Administrators or the M365 Admin Team. If there is any question whether the disclosure is permitted, go to Privacy Office intake. If the boundary itself is unclear, flag it to the team lead (ITS-STD-014 §6.3).</w:t>
            </w:r>
          </w:p>
          <w:p>
            <w:pPr>
              <w:pStyle w:val="ListBullet"/>
              <w:spacing w:before="0" w:after="30"/>
              <w:ind w:left="300" w:hanging="200"/>
            </w:pPr>
            <w:r>
              <w:rPr>
                <w:b/>
                <w:color w:val="1C2730"/>
                <w:sz w:val="17"/>
              </w:rPr>
              <w:t>The 45-minute deadline changes none of this</w:t>
            </w:r>
            <w:r>
              <w:rPr>
                <w:color w:val="1C2730"/>
                <w:sz w:val="17"/>
              </w:rPr>
              <w:t xml:space="preserve"> (Case Packet › Deadline; ITS-STD-014 §2 and NA-03 boundary note: urgency does not create an exception).</w:t>
            </w:r>
          </w:p>
        </w:tc>
      </w:tr>
      <w:tr>
        <w:tc>
          <w:tcPr>
            <w:tcW w:type="dxa" w:w="1900"/>
            <w:tcBorders>
              <w:bottom w:val="single" w:sz="6" w:color="D8E0E4"/>
            </w:tcBorders>
            <w:shd w:fill="F8FAFB"/>
            <w:tcMar>
              <w:top w:w="90" w:type="dxa"/>
              <w:start w:w="100" w:type="dxa"/>
              <w:bottom w:w="90" w:type="dxa"/>
              <w:end w:w="100" w:type="dxa"/>
            </w:tcMar>
            <w:vAlign w:val="top"/>
          </w:tcPr>
          <w:p>
            <w:pPr>
              <w:spacing w:after="40"/>
            </w:pPr>
            <w:r>
              <w:rPr>
                <w:sz w:val="17"/>
              </w:rPr>
              <w:t>Approved-use-case citation</w:t>
            </w:r>
          </w:p>
        </w:tc>
        <w:tc>
          <w:tcPr>
            <w:tcW w:type="dxa" w:w="8324"/>
            <w:tcBorders>
              <w:bottom w:val="single" w:sz="6" w:color="D8E0E4"/>
            </w:tcBorders>
            <w:shd w:fill="F8FAFB"/>
            <w:tcMar>
              <w:top w:w="90" w:type="dxa"/>
              <w:start w:w="100" w:type="dxa"/>
              <w:bottom w:w="90" w:type="dxa"/>
              <w:end w:w="100" w:type="dxa"/>
            </w:tcMar>
            <w:vAlign w:val="top"/>
          </w:tcPr>
          <w:p>
            <w:pPr>
              <w:pStyle w:val="ListBullet"/>
              <w:spacing w:before="0" w:after="30"/>
              <w:ind w:left="300" w:hanging="200"/>
            </w:pPr>
            <w:r>
              <w:rPr>
                <w:b/>
                <w:color w:val="1C2730"/>
                <w:sz w:val="17"/>
              </w:rPr>
              <w:t>Primary:</w:t>
            </w:r>
            <w:r>
              <w:rPr>
                <w:color w:val="1C2730"/>
                <w:sz w:val="17"/>
              </w:rPr>
              <w:t xml:space="preserve"> ITS-STD-014 v3.2 §3 </w:t>
            </w:r>
            <w:r>
              <w:rPr>
                <w:b/>
                <w:color w:val="1C2730"/>
                <w:sz w:val="17"/>
              </w:rPr>
              <w:t>UC-02</w:t>
            </w:r>
            <w:r>
              <w:rPr>
                <w:color w:val="1C2730"/>
                <w:sz w:val="17"/>
              </w:rPr>
              <w:t xml:space="preserve"> User communication drafting. Approved output: a draft email, reviewed and edited before sending. Required controls: redact per §5; the author of record is responsible for accuracy, tone and completeness.</w:t>
            </w:r>
          </w:p>
          <w:p>
            <w:pPr>
              <w:pStyle w:val="ListBullet"/>
              <w:spacing w:before="0" w:after="30"/>
              <w:ind w:left="300" w:hanging="200"/>
            </w:pPr>
            <w:r>
              <w:rPr>
                <w:b/>
                <w:color w:val="1C2730"/>
                <w:sz w:val="17"/>
              </w:rPr>
              <w:t>Exercise-specific approval:</w:t>
            </w:r>
            <w:r>
              <w:rPr>
                <w:color w:val="1C2730"/>
                <w:sz w:val="17"/>
              </w:rPr>
              <w:t xml:space="preserve"> </w:t>
            </w:r>
            <w:r>
              <w:rPr>
                <w:b/>
                <w:color w:val="1C2730"/>
                <w:sz w:val="17"/>
              </w:rPr>
              <w:t>KB-431 bullet 1</w:t>
            </w:r>
            <w:r>
              <w:rPr>
                <w:color w:val="1C2730"/>
                <w:sz w:val="17"/>
              </w:rPr>
              <w:t>, and Fact Sheet › Policy baseline › Copilot use (“Administrative drafting only”). Fact Sheet › System boundary › Microsoft 365 Copilot: “Permitted only for the supplied administrative drafting use case and only with synthetic or otherwise approved data.”</w:t>
            </w:r>
          </w:p>
          <w:p>
            <w:pPr>
              <w:pStyle w:val="ListBullet"/>
              <w:spacing w:before="0" w:after="30"/>
              <w:ind w:left="300" w:hanging="200"/>
            </w:pPr>
            <w:r>
              <w:rPr>
                <w:b/>
                <w:color w:val="1C2730"/>
                <w:sz w:val="17"/>
              </w:rPr>
              <w:t>Fit note:</w:t>
            </w:r>
            <w:r>
              <w:rPr>
                <w:color w:val="1C2730"/>
                <w:sz w:val="17"/>
              </w:rPr>
              <w:t xml:space="preserve"> UC-02 is written for service-desk messages to end users, but here the author is Dr. Chen writing to a colleague. KB-431 bullet 1 matches the task exactly, so UC-02 is applied for its controls together with KB-431, not stretched as a closest fit (RCCOF Template §1, gate row 1).</w:t>
            </w:r>
          </w:p>
          <w:p>
            <w:pPr>
              <w:pStyle w:val="ListBullet"/>
              <w:spacing w:before="0" w:after="30"/>
              <w:ind w:left="300" w:hanging="200"/>
            </w:pPr>
            <w:r>
              <w:rPr>
                <w:b/>
                <w:color w:val="1C2730"/>
                <w:sz w:val="17"/>
              </w:rPr>
              <w:t>Document note for the team lead:</w:t>
            </w:r>
            <w:r>
              <w:rPr>
                <w:color w:val="1C2730"/>
                <w:sz w:val="17"/>
              </w:rPr>
              <w:t xml:space="preserve"> ITS-STD-014's header names Contoso but its banner names Northridge, and its next review date (6 July 2026) has passed. This is recorded, not resolved: interpreting the standard is outside Tier 1 scope (§2).</w:t>
            </w:r>
          </w:p>
        </w:tc>
      </w:tr>
      <w:tr>
        <w:tc>
          <w:tcPr>
            <w:tcW w:type="dxa" w:w="1900"/>
            <w:tcBorders>
              <w:bottom w:val="single" w:sz="6" w:color="D8E0E4"/>
            </w:tcBorders>
            <w:tcMar>
              <w:top w:w="90" w:type="dxa"/>
              <w:start w:w="100" w:type="dxa"/>
              <w:bottom w:w="90" w:type="dxa"/>
              <w:end w:w="100" w:type="dxa"/>
            </w:tcMar>
            <w:vAlign w:val="top"/>
          </w:tcPr>
          <w:p>
            <w:pPr>
              <w:spacing w:after="40"/>
            </w:pPr>
            <w:r>
              <w:rPr>
                <w:sz w:val="17"/>
              </w:rPr>
              <w:t>Rationale</w:t>
            </w:r>
          </w:p>
        </w:tc>
        <w:tc>
          <w:tcPr>
            <w:tcW w:type="dxa" w:w="8324"/>
            <w:tcBorders>
              <w:bottom w:val="single" w:sz="6" w:color="D8E0E4"/>
            </w:tcBorders>
            <w:tcMar>
              <w:top w:w="90" w:type="dxa"/>
              <w:start w:w="100" w:type="dxa"/>
              <w:bottom w:w="90" w:type="dxa"/>
              <w:end w:w="100" w:type="dxa"/>
            </w:tcMar>
            <w:vAlign w:val="top"/>
          </w:tcPr>
          <w:p>
            <w:pPr>
              <w:spacing w:before="0" w:after="40"/>
            </w:pPr>
            <w:r>
              <w:rPr>
                <w:b/>
                <w:color w:val="2D7F85"/>
                <w:sz w:val="15"/>
              </w:rPr>
              <w:t>ADMINISTRATIVE EMAIL DRAFTING: APPROVED</w:t>
            </w:r>
          </w:p>
          <w:p>
            <w:pPr>
              <w:spacing w:before="0" w:after="60"/>
            </w:pPr>
            <w:r>
              <w:rPr>
                <w:color w:val="1C2730"/>
                <w:sz w:val="17"/>
              </w:rPr>
              <w:t>A short, non-binding cover note built from supplied synthetic facts is exactly what KB-431 bullet 1 approves and what UC-02 permits as a reviewed draft. It needs no clinical content, so the §4.4 test is passed: removing clinical detail still leaves a coherent task.</w:t>
            </w:r>
          </w:p>
          <w:p>
            <w:pPr>
              <w:spacing w:before="80" w:after="40"/>
            </w:pPr>
            <w:r>
              <w:rPr>
                <w:b/>
                <w:color w:val="2D7F85"/>
                <w:sz w:val="15"/>
              </w:rPr>
              <w:t>CLINICAL CASE SUMMARIZATION: NOT APPROVED</w:t>
            </w:r>
          </w:p>
          <w:p>
            <w:pPr>
              <w:spacing w:before="0" w:after="60"/>
            </w:pPr>
            <w:r>
              <w:rPr>
                <w:color w:val="1C2730"/>
                <w:sz w:val="17"/>
              </w:rPr>
              <w:t>Summarizing the case would have Copilot paraphrase or interpret clinical content. ITS-STD-014 §4 NA-01 excludes any task “whose substance is clinical,” including requests to “explain, interpret, paraphrase, or check clinical content, however routine it appears,” and UC-02 excludes “clinical instruction or guidance of any kind.” The §4.4 test confirms it: the clinical narrative is the subject, not incidental, and a clinician would have to check the output. Removing names and dates does not change this, because redaction “does not convert a clinical question into a technical one” (NA-01). KB-431 bullet 2 and Fact Sheet › Copilot use add that diagnosis, clinical decision-making and interpretation of patient data are out of scope. Nothing is lost: the summary is already written, and Dr. Chen keeps the clinical reasoning for the consult. Any clinical question put to Tier 1 goes to the clinical informatics on-call (NA-01 “What to do instead”).</w:t>
            </w:r>
          </w:p>
          <w:p>
            <w:pPr>
              <w:spacing w:before="80" w:after="40"/>
            </w:pPr>
            <w:r>
              <w:rPr>
                <w:b/>
                <w:color w:val="2D7F85"/>
                <w:sz w:val="15"/>
              </w:rPr>
              <w:t>RECIPIENT AUTHORIZATION: ESCALATE</w:t>
            </w:r>
          </w:p>
          <w:p>
            <w:pPr>
              <w:spacing w:before="0" w:after="60"/>
            </w:pPr>
            <w:r>
              <w:rPr>
                <w:color w:val="1C2730"/>
                <w:sz w:val="17"/>
              </w:rPr>
              <w:t>Deciding that this partner colleague may receive the file is an authorization decision with privacy consequences. KB-431 bullet 2 lists “recipient authorization decisions” as not approved for Copilot. ITS-STD-014 §4 NA-02 covers any determination of “whether a disclosure was permitted,” and §2 puts such determinations outside Tier 1 as well. So neither Copilot nor Tier 1 makes this call. Dr. Chen confirms the colleague is the authenticated person “designated in the approved request” (Case Packet › Recipient; KB-422 bullet 3; KB-410 bullet 3). Tier 1's part is to explain the Manage Access check, and to escalate if the recipient can't be authenticated or the recipient-specific route is blocked (Case Packet › Stop condition; Fact Sheet › Permissions).</w:t>
            </w:r>
          </w:p>
          <w:p>
            <w:pPr>
              <w:spacing w:before="80" w:after="40"/>
            </w:pPr>
            <w:r>
              <w:rPr>
                <w:b/>
                <w:color w:val="2D7F85"/>
                <w:sz w:val="15"/>
              </w:rPr>
              <w:t>DISCLOSURE DECISIONS: ESCALATE</w:t>
            </w:r>
          </w:p>
          <w:p>
            <w:pPr>
              <w:spacing w:before="0" w:after="60"/>
            </w:pPr>
            <w:r>
              <w:rPr>
                <w:color w:val="1C2730"/>
                <w:sz w:val="17"/>
              </w:rPr>
              <w:t>Whether to share, what to share and at what access level stay with the clinician. Copilot may not make “autonomous disclosure decisions” (Fact Sheet › Copilot use), and Tier 1 “does not act as the disclosure approver” (Fact Sheet › Decision boundaries, bullet 2; Tier 1 authority). Whether a particular disclosure is permitted is a privacy determination under ITS-STD-014 §4 NA-02 and §2. Any doubt goes to the organization-designated privacy route (Privacy Office intake) with minimum-necessary evidence (Fact Sheet › Privacy escalation). A correct link setting does not settle the question: a secure configuration “does not by itself establish HIPAA compliance” (Fact Sheet › Decision boundaries, bullet 3). Sending on the strength of Copilot output without human review would also be NA-03.</w:t>
            </w:r>
          </w:p>
        </w:tc>
      </w:tr>
    </w:tbl>
    <w:p>
      <w:pPr>
        <w:spacing w:after="40"/>
      </w:pPr>
    </w:p>
    <w:p>
      <w:pPr>
        <w:pStyle w:val="Heading1"/>
      </w:pPr>
      <w:r>
        <w:t>Component 3 - Prompt Design and Verification</w:t>
      </w:r>
    </w:p>
    <w:tbl>
      <w:tblPr>
        <w:tblStyle w:val="TableGrid"/>
        <w:tblW w:w="10224" w:type="dxa"/>
        <w:jc w:val="center"/>
        <w:tblLayout w:type="fixed"/>
        <w:tblLook w:firstColumn="1" w:firstRow="1" w:lastColumn="0" w:lastRow="0" w:noHBand="0" w:noVBand="1" w:val="04A0"/>
      </w:tblPr>
      <w:tblGrid>
        <w:gridCol w:w="1900"/>
        <w:gridCol w:w="8324"/>
      </w:tblGrid>
      <w:tr>
        <w:tc>
          <w:tcPr>
            <w:tcW w:type="dxa" w:w="1900"/>
            <w:shd w:fill="17324D"/>
            <w:tcMar>
              <w:top w:w="90" w:type="dxa"/>
              <w:start w:w="100" w:type="dxa"/>
              <w:bottom w:w="90" w:type="dxa"/>
              <w:end w:w="100" w:type="dxa"/>
            </w:tcMar>
            <w:vAlign w:val="center"/>
          </w:tcPr>
          <w:p>
            <w:pPr>
              <w:jc w:val="left"/>
            </w:pPr>
            <w:r>
              <w:rPr>
                <w:b/>
                <w:color w:val="FFFFFF"/>
                <w:sz w:val="18"/>
              </w:rPr>
              <w:t>Field</w:t>
            </w:r>
          </w:p>
        </w:tc>
        <w:tc>
          <w:tcPr>
            <w:tcW w:type="dxa" w:w="8324"/>
            <w:shd w:fill="17324D"/>
            <w:tcMar>
              <w:top w:w="90" w:type="dxa"/>
              <w:start w:w="100" w:type="dxa"/>
              <w:bottom w:w="90" w:type="dxa"/>
              <w:end w:w="100" w:type="dxa"/>
            </w:tcMar>
            <w:vAlign w:val="center"/>
          </w:tcPr>
          <w:p>
            <w:pPr>
              <w:jc w:val="left"/>
            </w:pPr>
            <w:r>
              <w:rPr>
                <w:b/>
                <w:color w:val="FFFFFF"/>
                <w:sz w:val="18"/>
              </w:rPr>
              <w:t>Learner entry</w:t>
            </w:r>
          </w:p>
        </w:tc>
      </w:tr>
      <w:tr>
        <w:tc>
          <w:tcPr>
            <w:tcW w:type="dxa" w:w="1900"/>
            <w:tcBorders>
              <w:bottom w:val="single" w:sz="6" w:color="D8E0E4"/>
            </w:tcBorders>
            <w:shd w:fill="F8FAFB"/>
            <w:tcMar>
              <w:top w:w="90" w:type="dxa"/>
              <w:start w:w="100" w:type="dxa"/>
              <w:bottom w:w="90" w:type="dxa"/>
              <w:end w:w="100" w:type="dxa"/>
            </w:tcMar>
            <w:vAlign w:val="top"/>
          </w:tcPr>
          <w:p>
            <w:pPr>
              <w:spacing w:after="40"/>
            </w:pPr>
            <w:r>
              <w:rPr>
                <w:sz w:val="17"/>
              </w:rPr>
              <w:t>RCCOF prompt</w:t>
            </w:r>
          </w:p>
        </w:tc>
        <w:tc>
          <w:tcPr>
            <w:tcW w:type="dxa" w:w="8324"/>
            <w:tcBorders>
              <w:bottom w:val="single" w:sz="6" w:color="D8E0E4"/>
            </w:tcBorders>
            <w:shd w:fill="F8FAFB"/>
            <w:tcMar>
              <w:top w:w="90" w:type="dxa"/>
              <w:start w:w="100" w:type="dxa"/>
              <w:bottom w:w="90" w:type="dxa"/>
              <w:end w:w="100" w:type="dxa"/>
            </w:tcMar>
            <w:vAlign w:val="top"/>
          </w:tcPr>
          <w:p>
            <w:pPr>
              <w:spacing w:before="0" w:after="80"/>
            </w:pPr>
            <w:r>
              <w:rPr>
                <w:color w:val="1C2730"/>
                <w:sz w:val="17"/>
              </w:rPr>
              <w:t xml:space="preserve">For </w:t>
            </w:r>
            <w:r>
              <w:rPr>
                <w:b/>
                <w:color w:val="1C2730"/>
                <w:sz w:val="17"/>
              </w:rPr>
              <w:t>element 1 only</w:t>
            </w:r>
            <w:r>
              <w:rPr>
                <w:color w:val="1C2730"/>
                <w:sz w:val="17"/>
              </w:rPr>
              <w:t>. This is a prompt card for Dr. Chen to enter herself after the file is shared; Tier 1 does not run it. It follows the RCCOF Template (ITS-TRN-014-C §2) and uses only Case Packet facts.</w:t>
            </w:r>
          </w:p>
          <w:tbl>
            <w:tblPr>
              <w:tblW w:w="8100" w:type="dxa"/>
              <w:tblBorders>
                <w:top w:val="single" w:sz="4" w:space="0" w:color="2D7F85"/>
                <w:left w:val="single" w:sz="24" w:space="0" w:color="2D7F85"/>
                <w:bottom w:val="single" w:sz="4" w:space="0" w:color="2D7F85"/>
                <w:right w:val="single" w:sz="4" w:space="0" w:color="2D7F85"/>
              </w:tblBorders>
              <w:tblLayout w:type="fixed"/>
              <w:tblCellMar>
                <w:top w:w="70" w:type="dxa"/>
                <w:left w:w="120" w:type="dxa"/>
                <w:bottom w:w="70" w:type="dxa"/>
                <w:right w:w="120" w:type="dxa"/>
              </w:tblCellMar>
              <w:tblLook w:firstColumn="1" w:firstRow="1" w:lastColumn="0" w:lastRow="0" w:noHBand="0" w:noVBand="1" w:val="04A0"/>
            </w:tblPr>
            <w:tblGrid>
              <w:gridCol w:w="8100"/>
            </w:tblGrid>
            <w:tr>
              <w:trPr>
                <w:cantSplit/>
              </w:trPr>
              <w:tc>
                <w:tcPr>
                  <w:tcW w:type="dxa" w:w="8100"/>
                  <w:shd w:val="clear" w:color="auto" w:fill="EEF5F5"/>
                </w:tcPr>
                <w:p>
                  <w:pPr>
                    <w:spacing w:before="0" w:after="40"/>
                  </w:pPr>
                  <w:r>
                    <w:rPr>
                      <w:b/>
                      <w:color w:val="2D7F85"/>
                      <w:sz w:val="16"/>
                    </w:rPr>
                    <w:t>PROMPT CARD: administrative cover email</w:t>
                  </w:r>
                </w:p>
                <w:p>
                  <w:pPr>
                    <w:spacing w:before="0" w:after="40"/>
                  </w:pPr>
                  <w:r>
                    <w:rPr>
                      <w:b/>
                      <w:color w:val="1C2730"/>
                      <w:sz w:val="16"/>
                    </w:rPr>
                    <w:t>ROLE</w:t>
                  </w:r>
                </w:p>
                <w:p>
                  <w:pPr>
                    <w:spacing w:before="0" w:after="40"/>
                  </w:pPr>
                  <w:r>
                    <w:rPr>
                      <w:color w:val="1C2730"/>
                      <w:sz w:val="16"/>
                    </w:rPr>
                    <w:t>Act as an administrative communications assistant for a family medicine physician. Write in a professional, concise and collegial register for a physician reader at a partner clinic. Assume the reader knows what a curbside consultation is. Do not assume the reader knows where the case summary is or how to open it.</w:t>
                  </w:r>
                </w:p>
                <w:p>
                  <w:pPr>
                    <w:spacing w:before="0" w:after="40"/>
                  </w:pPr>
                  <w:r>
                    <w:rPr>
                      <w:b/>
                      <w:color w:val="1C2730"/>
                      <w:sz w:val="16"/>
                    </w:rPr>
                    <w:t>CONTEXT</w:t>
                  </w:r>
                </w:p>
                <w:p>
                  <w:pPr>
                    <w:spacing w:before="0" w:after="40"/>
                  </w:pPr>
                  <w:r>
                    <w:rPr>
                      <w:color w:val="1C2730"/>
                      <w:sz w:val="16"/>
                    </w:rPr>
                    <w:t>Request: draft a short introductory email from the physician to a partner-clinic colleague before a curbside consultation. Facts you may use (complete list):</w:t>
                  </w:r>
                </w:p>
                <w:p>
                  <w:pPr>
                    <w:spacing w:before="0" w:after="40"/>
                  </w:pPr>
                  <w:r>
                    <w:rPr>
                      <w:color w:val="1C2730"/>
                      <w:sz w:val="16"/>
                    </w:rPr>
                    <w:t>1. The sender is a family medicine physician.</w:t>
                  </w:r>
                </w:p>
                <w:p>
                  <w:pPr>
                    <w:spacing w:before="0" w:after="40"/>
                  </w:pPr>
                  <w:r>
                    <w:rPr>
                      <w:color w:val="1C2730"/>
                      <w:sz w:val="16"/>
                    </w:rPr>
                    <w:t>2. The reader is a clinician at a partner clinic, named in the physician's approved request.</w:t>
                  </w:r>
                </w:p>
                <w:p>
                  <w:pPr>
                    <w:spacing w:before="0" w:after="40"/>
                  </w:pPr>
                  <w:r>
                    <w:rPr>
                      <w:color w:val="1C2730"/>
                      <w:sz w:val="16"/>
                    </w:rPr>
                    <w:t>3. The purpose is an upcoming curbside consultation about a synthetic case summary.</w:t>
                  </w:r>
                </w:p>
                <w:p>
                  <w:pPr>
                    <w:spacing w:before="0" w:after="40"/>
                  </w:pPr>
                  <w:r>
                    <w:rPr>
                      <w:color w:val="1C2730"/>
                      <w:sz w:val="16"/>
                    </w:rPr>
                    <w:t>4. The synthetic case summary has been shared with the reader only, from an approved SharePoint team site.</w:t>
                  </w:r>
                </w:p>
                <w:p>
                  <w:pPr>
                    <w:spacing w:before="0" w:after="40"/>
                  </w:pPr>
                  <w:r>
                    <w:rPr>
                      <w:color w:val="1C2730"/>
                      <w:sz w:val="16"/>
                    </w:rPr>
                    <w:t>5. The physician wants the reader to review the summary before the consultation.</w:t>
                  </w:r>
                </w:p>
                <w:p>
                  <w:pPr>
                    <w:spacing w:before="0" w:after="40"/>
                  </w:pPr>
                  <w:r>
                    <w:rPr>
                      <w:color w:val="1C2730"/>
                      <w:sz w:val="16"/>
                    </w:rPr>
                    <w:t>Use nothing else.</w:t>
                  </w:r>
                </w:p>
                <w:p>
                  <w:pPr>
                    <w:spacing w:before="0" w:after="40"/>
                  </w:pPr>
                  <w:r>
                    <w:rPr>
                      <w:b/>
                      <w:color w:val="1C2730"/>
                      <w:sz w:val="16"/>
                    </w:rPr>
                    <w:t>CONSTRAINTS</w:t>
                  </w:r>
                </w:p>
                <w:p>
                  <w:pPr>
                    <w:pStyle w:val="ListBullet"/>
                    <w:spacing w:before="0" w:after="20"/>
                    <w:ind w:left="300" w:hanging="200"/>
                  </w:pPr>
                  <w:r>
                    <w:rPr>
                      <w:color w:val="1C2730"/>
                      <w:sz w:val="16"/>
                    </w:rPr>
                    <w:t>Use only the five facts above. Do not add facts, dates, times or details.</w:t>
                  </w:r>
                </w:p>
                <w:p>
                  <w:pPr>
                    <w:pStyle w:val="ListBullet"/>
                    <w:spacing w:before="0" w:after="20"/>
                    <w:ind w:left="300" w:hanging="200"/>
                  </w:pPr>
                  <w:r>
                    <w:rPr>
                      <w:color w:val="1C2730"/>
                      <w:sz w:val="16"/>
                    </w:rPr>
                    <w:t>Do not include clinical details, symptoms, interpretation or opinion about the case.</w:t>
                  </w:r>
                </w:p>
                <w:p>
                  <w:pPr>
                    <w:pStyle w:val="ListBullet"/>
                    <w:spacing w:before="0" w:after="20"/>
                    <w:ind w:left="300" w:hanging="200"/>
                  </w:pPr>
                  <w:r>
                    <w:rPr>
                      <w:color w:val="1C2730"/>
                      <w:sz w:val="16"/>
                    </w:rPr>
                    <w:t>Do not include patient names, identifiers, dates or locations.</w:t>
                  </w:r>
                </w:p>
                <w:p>
                  <w:pPr>
                    <w:pStyle w:val="ListBullet"/>
                    <w:spacing w:before="0" w:after="20"/>
                    <w:ind w:left="300" w:hanging="200"/>
                  </w:pPr>
                  <w:r>
                    <w:rPr>
                      <w:color w:val="1C2730"/>
                      <w:sz w:val="16"/>
                    </w:rPr>
                    <w:t>Do not name or invent the recipient. Write [RECIPIENT NAME].</w:t>
                  </w:r>
                </w:p>
                <w:p>
                  <w:pPr>
                    <w:pStyle w:val="ListBullet"/>
                    <w:spacing w:before="0" w:after="20"/>
                    <w:ind w:left="300" w:hanging="200"/>
                  </w:pPr>
                  <w:r>
                    <w:rPr>
                      <w:color w:val="1C2730"/>
                      <w:sz w:val="16"/>
                    </w:rPr>
                    <w:t>Do not write a link, file name or file location. Write [LINK].</w:t>
                  </w:r>
                </w:p>
                <w:p>
                  <w:pPr>
                    <w:pStyle w:val="ListBullet"/>
                    <w:spacing w:before="0" w:after="20"/>
                    <w:ind w:left="300" w:hanging="200"/>
                  </w:pPr>
                  <w:r>
                    <w:rPr>
                      <w:color w:val="1C2730"/>
                      <w:sz w:val="16"/>
                    </w:rPr>
                    <w:t>Do not state that the reader is authorized, or that sharing is approved or compliant.</w:t>
                  </w:r>
                </w:p>
                <w:p>
                  <w:pPr>
                    <w:pStyle w:val="ListBullet"/>
                    <w:spacing w:before="0" w:after="20"/>
                    <w:ind w:left="300" w:hanging="200"/>
                  </w:pPr>
                  <w:r>
                    <w:rPr>
                      <w:color w:val="1C2730"/>
                      <w:sz w:val="16"/>
                    </w:rPr>
                    <w:t>If a detail you need is not in the facts, write UNKNOWN - VERIFY.</w:t>
                  </w:r>
                </w:p>
                <w:p>
                  <w:pPr>
                    <w:pStyle w:val="ListBullet"/>
                    <w:spacing w:before="0" w:after="20"/>
                    <w:ind w:left="300" w:hanging="200"/>
                  </w:pPr>
                  <w:r>
                    <w:rPr>
                      <w:color w:val="1C2730"/>
                      <w:sz w:val="16"/>
                    </w:rPr>
                    <w:t>Draft only. Do not send.</w:t>
                  </w:r>
                </w:p>
                <w:p>
                  <w:pPr>
                    <w:spacing w:before="0" w:after="40"/>
                  </w:pPr>
                  <w:r>
                    <w:rPr>
                      <w:b/>
                      <w:color w:val="1C2730"/>
                      <w:sz w:val="16"/>
                    </w:rPr>
                    <w:t>OUTPUT FORMAT</w:t>
                  </w:r>
                </w:p>
                <w:p>
                  <w:pPr>
                    <w:spacing w:before="0" w:after="40"/>
                  </w:pPr>
                  <w:r>
                    <w:rPr>
                      <w:color w:val="1C2730"/>
                      <w:sz w:val="16"/>
                    </w:rPr>
                    <w:t>1. Subject line, under 10 words.</w:t>
                  </w:r>
                </w:p>
                <w:p>
                  <w:pPr>
                    <w:spacing w:before="0" w:after="40"/>
                  </w:pPr>
                  <w:r>
                    <w:rPr>
                      <w:color w:val="1C2730"/>
                      <w:sz w:val="16"/>
                    </w:rPr>
                    <w:t>2. Greeting: “Dear [RECIPIENT NAME],”</w:t>
                  </w:r>
                </w:p>
                <w:p>
                  <w:pPr>
                    <w:spacing w:before="0" w:after="40"/>
                  </w:pPr>
                  <w:r>
                    <w:rPr>
                      <w:color w:val="1C2730"/>
                      <w:sz w:val="16"/>
                    </w:rPr>
                    <w:t>3. Body, 2–4 sentences: the purpose of the consultation; the summary is available at [LINK]; please review it before the consultation.</w:t>
                  </w:r>
                </w:p>
                <w:p>
                  <w:pPr>
                    <w:spacing w:before="0" w:after="40"/>
                  </w:pPr>
                  <w:r>
                    <w:rPr>
                      <w:color w:val="1C2730"/>
                      <w:sz w:val="16"/>
                    </w:rPr>
                    <w:t>4. Close with [SIGNATURE].</w:t>
                  </w:r>
                </w:p>
                <w:p>
                  <w:pPr>
                    <w:spacing w:before="0" w:after="40"/>
                  </w:pPr>
                  <w:r>
                    <w:rPr>
                      <w:color w:val="1C2730"/>
                      <w:sz w:val="16"/>
                    </w:rPr>
                    <w:t>5. Under 120 words. No preamble, notes or alternative versions.</w:t>
                  </w:r>
                </w:p>
              </w:tc>
            </w:tr>
          </w:tbl>
          <w:p>
            <w:pPr>
              <w:spacing w:before="0" w:after="0"/>
              <w:rPr>
                <w:sz w:val="8"/>
              </w:rPr>
            </w:pPr>
          </w:p>
          <w:p>
            <w:pPr>
              <w:spacing w:before="0" w:after="60"/>
            </w:pPr>
            <w:r>
              <w:rPr>
                <w:i/>
                <w:color w:val="5B6770"/>
                <w:sz w:val="15"/>
              </w:rPr>
              <w:t>Design choices: the [RECIPIENT NAME] and [LINK] placeholders remove the two weaknesses found in the Mock Output (a generic recipient and an unverifiable link claim). The UNKNOWN - VERIFY line stops gaps coming back as invented details (RCCOF Template §2.1). The file name, the recipient's email and the consult time are left out as not needed.</w:t>
            </w:r>
          </w:p>
        </w:tc>
      </w:tr>
      <w:tr>
        <w:tc>
          <w:tcPr>
            <w:tcW w:type="dxa" w:w="1900"/>
            <w:tcBorders>
              <w:bottom w:val="single" w:sz="6" w:color="D8E0E4"/>
            </w:tcBorders>
            <w:tcMar>
              <w:top w:w="90" w:type="dxa"/>
              <w:start w:w="100" w:type="dxa"/>
              <w:bottom w:w="90" w:type="dxa"/>
              <w:end w:w="100" w:type="dxa"/>
            </w:tcMar>
            <w:vAlign w:val="top"/>
          </w:tcPr>
          <w:p>
            <w:pPr>
              <w:spacing w:after="40"/>
            </w:pPr>
            <w:r>
              <w:rPr>
                <w:sz w:val="17"/>
              </w:rPr>
              <w:t>AI input eligibility check</w:t>
            </w:r>
          </w:p>
        </w:tc>
        <w:tc>
          <w:tcPr>
            <w:tcW w:type="dxa" w:w="8324"/>
            <w:tcBorders>
              <w:bottom w:val="single" w:sz="6" w:color="D8E0E4"/>
            </w:tcBorders>
            <w:tcMar>
              <w:top w:w="90" w:type="dxa"/>
              <w:start w:w="100" w:type="dxa"/>
              <w:bottom w:w="90" w:type="dxa"/>
              <w:end w:w="100" w:type="dxa"/>
            </w:tcMar>
            <w:vAlign w:val="top"/>
          </w:tcPr>
          <w:p>
            <w:pPr>
              <w:spacing w:before="0" w:after="80"/>
            </w:pPr>
            <w:r>
              <w:rPr>
                <w:color w:val="1C2730"/>
                <w:sz w:val="17"/>
              </w:rPr>
              <w:t xml:space="preserve">Completed before the prompt was written. </w:t>
            </w:r>
            <w:r>
              <w:rPr>
                <w:b/>
                <w:color w:val="1C2730"/>
                <w:sz w:val="17"/>
              </w:rPr>
              <w:t>Pass</w:t>
            </w:r>
            <w:r>
              <w:rPr>
                <w:color w:val="1C2730"/>
                <w:sz w:val="17"/>
              </w:rPr>
              <w:t xml:space="preserve"> means confirmed from the supplied documents. </w:t>
            </w:r>
            <w:r>
              <w:rPr>
                <w:b/>
                <w:color w:val="1C2730"/>
                <w:sz w:val="17"/>
              </w:rPr>
              <w:t>Clinician check</w:t>
            </w:r>
            <w:r>
              <w:rPr>
                <w:color w:val="1C2730"/>
                <w:sz w:val="17"/>
              </w:rPr>
              <w:t xml:space="preserve"> means Dr. Chen confirms it at the guide step shown; Tier 1 does not tick it for her.</w:t>
            </w:r>
          </w:p>
          <w:tbl>
            <w:tblPr>
              <w:tblW w:w="8100" w:type="dxa"/>
              <w:tblBorders>
                <w:top w:val="single" w:sz="4" w:space="0" w:color="D8E0E4"/>
                <w:left w:val="single" w:sz="4" w:space="0" w:color="D8E0E4"/>
                <w:bottom w:val="single" w:sz="4" w:space="0" w:color="D8E0E4"/>
                <w:right w:val="single" w:sz="4" w:space="0" w:color="D8E0E4"/>
                <w:insideH w:val="single" w:sz="4" w:space="0" w:color="D8E0E4"/>
                <w:insideV w:val="single" w:sz="4" w:space="0" w:color="D8E0E4"/>
              </w:tblBorders>
              <w:tblLayout w:type="fixed"/>
              <w:tblCellMar>
                <w:top w:w="45" w:type="dxa"/>
                <w:left w:w="80" w:type="dxa"/>
                <w:bottom w:w="45" w:type="dxa"/>
                <w:right w:w="80" w:type="dxa"/>
              </w:tblCellMar>
              <w:tblLook w:firstColumn="1" w:firstRow="1" w:lastColumn="0" w:lastRow="0" w:noHBand="0" w:noVBand="1" w:val="04A0"/>
            </w:tblPr>
            <w:tblGrid>
              <w:gridCol w:w="450"/>
              <w:gridCol w:w="1900"/>
              <w:gridCol w:w="2100"/>
              <w:gridCol w:w="3650"/>
            </w:tblGrid>
            <w:tr>
              <w:trPr>
                <w:tblHeader/>
                <w:cantSplit/>
              </w:trPr>
              <w:tc>
                <w:tcPr>
                  <w:tcW w:type="dxa" w:w="450"/>
                  <w:shd w:val="clear" w:color="auto" w:fill="17324D"/>
                </w:tcPr>
                <w:p>
                  <w:pPr>
                    <w:keepNext/>
                    <w:spacing w:before="0" w:after="30"/>
                  </w:pPr>
                  <w:r>
                    <w:rPr>
                      <w:b/>
                      <w:color w:val="FFFFFF"/>
                      <w:sz w:val="15"/>
                    </w:rPr>
                    <w:t>#</w:t>
                  </w:r>
                </w:p>
              </w:tc>
              <w:tc>
                <w:tcPr>
                  <w:tcW w:type="dxa" w:w="1900"/>
                  <w:shd w:val="clear" w:color="auto" w:fill="17324D"/>
                </w:tcPr>
                <w:p>
                  <w:pPr>
                    <w:keepNext/>
                    <w:spacing w:before="0" w:after="30"/>
                  </w:pPr>
                  <w:r>
                    <w:rPr>
                      <w:b/>
                      <w:color w:val="FFFFFF"/>
                      <w:sz w:val="15"/>
                    </w:rPr>
                    <w:t>Checkpoint</w:t>
                  </w:r>
                </w:p>
              </w:tc>
              <w:tc>
                <w:tcPr>
                  <w:tcW w:type="dxa" w:w="2100"/>
                  <w:shd w:val="clear" w:color="auto" w:fill="17324D"/>
                </w:tcPr>
                <w:p>
                  <w:pPr>
                    <w:keepNext/>
                    <w:spacing w:before="0" w:after="30"/>
                  </w:pPr>
                  <w:r>
                    <w:rPr>
                      <w:b/>
                      <w:color w:val="FFFFFF"/>
                      <w:sz w:val="15"/>
                    </w:rPr>
                    <w:t>Status</w:t>
                  </w:r>
                </w:p>
              </w:tc>
              <w:tc>
                <w:tcPr>
                  <w:tcW w:type="dxa" w:w="3650"/>
                  <w:shd w:val="clear" w:color="auto" w:fill="17324D"/>
                </w:tcPr>
                <w:p>
                  <w:pPr>
                    <w:keepNext/>
                    <w:spacing w:before="0" w:after="30"/>
                  </w:pPr>
                  <w:r>
                    <w:rPr>
                      <w:b/>
                      <w:color w:val="FFFFFF"/>
                      <w:sz w:val="15"/>
                    </w:rPr>
                    <w:t>Evidence / action</w:t>
                  </w:r>
                </w:p>
              </w:tc>
            </w:tr>
            <w:tr>
              <w:tc>
                <w:tcPr>
                  <w:tcW w:type="dxa" w:w="450"/>
                </w:tcPr>
                <w:p>
                  <w:pPr>
                    <w:spacing w:before="0" w:after="30"/>
                  </w:pPr>
                  <w:r>
                    <w:rPr>
                      <w:color w:val="1C2730"/>
                      <w:sz w:val="15"/>
                    </w:rPr>
                    <w:t>C1</w:t>
                  </w:r>
                </w:p>
              </w:tc>
              <w:tc>
                <w:tcPr>
                  <w:tcW w:type="dxa" w:w="1900"/>
                </w:tcPr>
                <w:p>
                  <w:pPr>
                    <w:spacing w:before="0" w:after="30"/>
                  </w:pPr>
                  <w:r>
                    <w:rPr>
                      <w:color w:val="1C2730"/>
                      <w:sz w:val="15"/>
                    </w:rPr>
                    <w:t>Synthetic source confirmed</w:t>
                  </w:r>
                </w:p>
              </w:tc>
              <w:tc>
                <w:tcPr>
                  <w:tcW w:type="dxa" w:w="2100"/>
                </w:tcPr>
                <w:p>
                  <w:pPr>
                    <w:spacing w:before="0" w:after="30"/>
                  </w:pPr>
                  <w:r>
                    <w:rPr>
                      <w:b/>
                      <w:color w:val="1C2730"/>
                      <w:sz w:val="15"/>
                    </w:rPr>
                    <w:t>Pass</w:t>
                  </w:r>
                </w:p>
              </w:tc>
              <w:tc>
                <w:tcPr>
                  <w:tcW w:type="dxa" w:w="3650"/>
                </w:tcPr>
                <w:p>
                  <w:pPr>
                    <w:spacing w:before="0" w:after="30"/>
                  </w:pPr>
                  <w:r>
                    <w:rPr>
                      <w:color w:val="1C2730"/>
                      <w:sz w:val="15"/>
                    </w:rPr>
                    <w:t>Only Case Packet “Source facts” and “Administrative email facts” used.</w:t>
                  </w:r>
                </w:p>
              </w:tc>
            </w:tr>
            <w:tr>
              <w:trPr>
                <w:cantSplit/>
              </w:trPr>
              <w:tc>
                <w:tcPr>
                  <w:tcW w:type="dxa" w:w="450"/>
                  <w:shd w:val="clear" w:color="auto" w:fill="F8FAFB"/>
                </w:tcPr>
                <w:p>
                  <w:pPr>
                    <w:spacing w:before="0" w:after="30"/>
                  </w:pPr>
                  <w:r>
                    <w:rPr>
                      <w:color w:val="1C2730"/>
                      <w:sz w:val="15"/>
                    </w:rPr>
                    <w:t>C2</w:t>
                  </w:r>
                </w:p>
              </w:tc>
              <w:tc>
                <w:tcPr>
                  <w:tcW w:type="dxa" w:w="1900"/>
                  <w:shd w:val="clear" w:color="auto" w:fill="F8FAFB"/>
                </w:tcPr>
                <w:p>
                  <w:pPr>
                    <w:spacing w:before="0" w:after="30"/>
                  </w:pPr>
                  <w:r>
                    <w:rPr>
                      <w:color w:val="1C2730"/>
                      <w:sz w:val="15"/>
                    </w:rPr>
                    <w:t>No real identifiers</w:t>
                  </w:r>
                </w:p>
              </w:tc>
              <w:tc>
                <w:tcPr>
                  <w:tcW w:type="dxa" w:w="2100"/>
                  <w:shd w:val="clear" w:color="auto" w:fill="F8FAFB"/>
                </w:tcPr>
                <w:p>
                  <w:pPr>
                    <w:spacing w:before="0" w:after="30"/>
                  </w:pPr>
                  <w:r>
                    <w:rPr>
                      <w:b/>
                      <w:color w:val="1C2730"/>
                      <w:sz w:val="15"/>
                    </w:rPr>
                    <w:t>Pass</w:t>
                  </w:r>
                </w:p>
              </w:tc>
              <w:tc>
                <w:tcPr>
                  <w:tcW w:type="dxa" w:w="3650"/>
                  <w:shd w:val="clear" w:color="auto" w:fill="F8FAFB"/>
                </w:tcPr>
                <w:p>
                  <w:pPr>
                    <w:spacing w:before="0" w:after="30"/>
                  </w:pPr>
                  <w:r>
                    <w:rPr>
                      <w:color w:val="1C2730"/>
                      <w:sz w:val="15"/>
                    </w:rPr>
                    <w:t>See the identifier table below. Recipient name, email and file name are kept out of the prompt.</w:t>
                  </w:r>
                </w:p>
              </w:tc>
            </w:tr>
            <w:tr>
              <w:trPr>
                <w:cantSplit/>
              </w:trPr>
              <w:tc>
                <w:tcPr>
                  <w:tcW w:type="dxa" w:w="450"/>
                </w:tcPr>
                <w:p>
                  <w:pPr>
                    <w:spacing w:before="0" w:after="30"/>
                  </w:pPr>
                  <w:r>
                    <w:rPr>
                      <w:color w:val="1C2730"/>
                      <w:sz w:val="15"/>
                    </w:rPr>
                    <w:t>C3</w:t>
                  </w:r>
                </w:p>
              </w:tc>
              <w:tc>
                <w:tcPr>
                  <w:tcW w:type="dxa" w:w="1900"/>
                </w:tcPr>
                <w:p>
                  <w:pPr>
                    <w:spacing w:before="0" w:after="30"/>
                  </w:pPr>
                  <w:r>
                    <w:rPr>
                      <w:color w:val="1C2730"/>
                      <w:sz w:val="15"/>
                    </w:rPr>
                    <w:t>No secrets</w:t>
                  </w:r>
                </w:p>
              </w:tc>
              <w:tc>
                <w:tcPr>
                  <w:tcW w:type="dxa" w:w="2100"/>
                </w:tcPr>
                <w:p>
                  <w:pPr>
                    <w:spacing w:before="0" w:after="30"/>
                  </w:pPr>
                  <w:r>
                    <w:rPr>
                      <w:b/>
                      <w:color w:val="1C2730"/>
                      <w:sz w:val="15"/>
                    </w:rPr>
                    <w:t>Pass</w:t>
                  </w:r>
                </w:p>
              </w:tc>
              <w:tc>
                <w:tcPr>
                  <w:tcW w:type="dxa" w:w="3650"/>
                </w:tcPr>
                <w:p>
                  <w:pPr>
                    <w:spacing w:before="0" w:after="30"/>
                  </w:pPr>
                  <w:r>
                    <w:rPr>
                      <w:color w:val="1C2730"/>
                      <w:sz w:val="15"/>
                    </w:rPr>
                    <w:t>No passwords, codes, tokens or keys. Dr. Chen never reads a sign-in code to Tier 1.</w:t>
                  </w:r>
                </w:p>
              </w:tc>
            </w:tr>
            <w:tr>
              <w:trPr>
                <w:cantSplit/>
              </w:trPr>
              <w:tc>
                <w:tcPr>
                  <w:tcW w:type="dxa" w:w="450"/>
                  <w:shd w:val="clear" w:color="auto" w:fill="F8FAFB"/>
                </w:tcPr>
                <w:p>
                  <w:pPr>
                    <w:spacing w:before="0" w:after="30"/>
                  </w:pPr>
                  <w:r>
                    <w:rPr>
                      <w:color w:val="1C2730"/>
                      <w:sz w:val="15"/>
                    </w:rPr>
                    <w:t>C4</w:t>
                  </w:r>
                </w:p>
              </w:tc>
              <w:tc>
                <w:tcPr>
                  <w:tcW w:type="dxa" w:w="1900"/>
                  <w:shd w:val="clear" w:color="auto" w:fill="F8FAFB"/>
                </w:tcPr>
                <w:p>
                  <w:pPr>
                    <w:spacing w:before="0" w:after="30"/>
                  </w:pPr>
                  <w:r>
                    <w:rPr>
                      <w:color w:val="1C2730"/>
                      <w:sz w:val="15"/>
                    </w:rPr>
                    <w:t>Permitted Copilot task</w:t>
                  </w:r>
                </w:p>
              </w:tc>
              <w:tc>
                <w:tcPr>
                  <w:tcW w:type="dxa" w:w="2100"/>
                  <w:shd w:val="clear" w:color="auto" w:fill="F8FAFB"/>
                </w:tcPr>
                <w:p>
                  <w:pPr>
                    <w:spacing w:before="0" w:after="30"/>
                  </w:pPr>
                  <w:r>
                    <w:rPr>
                      <w:b/>
                      <w:color w:val="1C2730"/>
                      <w:sz w:val="15"/>
                    </w:rPr>
                    <w:t>Pass</w:t>
                  </w:r>
                  <w:r>
                    <w:rPr>
                      <w:color w:val="1C2730"/>
                      <w:sz w:val="15"/>
                    </w:rPr>
                    <w:t>, element 1 only</w:t>
                  </w:r>
                </w:p>
              </w:tc>
              <w:tc>
                <w:tcPr>
                  <w:tcW w:type="dxa" w:w="3650"/>
                  <w:shd w:val="clear" w:color="auto" w:fill="F8FAFB"/>
                </w:tcPr>
                <w:p>
                  <w:pPr>
                    <w:spacing w:before="0" w:after="30"/>
                  </w:pPr>
                  <w:r>
                    <w:rPr>
                      <w:color w:val="1C2730"/>
                      <w:sz w:val="15"/>
                    </w:rPr>
                    <w:t>Component 2; KB-431 bullet 1; ITS-STD-014 §3 UC-02.</w:t>
                  </w:r>
                </w:p>
              </w:tc>
            </w:tr>
            <w:tr>
              <w:trPr>
                <w:cantSplit/>
              </w:trPr>
              <w:tc>
                <w:tcPr>
                  <w:tcW w:type="dxa" w:w="450"/>
                </w:tcPr>
                <w:p>
                  <w:pPr>
                    <w:spacing w:before="0" w:after="30"/>
                  </w:pPr>
                  <w:r>
                    <w:rPr>
                      <w:color w:val="1C2730"/>
                      <w:sz w:val="15"/>
                    </w:rPr>
                    <w:t>C5</w:t>
                  </w:r>
                </w:p>
              </w:tc>
              <w:tc>
                <w:tcPr>
                  <w:tcW w:type="dxa" w:w="1900"/>
                </w:tcPr>
                <w:p>
                  <w:pPr>
                    <w:spacing w:before="0" w:after="30"/>
                  </w:pPr>
                  <w:r>
                    <w:rPr>
                      <w:color w:val="1C2730"/>
                      <w:sz w:val="15"/>
                    </w:rPr>
                    <w:t>Approved surface</w:t>
                  </w:r>
                </w:p>
              </w:tc>
              <w:tc>
                <w:tcPr>
                  <w:tcW w:type="dxa" w:w="2100"/>
                </w:tcPr>
                <w:p>
                  <w:pPr>
                    <w:spacing w:before="0" w:after="30"/>
                  </w:pPr>
                  <w:r>
                    <w:rPr>
                      <w:b/>
                      <w:color w:val="1C2730"/>
                      <w:sz w:val="15"/>
                    </w:rPr>
                    <w:t>Pass</w:t>
                  </w:r>
                  <w:r>
                    <w:rPr>
                      <w:color w:val="1C2730"/>
                      <w:sz w:val="15"/>
                    </w:rPr>
                    <w:t xml:space="preserve"> (assumed per activity); live check at guide step 11</w:t>
                  </w:r>
                </w:p>
              </w:tc>
              <w:tc>
                <w:tcPr>
                  <w:tcW w:type="dxa" w:w="3650"/>
                </w:tcPr>
                <w:p>
                  <w:pPr>
                    <w:spacing w:before="0" w:after="30"/>
                  </w:pPr>
                  <w:r>
                    <w:rPr>
                      <w:color w:val="1C2730"/>
                      <w:sz w:val="15"/>
                    </w:rPr>
                    <w:t>Fact Sheet › Microsoft 365 Copilot. If Copilot is missing: Unable to Verify, then escalate (Decision boundaries, bullet 4).</w:t>
                  </w:r>
                </w:p>
              </w:tc>
            </w:tr>
            <w:tr>
              <w:trPr>
                <w:cantSplit/>
              </w:trPr>
              <w:tc>
                <w:tcPr>
                  <w:tcW w:type="dxa" w:w="450"/>
                  <w:shd w:val="clear" w:color="auto" w:fill="F8FAFB"/>
                </w:tcPr>
                <w:p>
                  <w:pPr>
                    <w:spacing w:before="0" w:after="30"/>
                  </w:pPr>
                  <w:r>
                    <w:rPr>
                      <w:color w:val="1C2730"/>
                      <w:sz w:val="15"/>
                    </w:rPr>
                    <w:t>C6</w:t>
                  </w:r>
                </w:p>
              </w:tc>
              <w:tc>
                <w:tcPr>
                  <w:tcW w:type="dxa" w:w="1900"/>
                  <w:shd w:val="clear" w:color="auto" w:fill="F8FAFB"/>
                </w:tcPr>
                <w:p>
                  <w:pPr>
                    <w:spacing w:before="0" w:after="30"/>
                  </w:pPr>
                  <w:r>
                    <w:rPr>
                      <w:color w:val="1C2730"/>
                      <w:sz w:val="15"/>
                    </w:rPr>
                    <w:t>Source verification ready</w:t>
                  </w:r>
                </w:p>
              </w:tc>
              <w:tc>
                <w:tcPr>
                  <w:tcW w:type="dxa" w:w="2100"/>
                  <w:shd w:val="clear" w:color="auto" w:fill="F8FAFB"/>
                </w:tcPr>
                <w:p>
                  <w:pPr>
                    <w:spacing w:before="0" w:after="30"/>
                  </w:pPr>
                  <w:r>
                    <w:rPr>
                      <w:b/>
                      <w:color w:val="1C2730"/>
                      <w:sz w:val="15"/>
                    </w:rPr>
                    <w:t>Pass</w:t>
                  </w:r>
                </w:p>
              </w:tc>
              <w:tc>
                <w:tcPr>
                  <w:tcW w:type="dxa" w:w="3650"/>
                  <w:shd w:val="clear" w:color="auto" w:fill="F8FAFB"/>
                </w:tcPr>
                <w:p>
                  <w:pPr>
                    <w:spacing w:before="0" w:after="30"/>
                  </w:pPr>
                  <w:r>
                    <w:rPr>
                      <w:color w:val="1C2730"/>
                      <w:sz w:val="15"/>
                    </w:rPr>
                    <w:t>Case Packet › Synthetic source summary open and identifiable.</w:t>
                  </w:r>
                </w:p>
              </w:tc>
            </w:tr>
            <w:tr>
              <w:trPr>
                <w:cantSplit/>
              </w:trPr>
              <w:tc>
                <w:tcPr>
                  <w:tcW w:type="dxa" w:w="450"/>
                </w:tcPr>
                <w:p>
                  <w:pPr>
                    <w:spacing w:before="0" w:after="30"/>
                  </w:pPr>
                  <w:r>
                    <w:rPr>
                      <w:color w:val="1C2730"/>
                      <w:sz w:val="15"/>
                    </w:rPr>
                    <w:t>C7</w:t>
                  </w:r>
                </w:p>
              </w:tc>
              <w:tc>
                <w:tcPr>
                  <w:tcW w:type="dxa" w:w="1900"/>
                </w:tcPr>
                <w:p>
                  <w:pPr>
                    <w:spacing w:before="0" w:after="30"/>
                  </w:pPr>
                  <w:r>
                    <w:rPr>
                      <w:color w:val="1C2730"/>
                      <w:sz w:val="15"/>
                    </w:rPr>
                    <w:t>Policy verification ready</w:t>
                  </w:r>
                </w:p>
              </w:tc>
              <w:tc>
                <w:tcPr>
                  <w:tcW w:type="dxa" w:w="2100"/>
                </w:tcPr>
                <w:p>
                  <w:pPr>
                    <w:spacing w:before="0" w:after="30"/>
                  </w:pPr>
                  <w:r>
                    <w:rPr>
                      <w:b/>
                      <w:color w:val="1C2730"/>
                      <w:sz w:val="15"/>
                    </w:rPr>
                    <w:t>Pass</w:t>
                  </w:r>
                </w:p>
              </w:tc>
              <w:tc>
                <w:tcPr>
                  <w:tcW w:type="dxa" w:w="3650"/>
                </w:tcPr>
                <w:p>
                  <w:pPr>
                    <w:spacing w:before="0" w:after="30"/>
                  </w:pPr>
                  <w:r>
                    <w:rPr>
                      <w:color w:val="1C2730"/>
                      <w:sz w:val="15"/>
                    </w:rPr>
                    <w:t>KB-410, KB-422, KB-431; ITS-STD-014.</w:t>
                  </w:r>
                </w:p>
              </w:tc>
            </w:tr>
            <w:tr>
              <w:trPr>
                <w:cantSplit/>
              </w:trPr>
              <w:tc>
                <w:tcPr>
                  <w:tcW w:type="dxa" w:w="450"/>
                  <w:shd w:val="clear" w:color="auto" w:fill="F8FAFB"/>
                </w:tcPr>
                <w:p>
                  <w:pPr>
                    <w:spacing w:before="0" w:after="30"/>
                  </w:pPr>
                  <w:r>
                    <w:rPr>
                      <w:color w:val="1C2730"/>
                      <w:sz w:val="15"/>
                    </w:rPr>
                    <w:t>C8</w:t>
                  </w:r>
                </w:p>
              </w:tc>
              <w:tc>
                <w:tcPr>
                  <w:tcW w:type="dxa" w:w="1900"/>
                  <w:shd w:val="clear" w:color="auto" w:fill="F8FAFB"/>
                </w:tcPr>
                <w:p>
                  <w:pPr>
                    <w:spacing w:before="0" w:after="30"/>
                  </w:pPr>
                  <w:r>
                    <w:rPr>
                      <w:color w:val="1C2730"/>
                      <w:sz w:val="15"/>
                    </w:rPr>
                    <w:t>External recipient check</w:t>
                  </w:r>
                </w:p>
              </w:tc>
              <w:tc>
                <w:tcPr>
                  <w:tcW w:type="dxa" w:w="2100"/>
                  <w:shd w:val="clear" w:color="auto" w:fill="F8FAFB"/>
                </w:tcPr>
                <w:p>
                  <w:pPr>
                    <w:spacing w:before="0" w:after="30"/>
                  </w:pPr>
                  <w:r>
                    <w:rPr>
                      <w:b/>
                      <w:color w:val="1C2730"/>
                      <w:sz w:val="15"/>
                    </w:rPr>
                    <w:t>Clinician check</w:t>
                  </w:r>
                  <w:r>
                    <w:rPr>
                      <w:color w:val="1C2730"/>
                      <w:sz w:val="15"/>
                    </w:rPr>
                    <w:t>, guide steps 6, 16 and 19</w:t>
                  </w:r>
                </w:p>
              </w:tc>
              <w:tc>
                <w:tcPr>
                  <w:tcW w:type="dxa" w:w="3650"/>
                  <w:shd w:val="clear" w:color="auto" w:fill="F8FAFB"/>
                </w:tcPr>
                <w:p>
                  <w:pPr>
                    <w:spacing w:before="0" w:after="30"/>
                  </w:pPr>
                  <w:r>
                    <w:rPr>
                      <w:color w:val="1C2730"/>
                      <w:sz w:val="15"/>
                    </w:rPr>
                    <w:t>Dr. Chen matches the colleague to the approved request. Stop if not named.</w:t>
                  </w:r>
                </w:p>
              </w:tc>
            </w:tr>
            <w:tr>
              <w:trPr>
                <w:cantSplit/>
              </w:trPr>
              <w:tc>
                <w:tcPr>
                  <w:tcW w:type="dxa" w:w="450"/>
                </w:tcPr>
                <w:p>
                  <w:pPr>
                    <w:spacing w:before="0" w:after="30"/>
                  </w:pPr>
                  <w:r>
                    <w:rPr>
                      <w:color w:val="1C2730"/>
                      <w:sz w:val="15"/>
                    </w:rPr>
                    <w:t>C9</w:t>
                  </w:r>
                </w:p>
              </w:tc>
              <w:tc>
                <w:tcPr>
                  <w:tcW w:type="dxa" w:w="1900"/>
                </w:tcPr>
                <w:p>
                  <w:pPr>
                    <w:spacing w:before="0" w:after="30"/>
                  </w:pPr>
                  <w:r>
                    <w:rPr>
                      <w:color w:val="1C2730"/>
                      <w:sz w:val="15"/>
                    </w:rPr>
                    <w:t>Sharing control check</w:t>
                  </w:r>
                </w:p>
              </w:tc>
              <w:tc>
                <w:tcPr>
                  <w:tcW w:type="dxa" w:w="2100"/>
                </w:tcPr>
                <w:p>
                  <w:pPr>
                    <w:spacing w:before="0" w:after="30"/>
                  </w:pPr>
                  <w:r>
                    <w:rPr>
                      <w:b/>
                      <w:color w:val="1C2730"/>
                      <w:sz w:val="15"/>
                    </w:rPr>
                    <w:t>Clinician check</w:t>
                  </w:r>
                  <w:r>
                    <w:rPr>
                      <w:color w:val="1C2730"/>
                      <w:sz w:val="15"/>
                    </w:rPr>
                    <w:t>, guide steps 3–9</w:t>
                  </w:r>
                </w:p>
              </w:tc>
              <w:tc>
                <w:tcPr>
                  <w:tcW w:type="dxa" w:w="3650"/>
                </w:tcPr>
                <w:p>
                  <w:pPr>
                    <w:spacing w:before="0" w:after="30"/>
                  </w:pPr>
                  <w:r>
                    <w:rPr>
                      <w:color w:val="1C2730"/>
                      <w:sz w:val="15"/>
                    </w:rPr>
                    <w:t>People you choose, Can view, no Anyone link; Manage Access read-out.</w:t>
                  </w:r>
                </w:p>
              </w:tc>
            </w:tr>
            <w:tr>
              <w:trPr>
                <w:cantSplit/>
              </w:trPr>
              <w:tc>
                <w:tcPr>
                  <w:tcW w:type="dxa" w:w="450"/>
                  <w:shd w:val="clear" w:color="auto" w:fill="F8FAFB"/>
                </w:tcPr>
                <w:p>
                  <w:pPr>
                    <w:spacing w:before="0" w:after="30"/>
                  </w:pPr>
                  <w:r>
                    <w:rPr>
                      <w:color w:val="1C2730"/>
                      <w:sz w:val="15"/>
                    </w:rPr>
                    <w:t>C10</w:t>
                  </w:r>
                </w:p>
              </w:tc>
              <w:tc>
                <w:tcPr>
                  <w:tcW w:type="dxa" w:w="1900"/>
                  <w:shd w:val="clear" w:color="auto" w:fill="F8FAFB"/>
                </w:tcPr>
                <w:p>
                  <w:pPr>
                    <w:spacing w:before="0" w:after="30"/>
                  </w:pPr>
                  <w:r>
                    <w:rPr>
                      <w:color w:val="1C2730"/>
                      <w:sz w:val="15"/>
                    </w:rPr>
                    <w:t>Human final review</w:t>
                  </w:r>
                </w:p>
              </w:tc>
              <w:tc>
                <w:tcPr>
                  <w:tcW w:type="dxa" w:w="2100"/>
                  <w:shd w:val="clear" w:color="auto" w:fill="F8FAFB"/>
                </w:tcPr>
                <w:p>
                  <w:pPr>
                    <w:spacing w:before="0" w:after="30"/>
                  </w:pPr>
                  <w:r>
                    <w:rPr>
                      <w:b/>
                      <w:color w:val="1C2730"/>
                      <w:sz w:val="15"/>
                    </w:rPr>
                    <w:t>Clinician check</w:t>
                  </w:r>
                  <w:r>
                    <w:rPr>
                      <w:color w:val="1C2730"/>
                      <w:sz w:val="15"/>
                    </w:rPr>
                    <w:t>, “Check before you send”</w:t>
                  </w:r>
                </w:p>
              </w:tc>
              <w:tc>
                <w:tcPr>
                  <w:tcW w:type="dxa" w:w="3650"/>
                  <w:shd w:val="clear" w:color="auto" w:fill="F8FAFB"/>
                </w:tcPr>
                <w:p>
                  <w:pPr>
                    <w:spacing w:before="0" w:after="30"/>
                  </w:pPr>
                  <w:r>
                    <w:rPr>
                      <w:color w:val="1C2730"/>
                      <w:sz w:val="15"/>
                    </w:rPr>
                    <w:t>Dr. Chen reviews the output, recipient, link and final message before Send.</w:t>
                  </w:r>
                </w:p>
              </w:tc>
            </w:tr>
            <w:tr>
              <w:trPr>
                <w:cantSplit/>
              </w:trPr>
              <w:tc>
                <w:tcPr>
                  <w:tcW w:type="dxa" w:w="450"/>
                </w:tcPr>
                <w:p>
                  <w:pPr>
                    <w:spacing w:before="0" w:after="30"/>
                  </w:pPr>
                  <w:r>
                    <w:rPr>
                      <w:color w:val="1C2730"/>
                      <w:sz w:val="15"/>
                    </w:rPr>
                    <w:t>C11</w:t>
                  </w:r>
                </w:p>
              </w:tc>
              <w:tc>
                <w:tcPr>
                  <w:tcW w:type="dxa" w:w="1900"/>
                </w:tcPr>
                <w:p>
                  <w:pPr>
                    <w:spacing w:before="0" w:after="30"/>
                  </w:pPr>
                  <w:r>
                    <w:rPr>
                      <w:color w:val="1C2730"/>
                      <w:sz w:val="15"/>
                    </w:rPr>
                    <w:t>Stop condition review</w:t>
                  </w:r>
                </w:p>
              </w:tc>
              <w:tc>
                <w:tcPr>
                  <w:tcW w:type="dxa" w:w="2100"/>
                </w:tcPr>
                <w:p>
                  <w:pPr>
                    <w:spacing w:before="0" w:after="30"/>
                  </w:pPr>
                  <w:r>
                    <w:rPr>
                      <w:b/>
                      <w:color w:val="1C2730"/>
                      <w:sz w:val="15"/>
                    </w:rPr>
                    <w:t>Pass</w:t>
                  </w:r>
                </w:p>
              </w:tc>
              <w:tc>
                <w:tcPr>
                  <w:tcW w:type="dxa" w:w="3650"/>
                </w:tcPr>
                <w:p>
                  <w:pPr>
                    <w:spacing w:before="0" w:after="30"/>
                  </w:pPr>
                  <w:r>
                    <w:rPr>
                      <w:color w:val="1C2730"/>
                      <w:sz w:val="15"/>
                    </w:rPr>
                    <w:t>Stop list in the guide and Component 2; the deadline does not override it.</w:t>
                  </w:r>
                </w:p>
              </w:tc>
            </w:tr>
          </w:tbl>
          <w:p>
            <w:pPr>
              <w:spacing w:before="0" w:after="0"/>
              <w:rPr>
                <w:sz w:val="8"/>
              </w:rPr>
            </w:pPr>
          </w:p>
          <w:p>
            <w:pPr>
              <w:spacing w:before="80" w:after="40"/>
            </w:pPr>
            <w:r>
              <w:rPr>
                <w:b/>
                <w:color w:val="2D7F85"/>
                <w:sz w:val="15"/>
              </w:rPr>
              <w:t>IDENTIFIER CATEGORIES CHECKED AND ACTION TAKEN (ITS-STD-014 §5.1; CHECKLIST C2–C3)</w:t>
            </w:r>
          </w:p>
          <w:tbl>
            <w:tblPr>
              <w:tblW w:w="8100" w:type="dxa"/>
              <w:tblBorders>
                <w:top w:val="single" w:sz="4" w:space="0" w:color="D8E0E4"/>
                <w:left w:val="single" w:sz="4" w:space="0" w:color="D8E0E4"/>
                <w:bottom w:val="single" w:sz="4" w:space="0" w:color="D8E0E4"/>
                <w:right w:val="single" w:sz="4" w:space="0" w:color="D8E0E4"/>
                <w:insideH w:val="single" w:sz="4" w:space="0" w:color="D8E0E4"/>
                <w:insideV w:val="single" w:sz="4" w:space="0" w:color="D8E0E4"/>
              </w:tblBorders>
              <w:tblLayout w:type="fixed"/>
              <w:tblCellMar>
                <w:top w:w="45" w:type="dxa"/>
                <w:left w:w="80" w:type="dxa"/>
                <w:bottom w:w="45" w:type="dxa"/>
                <w:right w:w="80" w:type="dxa"/>
              </w:tblCellMar>
              <w:tblLook w:firstColumn="1" w:firstRow="1" w:lastColumn="0" w:lastRow="0" w:noHBand="0" w:noVBand="1" w:val="04A0"/>
            </w:tblPr>
            <w:tblGrid>
              <w:gridCol w:w="2500"/>
              <w:gridCol w:w="2700"/>
              <w:gridCol w:w="2900"/>
            </w:tblGrid>
            <w:tr>
              <w:trPr>
                <w:tblHeader/>
                <w:cantSplit/>
              </w:trPr>
              <w:tc>
                <w:tcPr>
                  <w:tcW w:type="dxa" w:w="2500"/>
                  <w:shd w:val="clear" w:color="auto" w:fill="17324D"/>
                </w:tcPr>
                <w:p>
                  <w:pPr>
                    <w:keepNext/>
                    <w:spacing w:before="0" w:after="30"/>
                  </w:pPr>
                  <w:r>
                    <w:rPr>
                      <w:b/>
                      <w:color w:val="FFFFFF"/>
                      <w:sz w:val="15"/>
                    </w:rPr>
                    <w:t>Identifier category</w:t>
                  </w:r>
                </w:p>
              </w:tc>
              <w:tc>
                <w:tcPr>
                  <w:tcW w:type="dxa" w:w="2700"/>
                  <w:shd w:val="clear" w:color="auto" w:fill="17324D"/>
                </w:tcPr>
                <w:p>
                  <w:pPr>
                    <w:keepNext/>
                    <w:spacing w:before="0" w:after="30"/>
                  </w:pPr>
                  <w:r>
                    <w:rPr>
                      <w:b/>
                      <w:color w:val="FFFFFF"/>
                      <w:sz w:val="15"/>
                    </w:rPr>
                    <w:t>In the material for the prompt?</w:t>
                  </w:r>
                </w:p>
              </w:tc>
              <w:tc>
                <w:tcPr>
                  <w:tcW w:type="dxa" w:w="2900"/>
                  <w:shd w:val="clear" w:color="auto" w:fill="17324D"/>
                </w:tcPr>
                <w:p>
                  <w:pPr>
                    <w:keepNext/>
                    <w:spacing w:before="0" w:after="30"/>
                  </w:pPr>
                  <w:r>
                    <w:rPr>
                      <w:b/>
                      <w:color w:val="FFFFFF"/>
                      <w:sz w:val="15"/>
                    </w:rPr>
                    <w:t>Action taken</w:t>
                  </w:r>
                </w:p>
              </w:tc>
            </w:tr>
            <w:tr>
              <w:tc>
                <w:tcPr>
                  <w:tcW w:type="dxa" w:w="2500"/>
                </w:tcPr>
                <w:p>
                  <w:pPr>
                    <w:spacing w:before="0" w:after="30"/>
                  </w:pPr>
                  <w:r>
                    <w:rPr>
                      <w:color w:val="1C2730"/>
                      <w:sz w:val="15"/>
                    </w:rPr>
                    <w:t>Patient name</w:t>
                  </w:r>
                </w:p>
              </w:tc>
              <w:tc>
                <w:tcPr>
                  <w:tcW w:type="dxa" w:w="2700"/>
                </w:tcPr>
                <w:p>
                  <w:pPr>
                    <w:spacing w:before="0" w:after="30"/>
                  </w:pPr>
                  <w:r>
                    <w:rPr>
                      <w:color w:val="1C2730"/>
                      <w:sz w:val="15"/>
                    </w:rPr>
                    <w:t>No. The source uses the role label “Patient A” only.</w:t>
                  </w:r>
                </w:p>
              </w:tc>
              <w:tc>
                <w:tcPr>
                  <w:tcW w:type="dxa" w:w="2900"/>
                </w:tcPr>
                <w:p>
                  <w:pPr>
                    <w:spacing w:before="0" w:after="30"/>
                  </w:pPr>
                  <w:r>
                    <w:rPr>
                      <w:color w:val="1C2730"/>
                      <w:sz w:val="15"/>
                    </w:rPr>
                    <w:t>Prompt makes no reference to the patient.</w:t>
                  </w:r>
                </w:p>
              </w:tc>
            </w:tr>
            <w:tr>
              <w:trPr>
                <w:cantSplit/>
              </w:trPr>
              <w:tc>
                <w:tcPr>
                  <w:tcW w:type="dxa" w:w="2500"/>
                  <w:shd w:val="clear" w:color="auto" w:fill="F8FAFB"/>
                </w:tcPr>
                <w:p>
                  <w:pPr>
                    <w:spacing w:before="0" w:after="30"/>
                  </w:pPr>
                  <w:r>
                    <w:rPr>
                      <w:color w:val="1C2730"/>
                      <w:sz w:val="15"/>
                    </w:rPr>
                    <w:t>MRN; account, encounter or claim number; SSN; health-plan member ID</w:t>
                  </w:r>
                </w:p>
              </w:tc>
              <w:tc>
                <w:tcPr>
                  <w:tcW w:type="dxa" w:w="2700"/>
                  <w:shd w:val="clear" w:color="auto" w:fill="F8FAFB"/>
                </w:tcPr>
                <w:p>
                  <w:pPr>
                    <w:spacing w:before="0" w:after="30"/>
                  </w:pPr>
                  <w:r>
                    <w:rPr>
                      <w:color w:val="1C2730"/>
                      <w:sz w:val="15"/>
                    </w:rPr>
                    <w:t>No. The Case Packet says the summary excludes MRNs and direct identifiers.</w:t>
                  </w:r>
                </w:p>
              </w:tc>
              <w:tc>
                <w:tcPr>
                  <w:tcW w:type="dxa" w:w="2900"/>
                  <w:shd w:val="clear" w:color="auto" w:fill="F8FAFB"/>
                </w:tcPr>
                <w:p>
                  <w:pPr>
                    <w:spacing w:before="0" w:after="30"/>
                  </w:pPr>
                  <w:r>
                    <w:rPr>
                      <w:color w:val="1C2730"/>
                      <w:sz w:val="15"/>
                    </w:rPr>
                    <w:t>None needed; none in the prompt.</w:t>
                  </w:r>
                </w:p>
              </w:tc>
            </w:tr>
            <w:tr>
              <w:trPr>
                <w:cantSplit/>
              </w:trPr>
              <w:tc>
                <w:tcPr>
                  <w:tcW w:type="dxa" w:w="2500"/>
                </w:tcPr>
                <w:p>
                  <w:pPr>
                    <w:spacing w:before="0" w:after="30"/>
                  </w:pPr>
                  <w:r>
                    <w:rPr>
                      <w:color w:val="1C2730"/>
                      <w:sz w:val="15"/>
                    </w:rPr>
                    <w:t>Date of birth; any date more specific than a year</w:t>
                  </w:r>
                </w:p>
              </w:tc>
              <w:tc>
                <w:tcPr>
                  <w:tcW w:type="dxa" w:w="2700"/>
                </w:tcPr>
                <w:p>
                  <w:pPr>
                    <w:spacing w:before="0" w:after="30"/>
                  </w:pPr>
                  <w:r>
                    <w:rPr>
                      <w:color w:val="1C2730"/>
                      <w:sz w:val="15"/>
                    </w:rPr>
                    <w:t>No. The summary excludes exact dates.</w:t>
                  </w:r>
                </w:p>
              </w:tc>
              <w:tc>
                <w:tcPr>
                  <w:tcW w:type="dxa" w:w="2900"/>
                </w:tcPr>
                <w:p>
                  <w:pPr>
                    <w:spacing w:before="0" w:after="30"/>
                  </w:pPr>
                  <w:r>
                    <w:rPr>
                      <w:color w:val="1C2730"/>
                      <w:sz w:val="15"/>
                    </w:rPr>
                    <w:t>Consult time also left out; the email says “upcoming.”</w:t>
                  </w:r>
                </w:p>
              </w:tc>
            </w:tr>
            <w:tr>
              <w:trPr>
                <w:cantSplit/>
              </w:trPr>
              <w:tc>
                <w:tcPr>
                  <w:tcW w:type="dxa" w:w="2500"/>
                  <w:shd w:val="clear" w:color="auto" w:fill="F8FAFB"/>
                </w:tcPr>
                <w:p>
                  <w:pPr>
                    <w:spacing w:before="0" w:after="30"/>
                  </w:pPr>
                  <w:r>
                    <w:rPr>
                      <w:color w:val="1C2730"/>
                      <w:sz w:val="15"/>
                    </w:rPr>
                    <w:t>Street address, postal code; room, bed or unit</w:t>
                  </w:r>
                </w:p>
              </w:tc>
              <w:tc>
                <w:tcPr>
                  <w:tcW w:type="dxa" w:w="2700"/>
                  <w:shd w:val="clear" w:color="auto" w:fill="F8FAFB"/>
                </w:tcPr>
                <w:p>
                  <w:pPr>
                    <w:spacing w:before="0" w:after="30"/>
                  </w:pPr>
                  <w:r>
                    <w:rPr>
                      <w:color w:val="1C2730"/>
                      <w:sz w:val="15"/>
                    </w:rPr>
                    <w:t>No.</w:t>
                  </w:r>
                </w:p>
              </w:tc>
              <w:tc>
                <w:tcPr>
                  <w:tcW w:type="dxa" w:w="2900"/>
                  <w:shd w:val="clear" w:color="auto" w:fill="F8FAFB"/>
                </w:tcPr>
                <w:p>
                  <w:pPr>
                    <w:spacing w:before="0" w:after="30"/>
                  </w:pPr>
                  <w:r>
                    <w:rPr>
                      <w:color w:val="1C2730"/>
                      <w:sz w:val="15"/>
                    </w:rPr>
                    <w:t>None in the prompt.</w:t>
                  </w:r>
                </w:p>
              </w:tc>
            </w:tr>
            <w:tr>
              <w:trPr>
                <w:cantSplit/>
              </w:trPr>
              <w:tc>
                <w:tcPr>
                  <w:tcW w:type="dxa" w:w="2500"/>
                </w:tcPr>
                <w:p>
                  <w:pPr>
                    <w:spacing w:before="0" w:after="30"/>
                  </w:pPr>
                  <w:r>
                    <w:rPr>
                      <w:color w:val="1C2730"/>
                      <w:sz w:val="15"/>
                    </w:rPr>
                    <w:t>Phone, fax, email, personal URL</w:t>
                  </w:r>
                </w:p>
              </w:tc>
              <w:tc>
                <w:tcPr>
                  <w:tcW w:type="dxa" w:w="2700"/>
                </w:tcPr>
                <w:p>
                  <w:pPr>
                    <w:spacing w:before="0" w:after="30"/>
                  </w:pPr>
                  <w:r>
                    <w:rPr>
                      <w:color w:val="1C2730"/>
                      <w:sz w:val="15"/>
                    </w:rPr>
                    <w:t>Yes: the recipient's email is in the approved request.</w:t>
                  </w:r>
                </w:p>
              </w:tc>
              <w:tc>
                <w:tcPr>
                  <w:tcW w:type="dxa" w:w="2900"/>
                </w:tcPr>
                <w:p>
                  <w:pPr>
                    <w:spacing w:before="0" w:after="30"/>
                  </w:pPr>
                  <w:r>
                    <w:rPr>
                      <w:color w:val="1C2730"/>
                      <w:sz w:val="15"/>
                    </w:rPr>
                    <w:t>Kept out of the prompt. Dr. Chen pastes it into the Outlook To line.</w:t>
                  </w:r>
                </w:p>
              </w:tc>
            </w:tr>
            <w:tr>
              <w:trPr>
                <w:cantSplit/>
              </w:trPr>
              <w:tc>
                <w:tcPr>
                  <w:tcW w:type="dxa" w:w="2500"/>
                  <w:shd w:val="clear" w:color="auto" w:fill="F8FAFB"/>
                </w:tcPr>
                <w:p>
                  <w:pPr>
                    <w:spacing w:before="0" w:after="30"/>
                  </w:pPr>
                  <w:r>
                    <w:rPr>
                      <w:color w:val="1C2730"/>
                      <w:sz w:val="15"/>
                    </w:rPr>
                    <w:t>Device serial; IP; account IDs; tenant, site or library URL</w:t>
                  </w:r>
                </w:p>
              </w:tc>
              <w:tc>
                <w:tcPr>
                  <w:tcW w:type="dxa" w:w="2700"/>
                  <w:shd w:val="clear" w:color="auto" w:fill="F8FAFB"/>
                </w:tcPr>
                <w:p>
                  <w:pPr>
                    <w:spacing w:before="0" w:after="30"/>
                  </w:pPr>
                  <w:r>
                    <w:rPr>
                      <w:color w:val="1C2730"/>
                      <w:sz w:val="15"/>
                    </w:rPr>
                    <w:t>No.</w:t>
                  </w:r>
                </w:p>
              </w:tc>
              <w:tc>
                <w:tcPr>
                  <w:tcW w:type="dxa" w:w="2900"/>
                  <w:shd w:val="clear" w:color="auto" w:fill="F8FAFB"/>
                </w:tcPr>
                <w:p>
                  <w:pPr>
                    <w:spacing w:before="0" w:after="30"/>
                  </w:pPr>
                  <w:r>
                    <w:rPr>
                      <w:color w:val="1C2730"/>
                      <w:sz w:val="15"/>
                    </w:rPr>
                    <w:t>Location described only as “an approved SharePoint team site.”</w:t>
                  </w:r>
                </w:p>
              </w:tc>
            </w:tr>
            <w:tr>
              <w:trPr>
                <w:cantSplit/>
              </w:trPr>
              <w:tc>
                <w:tcPr>
                  <w:tcW w:type="dxa" w:w="2500"/>
                </w:tcPr>
                <w:p>
                  <w:pPr>
                    <w:spacing w:before="0" w:after="30"/>
                  </w:pPr>
                  <w:r>
                    <w:rPr>
                      <w:color w:val="1C2730"/>
                      <w:sz w:val="15"/>
                    </w:rPr>
                    <w:t>Images or screenshots</w:t>
                  </w:r>
                </w:p>
              </w:tc>
              <w:tc>
                <w:tcPr>
                  <w:tcW w:type="dxa" w:w="2700"/>
                </w:tcPr>
                <w:p>
                  <w:pPr>
                    <w:spacing w:before="0" w:after="30"/>
                  </w:pPr>
                  <w:r>
                    <w:rPr>
                      <w:color w:val="1C2730"/>
                      <w:sz w:val="15"/>
                    </w:rPr>
                    <w:t>No.</w:t>
                  </w:r>
                </w:p>
              </w:tc>
              <w:tc>
                <w:tcPr>
                  <w:tcW w:type="dxa" w:w="2900"/>
                </w:tcPr>
                <w:p>
                  <w:pPr>
                    <w:spacing w:before="0" w:after="30"/>
                  </w:pPr>
                  <w:r>
                    <w:rPr>
                      <w:color w:val="1C2730"/>
                      <w:sz w:val="15"/>
                    </w:rPr>
                    <w:t>The case file is not attached to or referenced in Copilot.</w:t>
                  </w:r>
                </w:p>
              </w:tc>
            </w:tr>
            <w:tr>
              <w:trPr>
                <w:cantSplit/>
              </w:trPr>
              <w:tc>
                <w:tcPr>
                  <w:tcW w:type="dxa" w:w="2500"/>
                  <w:shd w:val="clear" w:color="auto" w:fill="F8FAFB"/>
                </w:tcPr>
                <w:p>
                  <w:pPr>
                    <w:spacing w:before="0" w:after="30"/>
                  </w:pPr>
                  <w:r>
                    <w:rPr>
                      <w:color w:val="1C2730"/>
                      <w:sz w:val="15"/>
                    </w:rPr>
                    <w:t>Diagnosis, procedure, medication, result (clinical detail)</w:t>
                  </w:r>
                </w:p>
              </w:tc>
              <w:tc>
                <w:tcPr>
                  <w:tcW w:type="dxa" w:w="2700"/>
                  <w:shd w:val="clear" w:color="auto" w:fill="F8FAFB"/>
                </w:tcPr>
                <w:p>
                  <w:pPr>
                    <w:spacing w:before="0" w:after="30"/>
                  </w:pPr>
                  <w:r>
                    <w:rPr>
                      <w:color w:val="1C2730"/>
                      <w:sz w:val="15"/>
                    </w:rPr>
                    <w:t>Yes: a non-specific symptom narrative in the case summary.</w:t>
                  </w:r>
                </w:p>
              </w:tc>
              <w:tc>
                <w:tcPr>
                  <w:tcW w:type="dxa" w:w="2900"/>
                  <w:shd w:val="clear" w:color="auto" w:fill="F8FAFB"/>
                </w:tcPr>
                <w:p>
                  <w:pPr>
                    <w:spacing w:before="0" w:after="30"/>
                  </w:pPr>
                  <w:r>
                    <w:rPr>
                      <w:color w:val="1C2730"/>
                      <w:sz w:val="15"/>
                    </w:rPr>
                    <w:t>Excluded entirely; not needed for an administrative email (NA-01; KB-422 bullet 2).</w:t>
                  </w:r>
                </w:p>
              </w:tc>
            </w:tr>
            <w:tr>
              <w:trPr>
                <w:cantSplit/>
              </w:trPr>
              <w:tc>
                <w:tcPr>
                  <w:tcW w:type="dxa" w:w="2500"/>
                </w:tcPr>
                <w:p>
                  <w:pPr>
                    <w:spacing w:before="0" w:after="30"/>
                  </w:pPr>
                  <w:r>
                    <w:rPr>
                      <w:color w:val="1C2730"/>
                      <w:sz w:val="15"/>
                    </w:rPr>
                    <w:t>Provider or clinician names</w:t>
                  </w:r>
                </w:p>
              </w:tc>
              <w:tc>
                <w:tcPr>
                  <w:tcW w:type="dxa" w:w="2700"/>
                </w:tcPr>
                <w:p>
                  <w:pPr>
                    <w:spacing w:before="0" w:after="30"/>
                  </w:pPr>
                  <w:r>
                    <w:rPr>
                      <w:color w:val="1C2730"/>
                      <w:sz w:val="15"/>
                    </w:rPr>
                    <w:t>Yes: the recipient's name and Dr. Chen's name.</w:t>
                  </w:r>
                </w:p>
              </w:tc>
              <w:tc>
                <w:tcPr>
                  <w:tcW w:type="dxa" w:w="2900"/>
                </w:tcPr>
                <w:p>
                  <w:pPr>
                    <w:spacing w:before="0" w:after="30"/>
                  </w:pPr>
                  <w:r>
                    <w:rPr>
                      <w:color w:val="1C2730"/>
                      <w:sz w:val="15"/>
                    </w:rPr>
                    <w:t>Replaced with role labels: [RECIPIENT NAME], “family medicine physician,” [SIGNATURE].</w:t>
                  </w:r>
                </w:p>
              </w:tc>
            </w:tr>
            <w:tr>
              <w:trPr>
                <w:cantSplit/>
              </w:trPr>
              <w:tc>
                <w:tcPr>
                  <w:tcW w:type="dxa" w:w="2500"/>
                  <w:shd w:val="clear" w:color="auto" w:fill="F8FAFB"/>
                </w:tcPr>
                <w:p>
                  <w:pPr>
                    <w:spacing w:before="0" w:after="30"/>
                  </w:pPr>
                  <w:r>
                    <w:rPr>
                      <w:color w:val="1C2730"/>
                      <w:sz w:val="15"/>
                    </w:rPr>
                    <w:t>File name</w:t>
                  </w:r>
                </w:p>
              </w:tc>
              <w:tc>
                <w:tcPr>
                  <w:tcW w:type="dxa" w:w="2700"/>
                  <w:shd w:val="clear" w:color="auto" w:fill="F8FAFB"/>
                </w:tcPr>
                <w:p>
                  <w:pPr>
                    <w:spacing w:before="0" w:after="30"/>
                  </w:pPr>
                  <w:r>
                    <w:rPr>
                      <w:color w:val="1C2730"/>
                      <w:sz w:val="15"/>
                    </w:rPr>
                    <w:t>Yes: “Synthetic Case Summary – Patient A.docx.”</w:t>
                  </w:r>
                </w:p>
              </w:tc>
              <w:tc>
                <w:tcPr>
                  <w:tcW w:type="dxa" w:w="2900"/>
                  <w:shd w:val="clear" w:color="auto" w:fill="F8FAFB"/>
                </w:tcPr>
                <w:p>
                  <w:pPr>
                    <w:spacing w:before="0" w:after="30"/>
                  </w:pPr>
                  <w:r>
                    <w:rPr>
                      <w:color w:val="1C2730"/>
                      <w:sz w:val="15"/>
                    </w:rPr>
                    <w:t>Replaced with [LINK]; not typed into the prompt.</w:t>
                  </w:r>
                </w:p>
              </w:tc>
            </w:tr>
            <w:tr>
              <w:trPr>
                <w:cantSplit/>
              </w:trPr>
              <w:tc>
                <w:tcPr>
                  <w:tcW w:type="dxa" w:w="2500"/>
                </w:tcPr>
                <w:p>
                  <w:pPr>
                    <w:spacing w:before="0" w:after="30"/>
                  </w:pPr>
                  <w:r>
                    <w:rPr>
                      <w:color w:val="1C2730"/>
                      <w:sz w:val="15"/>
                    </w:rPr>
                    <w:t>Secrets: passwords, tokens, keys, sign-in codes, security answers</w:t>
                  </w:r>
                </w:p>
              </w:tc>
              <w:tc>
                <w:tcPr>
                  <w:tcW w:type="dxa" w:w="2700"/>
                </w:tcPr>
                <w:p>
                  <w:pPr>
                    <w:spacing w:before="0" w:after="30"/>
                  </w:pPr>
                  <w:r>
                    <w:rPr>
                      <w:color w:val="1C2730"/>
                      <w:sz w:val="15"/>
                    </w:rPr>
                    <w:t>No.</w:t>
                  </w:r>
                </w:p>
              </w:tc>
              <w:tc>
                <w:tcPr>
                  <w:tcW w:type="dxa" w:w="2900"/>
                </w:tcPr>
                <w:p>
                  <w:pPr>
                    <w:spacing w:before="0" w:after="30"/>
                  </w:pPr>
                  <w:r>
                    <w:rPr>
                      <w:color w:val="1C2730"/>
                      <w:sz w:val="15"/>
                    </w:rPr>
                    <w:t>None.</w:t>
                  </w:r>
                </w:p>
              </w:tc>
            </w:tr>
          </w:tbl>
          <w:p>
            <w:pPr>
              <w:spacing w:before="0" w:after="0"/>
              <w:rPr>
                <w:sz w:val="8"/>
              </w:rPr>
            </w:pPr>
          </w:p>
          <w:tbl>
            <w:tblPr>
              <w:tblW w:w="8100" w:type="dxa"/>
              <w:tblBorders>
                <w:top w:val="single" w:sz="4" w:space="0" w:color="9F1239"/>
                <w:left w:val="single" w:sz="24" w:space="0" w:color="9F1239"/>
                <w:bottom w:val="single" w:sz="4" w:space="0" w:color="9F1239"/>
                <w:right w:val="single" w:sz="4" w:space="0" w:color="9F1239"/>
              </w:tblBorders>
              <w:tblLayout w:type="fixed"/>
              <w:tblCellMar>
                <w:top w:w="70" w:type="dxa"/>
                <w:left w:w="120" w:type="dxa"/>
                <w:bottom w:w="70" w:type="dxa"/>
                <w:right w:w="120" w:type="dxa"/>
              </w:tblCellMar>
              <w:tblLook w:firstColumn="1" w:firstRow="1" w:lastColumn="0" w:lastRow="0" w:noHBand="0" w:noVBand="1" w:val="04A0"/>
            </w:tblPr>
            <w:tblGrid>
              <w:gridCol w:w="8100"/>
            </w:tblGrid>
            <w:tr>
              <w:trPr>
                <w:cantSplit/>
              </w:trPr>
              <w:tc>
                <w:tcPr>
                  <w:tcW w:type="dxa" w:w="8100"/>
                  <w:shd w:val="clear" w:color="auto" w:fill="FDECEF"/>
                </w:tcPr>
                <w:p>
                  <w:pPr>
                    <w:spacing w:before="0" w:after="40"/>
                  </w:pPr>
                  <w:r>
                    <w:rPr>
                      <w:b/>
                      <w:color w:val="9F1239"/>
                      <w:sz w:val="17"/>
                    </w:rPr>
                    <w:t>Required note</w:t>
                  </w:r>
                </w:p>
                <w:p>
                  <w:pPr>
                    <w:spacing w:before="0" w:after="40"/>
                  </w:pPr>
                  <w:r>
                    <w:rPr>
                      <w:color w:val="1C2730"/>
                      <w:sz w:val="17"/>
                    </w:rPr>
                    <w:t xml:space="preserve">This checklist is a </w:t>
                  </w:r>
                  <w:r>
                    <w:rPr>
                      <w:b/>
                      <w:color w:val="1C2730"/>
                      <w:sz w:val="17"/>
                    </w:rPr>
                    <w:t>course training safety and data-minimization check</w:t>
                  </w:r>
                  <w:r>
                    <w:rPr>
                      <w:color w:val="1C2730"/>
                      <w:sz w:val="17"/>
                    </w:rPr>
                    <w:t xml:space="preserve">. It is </w:t>
                  </w:r>
                  <w:r>
                    <w:rPr>
                      <w:b/>
                      <w:color w:val="1C2730"/>
                      <w:sz w:val="17"/>
                    </w:rPr>
                    <w:t>not a HIPAA de-identification determination</w:t>
                  </w:r>
                  <w:r>
                    <w:rPr>
                      <w:color w:val="1C2730"/>
                      <w:sz w:val="17"/>
                    </w:rPr>
                    <w:t xml:space="preserve"> and does not replace organizational privacy or security review (Checklist › Purpose; Fact Sheet › Decision boundaries, bullet 3).</w:t>
                  </w:r>
                </w:p>
              </w:tc>
            </w:tr>
          </w:tbl>
          <w:p>
            <w:pPr>
              <w:spacing w:before="0" w:after="0"/>
              <w:rPr>
                <w:sz w:val="8"/>
              </w:rPr>
            </w:pPr>
          </w:p>
        </w:tc>
      </w:tr>
      <w:tr>
        <w:tc>
          <w:tcPr>
            <w:tcW w:type="dxa" w:w="1900"/>
            <w:tcBorders>
              <w:bottom w:val="single" w:sz="6" w:color="D8E0E4"/>
            </w:tcBorders>
            <w:shd w:fill="F8FAFB"/>
            <w:tcMar>
              <w:top w:w="90" w:type="dxa"/>
              <w:start w:w="100" w:type="dxa"/>
              <w:bottom w:w="90" w:type="dxa"/>
              <w:end w:w="100" w:type="dxa"/>
            </w:tcMar>
            <w:vAlign w:val="top"/>
          </w:tcPr>
          <w:p>
            <w:pPr>
              <w:spacing w:after="40"/>
            </w:pPr>
            <w:r>
              <w:rPr>
                <w:sz w:val="17"/>
              </w:rPr>
              <w:t>Source-fact verification</w:t>
            </w:r>
          </w:p>
        </w:tc>
        <w:tc>
          <w:tcPr>
            <w:tcW w:type="dxa" w:w="8324"/>
            <w:tcBorders>
              <w:bottom w:val="single" w:sz="6" w:color="D8E0E4"/>
            </w:tcBorders>
            <w:shd w:fill="F8FAFB"/>
            <w:tcMar>
              <w:top w:w="90" w:type="dxa"/>
              <w:start w:w="100" w:type="dxa"/>
              <w:bottom w:w="90" w:type="dxa"/>
              <w:end w:w="100" w:type="dxa"/>
            </w:tcMar>
            <w:vAlign w:val="top"/>
          </w:tcPr>
          <w:p>
            <w:pPr>
              <w:spacing w:before="0" w:after="80"/>
            </w:pPr>
            <w:r>
              <w:rPr>
                <w:b/>
                <w:color w:val="1C2730"/>
                <w:sz w:val="17"/>
              </w:rPr>
              <w:t>Path 1: factual accuracy.</w:t>
            </w:r>
            <w:r>
              <w:rPr>
                <w:color w:val="1C2730"/>
                <w:sz w:val="17"/>
              </w:rPr>
              <w:t xml:space="preserve"> The Fixed Mock Copilot Output was checked line by line against the </w:t>
            </w:r>
            <w:r>
              <w:rPr>
                <w:b/>
                <w:color w:val="1C2730"/>
                <w:sz w:val="17"/>
              </w:rPr>
              <w:t>Synthetic Case Packet and Source Summary</w:t>
            </w:r>
            <w:r>
              <w:rPr>
                <w:color w:val="1C2730"/>
                <w:sz w:val="17"/>
              </w:rPr>
              <w:t>. Outcomes: Accurate / Inaccurate / Uncertain.</w:t>
            </w:r>
          </w:p>
          <w:tbl>
            <w:tblPr>
              <w:tblW w:w="8100" w:type="dxa"/>
              <w:tblBorders>
                <w:top w:val="single" w:sz="4" w:space="0" w:color="D8E0E4"/>
                <w:left w:val="single" w:sz="4" w:space="0" w:color="D8E0E4"/>
                <w:bottom w:val="single" w:sz="4" w:space="0" w:color="D8E0E4"/>
                <w:right w:val="single" w:sz="4" w:space="0" w:color="D8E0E4"/>
                <w:insideH w:val="single" w:sz="4" w:space="0" w:color="D8E0E4"/>
                <w:insideV w:val="single" w:sz="4" w:space="0" w:color="D8E0E4"/>
              </w:tblBorders>
              <w:tblLayout w:type="fixed"/>
              <w:tblCellMar>
                <w:top w:w="45" w:type="dxa"/>
                <w:left w:w="80" w:type="dxa"/>
                <w:bottom w:w="45" w:type="dxa"/>
                <w:right w:w="80" w:type="dxa"/>
              </w:tblCellMar>
              <w:tblLook w:firstColumn="1" w:firstRow="1" w:lastColumn="0" w:lastRow="0" w:noHBand="0" w:noVBand="1" w:val="04A0"/>
            </w:tblPr>
            <w:tblGrid>
              <w:gridCol w:w="300"/>
              <w:gridCol w:w="2150"/>
              <w:gridCol w:w="1300"/>
              <w:gridCol w:w="2150"/>
              <w:gridCol w:w="2200"/>
            </w:tblGrid>
            <w:tr>
              <w:trPr>
                <w:tblHeader/>
                <w:cantSplit/>
              </w:trPr>
              <w:tc>
                <w:tcPr>
                  <w:tcW w:type="dxa" w:w="300"/>
                  <w:shd w:val="clear" w:color="auto" w:fill="17324D"/>
                </w:tcPr>
                <w:p>
                  <w:pPr>
                    <w:keepNext/>
                    <w:spacing w:before="0" w:after="30"/>
                  </w:pPr>
                  <w:r>
                    <w:rPr>
                      <w:b/>
                      <w:color w:val="FFFFFF"/>
                      <w:sz w:val="15"/>
                    </w:rPr>
                    <w:t>#</w:t>
                  </w:r>
                </w:p>
              </w:tc>
              <w:tc>
                <w:tcPr>
                  <w:tcW w:type="dxa" w:w="2150"/>
                  <w:shd w:val="clear" w:color="auto" w:fill="17324D"/>
                </w:tcPr>
                <w:p>
                  <w:pPr>
                    <w:keepNext/>
                    <w:spacing w:before="0" w:after="30"/>
                  </w:pPr>
                  <w:r>
                    <w:rPr>
                      <w:b/>
                      <w:color w:val="FFFFFF"/>
                      <w:sz w:val="15"/>
                    </w:rPr>
                    <w:t>Output element (quoted)</w:t>
                  </w:r>
                </w:p>
              </w:tc>
              <w:tc>
                <w:tcPr>
                  <w:tcW w:type="dxa" w:w="1300"/>
                  <w:shd w:val="clear" w:color="auto" w:fill="17324D"/>
                </w:tcPr>
                <w:p>
                  <w:pPr>
                    <w:keepNext/>
                    <w:spacing w:before="0" w:after="30"/>
                  </w:pPr>
                  <w:r>
                    <w:rPr>
                      <w:b/>
                      <w:color w:val="FFFFFF"/>
                      <w:sz w:val="15"/>
                    </w:rPr>
                    <w:t>Claim checked</w:t>
                  </w:r>
                </w:p>
              </w:tc>
              <w:tc>
                <w:tcPr>
                  <w:tcW w:type="dxa" w:w="2150"/>
                  <w:shd w:val="clear" w:color="auto" w:fill="17324D"/>
                </w:tcPr>
                <w:p>
                  <w:pPr>
                    <w:keepNext/>
                    <w:spacing w:before="0" w:after="30"/>
                  </w:pPr>
                  <w:r>
                    <w:rPr>
                      <w:b/>
                      <w:color w:val="FFFFFF"/>
                      <w:sz w:val="15"/>
                    </w:rPr>
                    <w:t>Case Packet source</w:t>
                  </w:r>
                </w:p>
              </w:tc>
              <w:tc>
                <w:tcPr>
                  <w:tcW w:type="dxa" w:w="2200"/>
                  <w:shd w:val="clear" w:color="auto" w:fill="17324D"/>
                </w:tcPr>
                <w:p>
                  <w:pPr>
                    <w:keepNext/>
                    <w:spacing w:before="0" w:after="30"/>
                  </w:pPr>
                  <w:r>
                    <w:rPr>
                      <w:b/>
                      <w:color w:val="FFFFFF"/>
                      <w:sz w:val="15"/>
                    </w:rPr>
                    <w:t>Outcome</w:t>
                  </w:r>
                </w:p>
              </w:tc>
            </w:tr>
            <w:tr>
              <w:tc>
                <w:tcPr>
                  <w:tcW w:type="dxa" w:w="300"/>
                </w:tcPr>
                <w:p>
                  <w:pPr>
                    <w:spacing w:before="0" w:after="30"/>
                  </w:pPr>
                  <w:r>
                    <w:rPr>
                      <w:color w:val="1C2730"/>
                      <w:sz w:val="15"/>
                    </w:rPr>
                    <w:t>1</w:t>
                  </w:r>
                </w:p>
              </w:tc>
              <w:tc>
                <w:tcPr>
                  <w:tcW w:type="dxa" w:w="2150"/>
                </w:tcPr>
                <w:p>
                  <w:pPr>
                    <w:spacing w:before="0" w:after="30"/>
                  </w:pPr>
                  <w:r>
                    <w:rPr>
                      <w:color w:val="1C2730"/>
                      <w:sz w:val="15"/>
                    </w:rPr>
                    <w:t>Subject: “Curbside consultation - synthetic case summary”</w:t>
                  </w:r>
                </w:p>
              </w:tc>
              <w:tc>
                <w:tcPr>
                  <w:tcW w:type="dxa" w:w="1300"/>
                </w:tcPr>
                <w:p>
                  <w:pPr>
                    <w:spacing w:before="0" w:after="30"/>
                  </w:pPr>
                  <w:r>
                    <w:rPr>
                      <w:color w:val="1C2730"/>
                      <w:sz w:val="15"/>
                    </w:rPr>
                    <w:t>Consult type; what is shared</w:t>
                  </w:r>
                </w:p>
              </w:tc>
              <w:tc>
                <w:tcPr>
                  <w:tcW w:type="dxa" w:w="2150"/>
                </w:tcPr>
                <w:p>
                  <w:pPr>
                    <w:spacing w:before="0" w:after="30"/>
                  </w:pPr>
                  <w:r>
                    <w:rPr>
                      <w:color w:val="1C2730"/>
                      <w:sz w:val="15"/>
                    </w:rPr>
                    <w:t>Clinical context; File</w:t>
                  </w:r>
                </w:p>
              </w:tc>
              <w:tc>
                <w:tcPr>
                  <w:tcW w:type="dxa" w:w="2200"/>
                </w:tcPr>
                <w:p>
                  <w:pPr>
                    <w:spacing w:before="0" w:after="30"/>
                  </w:pPr>
                  <w:r>
                    <w:rPr>
                      <w:b/>
                      <w:color w:val="1C2730"/>
                      <w:sz w:val="15"/>
                    </w:rPr>
                    <w:t>Accurate</w:t>
                  </w:r>
                </w:p>
              </w:tc>
            </w:tr>
            <w:tr>
              <w:trPr>
                <w:cantSplit/>
              </w:trPr>
              <w:tc>
                <w:tcPr>
                  <w:tcW w:type="dxa" w:w="300"/>
                  <w:shd w:val="clear" w:color="auto" w:fill="F8FAFB"/>
                </w:tcPr>
                <w:p>
                  <w:pPr>
                    <w:spacing w:before="0" w:after="30"/>
                  </w:pPr>
                  <w:r>
                    <w:rPr>
                      <w:color w:val="1C2730"/>
                      <w:sz w:val="15"/>
                    </w:rPr>
                    <w:t>2</w:t>
                  </w:r>
                </w:p>
              </w:tc>
              <w:tc>
                <w:tcPr>
                  <w:tcW w:type="dxa" w:w="2150"/>
                  <w:shd w:val="clear" w:color="auto" w:fill="F8FAFB"/>
                </w:tcPr>
                <w:p>
                  <w:pPr>
                    <w:spacing w:before="0" w:after="30"/>
                  </w:pPr>
                  <w:r>
                    <w:rPr>
                      <w:color w:val="1C2730"/>
                      <w:sz w:val="15"/>
                    </w:rPr>
                    <w:t>“Hi Colleague at Partner Clinic,”</w:t>
                  </w:r>
                </w:p>
              </w:tc>
              <w:tc>
                <w:tcPr>
                  <w:tcW w:type="dxa" w:w="1300"/>
                  <w:shd w:val="clear" w:color="auto" w:fill="F8FAFB"/>
                </w:tcPr>
                <w:p>
                  <w:pPr>
                    <w:spacing w:before="0" w:after="30"/>
                  </w:pPr>
                  <w:r>
                    <w:rPr>
                      <w:color w:val="1C2730"/>
                      <w:sz w:val="15"/>
                    </w:rPr>
                    <w:t>Who the reader is</w:t>
                  </w:r>
                </w:p>
              </w:tc>
              <w:tc>
                <w:tcPr>
                  <w:tcW w:type="dxa" w:w="2150"/>
                  <w:shd w:val="clear" w:color="auto" w:fill="F8FAFB"/>
                </w:tcPr>
                <w:p>
                  <w:pPr>
                    <w:spacing w:before="0" w:after="30"/>
                  </w:pPr>
                  <w:r>
                    <w:rPr>
                      <w:color w:val="1C2730"/>
                      <w:sz w:val="15"/>
                    </w:rPr>
                    <w:t>Recipient: “Authenticated partner-clinic colleague designated in the approved request”</w:t>
                  </w:r>
                </w:p>
              </w:tc>
              <w:tc>
                <w:tcPr>
                  <w:tcW w:type="dxa" w:w="2200"/>
                  <w:shd w:val="clear" w:color="auto" w:fill="F8FAFB"/>
                </w:tcPr>
                <w:p>
                  <w:pPr>
                    <w:spacing w:before="0" w:after="30"/>
                  </w:pPr>
                  <w:r>
                    <w:rPr>
                      <w:b/>
                      <w:color w:val="1C2730"/>
                      <w:sz w:val="15"/>
                    </w:rPr>
                    <w:t>Uncertain.</w:t>
                  </w:r>
                  <w:r>
                    <w:rPr>
                      <w:color w:val="1C2730"/>
                      <w:sz w:val="15"/>
                    </w:rPr>
                    <w:t xml:space="preserve"> The role is right, but the named, authenticated colleague isn't identified. Replace it with the name from the request.</w:t>
                  </w:r>
                </w:p>
              </w:tc>
            </w:tr>
            <w:tr>
              <w:trPr>
                <w:cantSplit/>
              </w:trPr>
              <w:tc>
                <w:tcPr>
                  <w:tcW w:type="dxa" w:w="300"/>
                </w:tcPr>
                <w:p>
                  <w:pPr>
                    <w:spacing w:before="0" w:after="30"/>
                  </w:pPr>
                  <w:r>
                    <w:rPr>
                      <w:color w:val="1C2730"/>
                      <w:sz w:val="15"/>
                    </w:rPr>
                    <w:t>3</w:t>
                  </w:r>
                </w:p>
              </w:tc>
              <w:tc>
                <w:tcPr>
                  <w:tcW w:type="dxa" w:w="2150"/>
                </w:tcPr>
                <w:p>
                  <w:pPr>
                    <w:spacing w:before="0" w:after="30"/>
                  </w:pPr>
                  <w:r>
                    <w:rPr>
                      <w:color w:val="1C2730"/>
                      <w:sz w:val="15"/>
                    </w:rPr>
                    <w:t>“ahead of our curbside consultation”</w:t>
                  </w:r>
                </w:p>
              </w:tc>
              <w:tc>
                <w:tcPr>
                  <w:tcW w:type="dxa" w:w="1300"/>
                </w:tcPr>
                <w:p>
                  <w:pPr>
                    <w:spacing w:before="0" w:after="30"/>
                  </w:pPr>
                  <w:r>
                    <w:rPr>
                      <w:color w:val="1C2730"/>
                      <w:sz w:val="15"/>
                    </w:rPr>
                    <w:t>Purpose and timing</w:t>
                  </w:r>
                </w:p>
              </w:tc>
              <w:tc>
                <w:tcPr>
                  <w:tcW w:type="dxa" w:w="2150"/>
                </w:tcPr>
                <w:p>
                  <w:pPr>
                    <w:spacing w:before="0" w:after="30"/>
                  </w:pPr>
                  <w:r>
                    <w:rPr>
                      <w:color w:val="1C2730"/>
                      <w:sz w:val="15"/>
                    </w:rPr>
                    <w:t>Clinical context; Administrative email facts (“purpose of the consult”)</w:t>
                  </w:r>
                </w:p>
              </w:tc>
              <w:tc>
                <w:tcPr>
                  <w:tcW w:type="dxa" w:w="2200"/>
                </w:tcPr>
                <w:p>
                  <w:pPr>
                    <w:spacing w:before="0" w:after="30"/>
                  </w:pPr>
                  <w:r>
                    <w:rPr>
                      <w:b/>
                      <w:color w:val="1C2730"/>
                      <w:sz w:val="15"/>
                    </w:rPr>
                    <w:t>Accurate</w:t>
                  </w:r>
                </w:p>
              </w:tc>
            </w:tr>
            <w:tr>
              <w:trPr>
                <w:cantSplit/>
              </w:trPr>
              <w:tc>
                <w:tcPr>
                  <w:tcW w:type="dxa" w:w="300"/>
                  <w:shd w:val="clear" w:color="auto" w:fill="F8FAFB"/>
                </w:tcPr>
                <w:p>
                  <w:pPr>
                    <w:spacing w:before="0" w:after="30"/>
                  </w:pPr>
                  <w:r>
                    <w:rPr>
                      <w:color w:val="1C2730"/>
                      <w:sz w:val="15"/>
                    </w:rPr>
                    <w:t>4</w:t>
                  </w:r>
                </w:p>
              </w:tc>
              <w:tc>
                <w:tcPr>
                  <w:tcW w:type="dxa" w:w="2150"/>
                  <w:shd w:val="clear" w:color="auto" w:fill="F8FAFB"/>
                </w:tcPr>
                <w:p>
                  <w:pPr>
                    <w:spacing w:before="0" w:after="30"/>
                  </w:pPr>
                  <w:r>
                    <w:rPr>
                      <w:color w:val="1C2730"/>
                      <w:sz w:val="15"/>
                    </w:rPr>
                    <w:t>“to share the synthetic case summary we will review”</w:t>
                  </w:r>
                </w:p>
              </w:tc>
              <w:tc>
                <w:tcPr>
                  <w:tcW w:type="dxa" w:w="1300"/>
                  <w:shd w:val="clear" w:color="auto" w:fill="F8FAFB"/>
                </w:tcPr>
                <w:p>
                  <w:pPr>
                    <w:spacing w:before="0" w:after="30"/>
                  </w:pPr>
                  <w:r>
                    <w:rPr>
                      <w:color w:val="1C2730"/>
                      <w:sz w:val="15"/>
                    </w:rPr>
                    <w:t>What is being shared</w:t>
                  </w:r>
                </w:p>
              </w:tc>
              <w:tc>
                <w:tcPr>
                  <w:tcW w:type="dxa" w:w="2150"/>
                  <w:shd w:val="clear" w:color="auto" w:fill="F8FAFB"/>
                </w:tcPr>
                <w:p>
                  <w:pPr>
                    <w:spacing w:before="0" w:after="30"/>
                  </w:pPr>
                  <w:r>
                    <w:rPr>
                      <w:color w:val="1C2730"/>
                      <w:sz w:val="15"/>
                    </w:rPr>
                    <w:t>File; Administrative email facts</w:t>
                  </w:r>
                </w:p>
              </w:tc>
              <w:tc>
                <w:tcPr>
                  <w:tcW w:type="dxa" w:w="2200"/>
                  <w:shd w:val="clear" w:color="auto" w:fill="F8FAFB"/>
                </w:tcPr>
                <w:p>
                  <w:pPr>
                    <w:spacing w:before="0" w:after="30"/>
                  </w:pPr>
                  <w:r>
                    <w:rPr>
                      <w:b/>
                      <w:color w:val="1C2730"/>
                      <w:sz w:val="15"/>
                    </w:rPr>
                    <w:t>Accurate</w:t>
                  </w:r>
                </w:p>
              </w:tc>
            </w:tr>
            <w:tr>
              <w:trPr>
                <w:cantSplit/>
              </w:trPr>
              <w:tc>
                <w:tcPr>
                  <w:tcW w:type="dxa" w:w="300"/>
                </w:tcPr>
                <w:p>
                  <w:pPr>
                    <w:spacing w:before="0" w:after="30"/>
                  </w:pPr>
                  <w:r>
                    <w:rPr>
                      <w:color w:val="1C2730"/>
                      <w:sz w:val="15"/>
                    </w:rPr>
                    <w:t>5</w:t>
                  </w:r>
                </w:p>
              </w:tc>
              <w:tc>
                <w:tcPr>
                  <w:tcW w:type="dxa" w:w="2150"/>
                </w:tcPr>
                <w:p>
                  <w:pPr>
                    <w:spacing w:before="0" w:after="30"/>
                  </w:pPr>
                  <w:r>
                    <w:rPr>
                      <w:color w:val="1C2730"/>
                      <w:sz w:val="15"/>
                    </w:rPr>
                    <w:t>“The approved file is available through the authenticated sharing link prepared for this consultation.”</w:t>
                  </w:r>
                </w:p>
              </w:tc>
              <w:tc>
                <w:tcPr>
                  <w:tcW w:type="dxa" w:w="1300"/>
                </w:tcPr>
                <w:p>
                  <w:pPr>
                    <w:spacing w:before="0" w:after="30"/>
                  </w:pPr>
                  <w:r>
                    <w:rPr>
                      <w:color w:val="1C2730"/>
                      <w:sz w:val="15"/>
                    </w:rPr>
                    <w:t>That an authenticated share already exists</w:t>
                  </w:r>
                </w:p>
              </w:tc>
              <w:tc>
                <w:tcPr>
                  <w:tcW w:type="dxa" w:w="2150"/>
                </w:tcPr>
                <w:p>
                  <w:pPr>
                    <w:spacing w:before="0" w:after="30"/>
                  </w:pPr>
                  <w:r>
                    <w:rPr>
                      <w:color w:val="1C2730"/>
                      <w:sz w:val="15"/>
                    </w:rPr>
                    <w:t>Administrative email facts (“point the colleague to the authorized shared file”)</w:t>
                  </w:r>
                </w:p>
              </w:tc>
              <w:tc>
                <w:tcPr>
                  <w:tcW w:type="dxa" w:w="2200"/>
                </w:tcPr>
                <w:p>
                  <w:pPr>
                    <w:spacing w:before="0" w:after="30"/>
                  </w:pPr>
                  <w:r>
                    <w:rPr>
                      <w:b/>
                      <w:color w:val="1C2730"/>
                      <w:sz w:val="15"/>
                    </w:rPr>
                    <w:t>Uncertain.</w:t>
                  </w:r>
                  <w:r>
                    <w:rPr>
                      <w:color w:val="1C2730"/>
                      <w:sz w:val="15"/>
                    </w:rPr>
                    <w:t xml:space="preserve"> The packet says the file should be shared by the authorized route, but it can't show the share exists. True only after the Manage Access check (see Path 2).</w:t>
                  </w:r>
                </w:p>
              </w:tc>
            </w:tr>
            <w:tr>
              <w:trPr>
                <w:cantSplit/>
              </w:trPr>
              <w:tc>
                <w:tcPr>
                  <w:tcW w:type="dxa" w:w="300"/>
                  <w:shd w:val="clear" w:color="auto" w:fill="F8FAFB"/>
                </w:tcPr>
                <w:p>
                  <w:pPr>
                    <w:spacing w:before="0" w:after="30"/>
                  </w:pPr>
                  <w:r>
                    <w:rPr>
                      <w:color w:val="1C2730"/>
                      <w:sz w:val="15"/>
                    </w:rPr>
                    <w:t>6</w:t>
                  </w:r>
                </w:p>
              </w:tc>
              <w:tc>
                <w:tcPr>
                  <w:tcW w:type="dxa" w:w="2150"/>
                  <w:shd w:val="clear" w:color="auto" w:fill="F8FAFB"/>
                </w:tcPr>
                <w:p>
                  <w:pPr>
                    <w:spacing w:before="0" w:after="30"/>
                  </w:pPr>
                  <w:r>
                    <w:rPr>
                      <w:color w:val="1C2730"/>
                      <w:sz w:val="15"/>
                    </w:rPr>
                    <w:t>“Please review the summary before our discussion … let me know if you need anything”</w:t>
                  </w:r>
                </w:p>
              </w:tc>
              <w:tc>
                <w:tcPr>
                  <w:tcW w:type="dxa" w:w="1300"/>
                  <w:shd w:val="clear" w:color="auto" w:fill="F8FAFB"/>
                </w:tcPr>
                <w:p>
                  <w:pPr>
                    <w:spacing w:before="0" w:after="30"/>
                  </w:pPr>
                  <w:r>
                    <w:rPr>
                      <w:color w:val="1C2730"/>
                      <w:sz w:val="15"/>
                    </w:rPr>
                    <w:t>Request and courtesy</w:t>
                  </w:r>
                </w:p>
              </w:tc>
              <w:tc>
                <w:tcPr>
                  <w:tcW w:type="dxa" w:w="2150"/>
                  <w:shd w:val="clear" w:color="auto" w:fill="F8FAFB"/>
                </w:tcPr>
                <w:p>
                  <w:pPr>
                    <w:spacing w:before="0" w:after="30"/>
                  </w:pPr>
                  <w:r>
                    <w:rPr>
                      <w:color w:val="1C2730"/>
                      <w:sz w:val="15"/>
                    </w:rPr>
                    <w:t>Administrative email facts</w:t>
                  </w:r>
                </w:p>
              </w:tc>
              <w:tc>
                <w:tcPr>
                  <w:tcW w:type="dxa" w:w="2200"/>
                  <w:shd w:val="clear" w:color="auto" w:fill="F8FAFB"/>
                </w:tcPr>
                <w:p>
                  <w:pPr>
                    <w:spacing w:before="0" w:after="30"/>
                  </w:pPr>
                  <w:r>
                    <w:rPr>
                      <w:b/>
                      <w:color w:val="1C2730"/>
                      <w:sz w:val="15"/>
                    </w:rPr>
                    <w:t>Accurate.</w:t>
                  </w:r>
                  <w:r>
                    <w:rPr>
                      <w:color w:val="1C2730"/>
                      <w:sz w:val="15"/>
                    </w:rPr>
                    <w:t xml:space="preserve"> No new fact added.</w:t>
                  </w:r>
                </w:p>
              </w:tc>
            </w:tr>
            <w:tr>
              <w:trPr>
                <w:cantSplit/>
              </w:trPr>
              <w:tc>
                <w:tcPr>
                  <w:tcW w:type="dxa" w:w="300"/>
                </w:tcPr>
                <w:p>
                  <w:pPr>
                    <w:spacing w:before="0" w:after="30"/>
                  </w:pPr>
                  <w:r>
                    <w:rPr>
                      <w:color w:val="1C2730"/>
                      <w:sz w:val="15"/>
                    </w:rPr>
                    <w:t>7</w:t>
                  </w:r>
                </w:p>
              </w:tc>
              <w:tc>
                <w:tcPr>
                  <w:tcW w:type="dxa" w:w="2150"/>
                </w:tcPr>
                <w:p>
                  <w:pPr>
                    <w:spacing w:before="0" w:after="30"/>
                  </w:pPr>
                  <w:r>
                    <w:rPr>
                      <w:color w:val="1C2730"/>
                      <w:sz w:val="15"/>
                    </w:rPr>
                    <w:t>Signature: “Dr. Chen / Family Medicine / Contoso Health”</w:t>
                  </w:r>
                </w:p>
              </w:tc>
              <w:tc>
                <w:tcPr>
                  <w:tcW w:type="dxa" w:w="1300"/>
                </w:tcPr>
                <w:p>
                  <w:pPr>
                    <w:spacing w:before="0" w:after="30"/>
                  </w:pPr>
                  <w:r>
                    <w:rPr>
                      <w:color w:val="1C2730"/>
                      <w:sz w:val="15"/>
                    </w:rPr>
                    <w:t>Sender identity</w:t>
                  </w:r>
                </w:p>
              </w:tc>
              <w:tc>
                <w:tcPr>
                  <w:tcW w:type="dxa" w:w="2150"/>
                </w:tcPr>
                <w:p>
                  <w:pPr>
                    <w:spacing w:before="0" w:after="30"/>
                  </w:pPr>
                  <w:r>
                    <w:rPr>
                      <w:color w:val="1C2730"/>
                      <w:sz w:val="15"/>
                    </w:rPr>
                    <w:t>Clinician; Case brief (“family medicine physician at Contoso Health”)</w:t>
                  </w:r>
                </w:p>
              </w:tc>
              <w:tc>
                <w:tcPr>
                  <w:tcW w:type="dxa" w:w="2200"/>
                </w:tcPr>
                <w:p>
                  <w:pPr>
                    <w:spacing w:before="0" w:after="30"/>
                  </w:pPr>
                  <w:r>
                    <w:rPr>
                      <w:b/>
                      <w:color w:val="1C2730"/>
                      <w:sz w:val="15"/>
                    </w:rPr>
                    <w:t>Accurate</w:t>
                  </w:r>
                  <w:r>
                    <w:rPr>
                      <w:color w:val="1C2730"/>
                      <w:sz w:val="15"/>
                    </w:rPr>
                    <w:t>, but it wasn't in the input context. Dr. Chen confirms her usual signature.</w:t>
                  </w:r>
                </w:p>
              </w:tc>
            </w:tr>
            <w:tr>
              <w:trPr>
                <w:cantSplit/>
              </w:trPr>
              <w:tc>
                <w:tcPr>
                  <w:tcW w:type="dxa" w:w="300"/>
                  <w:shd w:val="clear" w:color="auto" w:fill="F8FAFB"/>
                </w:tcPr>
                <w:p>
                  <w:pPr>
                    <w:spacing w:before="0" w:after="30"/>
                  </w:pPr>
                  <w:r>
                    <w:rPr>
                      <w:color w:val="1C2730"/>
                      <w:sz w:val="15"/>
                    </w:rPr>
                    <w:t>8</w:t>
                  </w:r>
                </w:p>
              </w:tc>
              <w:tc>
                <w:tcPr>
                  <w:tcW w:type="dxa" w:w="2150"/>
                  <w:shd w:val="clear" w:color="auto" w:fill="F8FAFB"/>
                </w:tcPr>
                <w:p>
                  <w:pPr>
                    <w:spacing w:before="0" w:after="30"/>
                  </w:pPr>
                  <w:r>
                    <w:rPr>
                      <w:color w:val="1C2730"/>
                      <w:sz w:val="15"/>
                    </w:rPr>
                    <w:t>Whole draft: omissions</w:t>
                  </w:r>
                </w:p>
              </w:tc>
              <w:tc>
                <w:tcPr>
                  <w:tcW w:type="dxa" w:w="1300"/>
                  <w:shd w:val="clear" w:color="auto" w:fill="F8FAFB"/>
                </w:tcPr>
                <w:p>
                  <w:pPr>
                    <w:spacing w:before="0" w:after="30"/>
                  </w:pPr>
                  <w:r>
                    <w:rPr>
                      <w:color w:val="1C2730"/>
                      <w:sz w:val="15"/>
                    </w:rPr>
                    <w:t>No clinical detail, identifiers, dates or extra facts</w:t>
                  </w:r>
                </w:p>
              </w:tc>
              <w:tc>
                <w:tcPr>
                  <w:tcW w:type="dxa" w:w="2150"/>
                  <w:shd w:val="clear" w:color="auto" w:fill="F8FAFB"/>
                </w:tcPr>
                <w:p>
                  <w:pPr>
                    <w:spacing w:before="0" w:after="30"/>
                  </w:pPr>
                  <w:r>
                    <w:rPr>
                      <w:color w:val="1C2730"/>
                      <w:sz w:val="15"/>
                    </w:rPr>
                    <w:t>Synthetic source summary; Administrative email facts (“should not add facts”)</w:t>
                  </w:r>
                </w:p>
              </w:tc>
              <w:tc>
                <w:tcPr>
                  <w:tcW w:type="dxa" w:w="2200"/>
                  <w:shd w:val="clear" w:color="auto" w:fill="F8FAFB"/>
                </w:tcPr>
                <w:p>
                  <w:pPr>
                    <w:spacing w:before="0" w:after="30"/>
                  </w:pPr>
                  <w:r>
                    <w:rPr>
                      <w:b/>
                      <w:color w:val="1C2730"/>
                      <w:sz w:val="15"/>
                    </w:rPr>
                    <w:t>Accurate</w:t>
                  </w:r>
                </w:p>
              </w:tc>
            </w:tr>
            <w:tr>
              <w:trPr>
                <w:cantSplit/>
              </w:trPr>
              <w:tc>
                <w:tcPr>
                  <w:tcW w:type="dxa" w:w="300"/>
                </w:tcPr>
                <w:p>
                  <w:pPr>
                    <w:spacing w:before="0" w:after="30"/>
                  </w:pPr>
                  <w:r>
                    <w:rPr>
                      <w:color w:val="1C2730"/>
                      <w:sz w:val="15"/>
                    </w:rPr>
                    <w:t>9</w:t>
                  </w:r>
                </w:p>
              </w:tc>
              <w:tc>
                <w:tcPr>
                  <w:tcW w:type="dxa" w:w="2150"/>
                </w:tcPr>
                <w:p>
                  <w:pPr>
                    <w:spacing w:before="0" w:after="30"/>
                  </w:pPr>
                  <w:r>
                    <w:rPr>
                      <w:color w:val="1C2730"/>
                      <w:sz w:val="15"/>
                    </w:rPr>
                    <w:t>Clinical accuracy</w:t>
                  </w:r>
                </w:p>
              </w:tc>
              <w:tc>
                <w:tcPr>
                  <w:tcW w:type="dxa" w:w="1300"/>
                </w:tcPr>
                <w:p>
                  <w:pPr>
                    <w:spacing w:before="0" w:after="30"/>
                  </w:pPr>
                  <w:r>
                    <w:rPr>
                      <w:color w:val="1C2730"/>
                      <w:sz w:val="15"/>
                    </w:rPr>
                    <w:t>n/a</w:t>
                  </w:r>
                </w:p>
              </w:tc>
              <w:tc>
                <w:tcPr>
                  <w:tcW w:type="dxa" w:w="2150"/>
                </w:tcPr>
                <w:p>
                  <w:pPr>
                    <w:spacing w:before="0" w:after="30"/>
                  </w:pPr>
                  <w:r>
                    <w:rPr>
                      <w:color w:val="1C2730"/>
                      <w:sz w:val="15"/>
                    </w:rPr>
                    <w:t>No clinical content requested or present</w:t>
                  </w:r>
                </w:p>
              </w:tc>
              <w:tc>
                <w:tcPr>
                  <w:tcW w:type="dxa" w:w="2200"/>
                </w:tcPr>
                <w:p>
                  <w:pPr>
                    <w:spacing w:before="0" w:after="30"/>
                  </w:pPr>
                  <w:r>
                    <w:rPr>
                      <w:b/>
                      <w:color w:val="1C2730"/>
                      <w:sz w:val="15"/>
                    </w:rPr>
                    <w:t>Not assessed.</w:t>
                  </w:r>
                  <w:r>
                    <w:rPr>
                      <w:color w:val="1C2730"/>
                      <w:sz w:val="15"/>
                    </w:rPr>
                    <w:t xml:space="preserve"> Copilot gets no credit for clinical accuracy (Mock Output, assessment flag 4).</w:t>
                  </w:r>
                </w:p>
              </w:tc>
            </w:tr>
          </w:tbl>
          <w:p>
            <w:pPr>
              <w:spacing w:before="0" w:after="0"/>
              <w:rPr>
                <w:sz w:val="8"/>
              </w:rPr>
            </w:pPr>
          </w:p>
        </w:tc>
      </w:tr>
      <w:tr>
        <w:tc>
          <w:tcPr>
            <w:tcW w:type="dxa" w:w="1900"/>
            <w:tcBorders>
              <w:bottom w:val="single" w:sz="6" w:color="D8E0E4"/>
            </w:tcBorders>
            <w:tcMar>
              <w:top w:w="90" w:type="dxa"/>
              <w:start w:w="100" w:type="dxa"/>
              <w:bottom w:w="90" w:type="dxa"/>
              <w:end w:w="100" w:type="dxa"/>
            </w:tcMar>
            <w:vAlign w:val="top"/>
          </w:tcPr>
          <w:p>
            <w:pPr>
              <w:spacing w:after="40"/>
            </w:pPr>
            <w:r>
              <w:rPr>
                <w:sz w:val="17"/>
              </w:rPr>
              <w:t>Policy / KB verification</w:t>
            </w:r>
          </w:p>
        </w:tc>
        <w:tc>
          <w:tcPr>
            <w:tcW w:type="dxa" w:w="8324"/>
            <w:tcBorders>
              <w:bottom w:val="single" w:sz="6" w:color="D8E0E4"/>
            </w:tcBorders>
            <w:tcMar>
              <w:top w:w="90" w:type="dxa"/>
              <w:start w:w="100" w:type="dxa"/>
              <w:bottom w:w="90" w:type="dxa"/>
              <w:end w:w="100" w:type="dxa"/>
            </w:tcMar>
            <w:vAlign w:val="top"/>
          </w:tcPr>
          <w:p>
            <w:pPr>
              <w:spacing w:before="0" w:after="80"/>
            </w:pPr>
            <w:r>
              <w:rPr>
                <w:b/>
                <w:color w:val="1C2730"/>
                <w:sz w:val="17"/>
              </w:rPr>
              <w:t>Path 2: workflow and policy claims.</w:t>
            </w:r>
            <w:r>
              <w:rPr>
                <w:color w:val="1C2730"/>
                <w:sz w:val="17"/>
              </w:rPr>
              <w:t xml:space="preserve"> The same output was checked against the </w:t>
            </w:r>
            <w:r>
              <w:rPr>
                <w:b/>
                <w:color w:val="1C2730"/>
                <w:sz w:val="17"/>
              </w:rPr>
              <w:t>Mock Internal Knowledge Base Article Set</w:t>
            </w:r>
            <w:r>
              <w:rPr>
                <w:color w:val="1C2730"/>
                <w:sz w:val="17"/>
              </w:rPr>
              <w:t>. Outcomes: Corroborated / Contradicted / Not addressed.</w:t>
            </w:r>
          </w:p>
          <w:tbl>
            <w:tblPr>
              <w:tblW w:w="8100" w:type="dxa"/>
              <w:tblBorders>
                <w:top w:val="single" w:sz="4" w:space="0" w:color="D8E0E4"/>
                <w:left w:val="single" w:sz="4" w:space="0" w:color="D8E0E4"/>
                <w:bottom w:val="single" w:sz="4" w:space="0" w:color="D8E0E4"/>
                <w:right w:val="single" w:sz="4" w:space="0" w:color="D8E0E4"/>
                <w:insideH w:val="single" w:sz="4" w:space="0" w:color="D8E0E4"/>
                <w:insideV w:val="single" w:sz="4" w:space="0" w:color="D8E0E4"/>
              </w:tblBorders>
              <w:tblLayout w:type="fixed"/>
              <w:tblCellMar>
                <w:top w:w="45" w:type="dxa"/>
                <w:left w:w="80" w:type="dxa"/>
                <w:bottom w:w="45" w:type="dxa"/>
                <w:right w:w="80" w:type="dxa"/>
              </w:tblCellMar>
              <w:tblLook w:firstColumn="1" w:firstRow="1" w:lastColumn="0" w:lastRow="0" w:noHBand="0" w:noVBand="1" w:val="04A0"/>
            </w:tblPr>
            <w:tblGrid>
              <w:gridCol w:w="300"/>
              <w:gridCol w:w="1850"/>
              <w:gridCol w:w="2150"/>
              <w:gridCol w:w="2150"/>
              <w:gridCol w:w="1650"/>
            </w:tblGrid>
            <w:tr>
              <w:trPr>
                <w:tblHeader/>
                <w:cantSplit/>
              </w:trPr>
              <w:tc>
                <w:tcPr>
                  <w:tcW w:type="dxa" w:w="300"/>
                  <w:shd w:val="clear" w:color="auto" w:fill="17324D"/>
                </w:tcPr>
                <w:p>
                  <w:pPr>
                    <w:keepNext/>
                    <w:spacing w:before="0" w:after="30"/>
                  </w:pPr>
                  <w:r>
                    <w:rPr>
                      <w:b/>
                      <w:color w:val="FFFFFF"/>
                      <w:sz w:val="15"/>
                    </w:rPr>
                    <w:t>#</w:t>
                  </w:r>
                </w:p>
              </w:tc>
              <w:tc>
                <w:tcPr>
                  <w:tcW w:type="dxa" w:w="1850"/>
                  <w:shd w:val="clear" w:color="auto" w:fill="17324D"/>
                </w:tcPr>
                <w:p>
                  <w:pPr>
                    <w:keepNext/>
                    <w:spacing w:before="0" w:after="30"/>
                  </w:pPr>
                  <w:r>
                    <w:rPr>
                      <w:b/>
                      <w:color w:val="FFFFFF"/>
                      <w:sz w:val="15"/>
                    </w:rPr>
                    <w:t>Claim or behavior in the output</w:t>
                  </w:r>
                </w:p>
              </w:tc>
              <w:tc>
                <w:tcPr>
                  <w:tcW w:type="dxa" w:w="2150"/>
                  <w:shd w:val="clear" w:color="auto" w:fill="17324D"/>
                </w:tcPr>
                <w:p>
                  <w:pPr>
                    <w:keepNext/>
                    <w:spacing w:before="0" w:after="30"/>
                  </w:pPr>
                  <w:r>
                    <w:rPr>
                      <w:b/>
                      <w:color w:val="FFFFFF"/>
                      <w:sz w:val="15"/>
                    </w:rPr>
                    <w:t>KB article checked</w:t>
                  </w:r>
                </w:p>
              </w:tc>
              <w:tc>
                <w:tcPr>
                  <w:tcW w:type="dxa" w:w="2150"/>
                  <w:shd w:val="clear" w:color="auto" w:fill="17324D"/>
                </w:tcPr>
                <w:p>
                  <w:pPr>
                    <w:keepNext/>
                    <w:spacing w:before="0" w:after="30"/>
                  </w:pPr>
                  <w:r>
                    <w:rPr>
                      <w:b/>
                      <w:color w:val="FFFFFF"/>
                      <w:sz w:val="15"/>
                    </w:rPr>
                    <w:t>Outcome</w:t>
                  </w:r>
                </w:p>
              </w:tc>
              <w:tc>
                <w:tcPr>
                  <w:tcW w:type="dxa" w:w="1650"/>
                  <w:shd w:val="clear" w:color="auto" w:fill="17324D"/>
                </w:tcPr>
                <w:p>
                  <w:pPr>
                    <w:keepNext/>
                    <w:spacing w:before="0" w:after="30"/>
                  </w:pPr>
                  <w:r>
                    <w:rPr>
                      <w:b/>
                      <w:color w:val="FFFFFF"/>
                      <w:sz w:val="15"/>
                    </w:rPr>
                    <w:t>What Dr. Chen does</w:t>
                  </w:r>
                </w:p>
              </w:tc>
            </w:tr>
            <w:tr>
              <w:tc>
                <w:tcPr>
                  <w:tcW w:type="dxa" w:w="300"/>
                </w:tcPr>
                <w:p>
                  <w:pPr>
                    <w:spacing w:before="0" w:after="30"/>
                  </w:pPr>
                  <w:r>
                    <w:rPr>
                      <w:color w:val="1C2730"/>
                      <w:sz w:val="15"/>
                    </w:rPr>
                    <w:t>1</w:t>
                  </w:r>
                </w:p>
              </w:tc>
              <w:tc>
                <w:tcPr>
                  <w:tcW w:type="dxa" w:w="1850"/>
                </w:tcPr>
                <w:p>
                  <w:pPr>
                    <w:spacing w:before="0" w:after="30"/>
                  </w:pPr>
                  <w:r>
                    <w:rPr>
                      <w:color w:val="1C2730"/>
                      <w:sz w:val="15"/>
                    </w:rPr>
                    <w:t>“authenticated sharing link” (workflow claim)</w:t>
                  </w:r>
                </w:p>
              </w:tc>
              <w:tc>
                <w:tcPr>
                  <w:tcW w:type="dxa" w:w="2150"/>
                </w:tcPr>
                <w:p>
                  <w:pPr>
                    <w:spacing w:before="0" w:after="30"/>
                  </w:pPr>
                  <w:r>
                    <w:rPr>
                      <w:b/>
                      <w:color w:val="1C2730"/>
                      <w:sz w:val="15"/>
                    </w:rPr>
                    <w:t>KB-410</w:t>
                  </w:r>
                  <w:r>
                    <w:rPr>
                      <w:color w:val="1C2730"/>
                      <w:sz w:val="15"/>
                    </w:rPr>
                    <w:t xml:space="preserve"> bullets 1–2: authenticated recipient-specific sharing; no Anyone links. Fact Sheet › External sharing.</w:t>
                  </w:r>
                </w:p>
              </w:tc>
              <w:tc>
                <w:tcPr>
                  <w:tcW w:type="dxa" w:w="2150"/>
                </w:tcPr>
                <w:p>
                  <w:pPr>
                    <w:spacing w:before="0" w:after="30"/>
                  </w:pPr>
                  <w:r>
                    <w:rPr>
                      <w:b/>
                      <w:color w:val="1C2730"/>
                      <w:sz w:val="15"/>
                    </w:rPr>
                    <w:t>Corroborated</w:t>
                  </w:r>
                  <w:r>
                    <w:rPr>
                      <w:color w:val="1C2730"/>
                      <w:sz w:val="15"/>
                    </w:rPr>
                    <w:t xml:space="preserve"> as the approved pattern. But the output can't prove the link exists, and “authenticated” is less specific than “recipient-specific.”</w:t>
                  </w:r>
                </w:p>
              </w:tc>
              <w:tc>
                <w:tcPr>
                  <w:tcW w:type="dxa" w:w="1650"/>
                </w:tcPr>
                <w:p>
                  <w:pPr>
                    <w:spacing w:before="0" w:after="30"/>
                  </w:pPr>
                  <w:r>
                    <w:rPr>
                      <w:color w:val="1C2730"/>
                      <w:sz w:val="15"/>
                    </w:rPr>
                    <w:t>Keep the sentence only after Manage Access shows the colleague by name, with no Anyone link.</w:t>
                  </w:r>
                </w:p>
              </w:tc>
            </w:tr>
            <w:tr>
              <w:trPr>
                <w:cantSplit/>
              </w:trPr>
              <w:tc>
                <w:tcPr>
                  <w:tcW w:type="dxa" w:w="300"/>
                  <w:shd w:val="clear" w:color="auto" w:fill="F8FAFB"/>
                </w:tcPr>
                <w:p>
                  <w:pPr>
                    <w:spacing w:before="0" w:after="30"/>
                  </w:pPr>
                  <w:r>
                    <w:rPr>
                      <w:color w:val="1C2730"/>
                      <w:sz w:val="15"/>
                    </w:rPr>
                    <w:t>2</w:t>
                  </w:r>
                </w:p>
              </w:tc>
              <w:tc>
                <w:tcPr>
                  <w:tcW w:type="dxa" w:w="1850"/>
                  <w:shd w:val="clear" w:color="auto" w:fill="F8FAFB"/>
                </w:tcPr>
                <w:p>
                  <w:pPr>
                    <w:spacing w:before="0" w:after="30"/>
                  </w:pPr>
                  <w:r>
                    <w:rPr>
                      <w:color w:val="1C2730"/>
                      <w:sz w:val="15"/>
                    </w:rPr>
                    <w:t>“The approved file … prepared for this consultation” (status claim)</w:t>
                  </w:r>
                </w:p>
              </w:tc>
              <w:tc>
                <w:tcPr>
                  <w:tcW w:type="dxa" w:w="2150"/>
                  <w:shd w:val="clear" w:color="auto" w:fill="F8FAFB"/>
                </w:tcPr>
                <w:p>
                  <w:pPr>
                    <w:spacing w:before="0" w:after="30"/>
                  </w:pPr>
                  <w:r>
                    <w:rPr>
                      <w:b/>
                      <w:color w:val="1C2730"/>
                      <w:sz w:val="15"/>
                    </w:rPr>
                    <w:t>KB-431</w:t>
                  </w:r>
                  <w:r>
                    <w:rPr>
                      <w:color w:val="1C2730"/>
                      <w:sz w:val="15"/>
                    </w:rPr>
                    <w:t xml:space="preserve"> bullets 2 and 4 (no disclosure decisions; check workflow statements); KB-410 bullet 3</w:t>
                  </w:r>
                </w:p>
              </w:tc>
              <w:tc>
                <w:tcPr>
                  <w:tcW w:type="dxa" w:w="2150"/>
                  <w:shd w:val="clear" w:color="auto" w:fill="F8FAFB"/>
                </w:tcPr>
                <w:p>
                  <w:pPr>
                    <w:spacing w:before="0" w:after="30"/>
                  </w:pPr>
                  <w:r>
                    <w:rPr>
                      <w:b/>
                      <w:color w:val="1C2730"/>
                      <w:sz w:val="15"/>
                    </w:rPr>
                    <w:t>Not addressed.</w:t>
                  </w:r>
                  <w:r>
                    <w:rPr>
                      <w:color w:val="1C2730"/>
                      <w:sz w:val="15"/>
                    </w:rPr>
                    <w:t xml:space="preserve"> No KB article can confirm that this file was approved for this recipient; only Dr. Chen's approved request can.</w:t>
                  </w:r>
                </w:p>
              </w:tc>
              <w:tc>
                <w:tcPr>
                  <w:tcW w:type="dxa" w:w="1650"/>
                  <w:shd w:val="clear" w:color="auto" w:fill="F8FAFB"/>
                </w:tcPr>
                <w:p>
                  <w:pPr>
                    <w:spacing w:before="0" w:after="30"/>
                  </w:pPr>
                  <w:r>
                    <w:rPr>
                      <w:color w:val="1C2730"/>
                      <w:sz w:val="15"/>
                    </w:rPr>
                    <w:t>Confirms it is true before sending, or deletes “approved.”</w:t>
                  </w:r>
                </w:p>
              </w:tc>
            </w:tr>
            <w:tr>
              <w:trPr>
                <w:cantSplit/>
              </w:trPr>
              <w:tc>
                <w:tcPr>
                  <w:tcW w:type="dxa" w:w="300"/>
                </w:tcPr>
                <w:p>
                  <w:pPr>
                    <w:spacing w:before="0" w:after="30"/>
                  </w:pPr>
                  <w:r>
                    <w:rPr>
                      <w:color w:val="1C2730"/>
                      <w:sz w:val="15"/>
                    </w:rPr>
                    <w:t>3</w:t>
                  </w:r>
                </w:p>
              </w:tc>
              <w:tc>
                <w:tcPr>
                  <w:tcW w:type="dxa" w:w="1850"/>
                </w:tcPr>
                <w:p>
                  <w:pPr>
                    <w:spacing w:before="0" w:after="30"/>
                  </w:pPr>
                  <w:r>
                    <w:rPr>
                      <w:color w:val="1C2730"/>
                      <w:sz w:val="15"/>
                    </w:rPr>
                    <w:t>Generic recipient: “Colleague at Partner Clinic”</w:t>
                  </w:r>
                </w:p>
              </w:tc>
              <w:tc>
                <w:tcPr>
                  <w:tcW w:type="dxa" w:w="2150"/>
                </w:tcPr>
                <w:p>
                  <w:pPr>
                    <w:spacing w:before="0" w:after="30"/>
                  </w:pPr>
                  <w:r>
                    <w:rPr>
                      <w:b/>
                      <w:color w:val="1C2730"/>
                      <w:sz w:val="15"/>
                    </w:rPr>
                    <w:t>KB-422</w:t>
                  </w:r>
                  <w:r>
                    <w:rPr>
                      <w:color w:val="1C2730"/>
                      <w:sz w:val="15"/>
                    </w:rPr>
                    <w:t xml:space="preserve"> bullet 3: use the authenticated identity from the approved request; do not invent a recipient</w:t>
                  </w:r>
                </w:p>
              </w:tc>
              <w:tc>
                <w:tcPr>
                  <w:tcW w:type="dxa" w:w="2150"/>
                </w:tcPr>
                <w:p>
                  <w:pPr>
                    <w:spacing w:before="0" w:after="30"/>
                  </w:pPr>
                  <w:r>
                    <w:rPr>
                      <w:b/>
                      <w:color w:val="1C2730"/>
                      <w:sz w:val="15"/>
                    </w:rPr>
                    <w:t>Contradicted.</w:t>
                  </w:r>
                  <w:r>
                    <w:rPr>
                      <w:color w:val="1C2730"/>
                      <w:sz w:val="15"/>
                    </w:rPr>
                    <w:t xml:space="preserve"> A generic stand-in is used instead of the authenticated identity.</w:t>
                  </w:r>
                </w:p>
              </w:tc>
              <w:tc>
                <w:tcPr>
                  <w:tcW w:type="dxa" w:w="1650"/>
                </w:tcPr>
                <w:p>
                  <w:pPr>
                    <w:spacing w:before="0" w:after="30"/>
                  </w:pPr>
                  <w:r>
                    <w:rPr>
                      <w:color w:val="1C2730"/>
                      <w:sz w:val="15"/>
                    </w:rPr>
                    <w:t>Replaces it with the colleague named in the request.</w:t>
                  </w:r>
                </w:p>
              </w:tc>
            </w:tr>
            <w:tr>
              <w:trPr>
                <w:cantSplit/>
              </w:trPr>
              <w:tc>
                <w:tcPr>
                  <w:tcW w:type="dxa" w:w="300"/>
                  <w:shd w:val="clear" w:color="auto" w:fill="F8FAFB"/>
                </w:tcPr>
                <w:p>
                  <w:pPr>
                    <w:spacing w:before="0" w:after="30"/>
                  </w:pPr>
                  <w:r>
                    <w:rPr>
                      <w:color w:val="1C2730"/>
                      <w:sz w:val="15"/>
                    </w:rPr>
                    <w:t>4</w:t>
                  </w:r>
                </w:p>
              </w:tc>
              <w:tc>
                <w:tcPr>
                  <w:tcW w:type="dxa" w:w="1850"/>
                  <w:shd w:val="clear" w:color="auto" w:fill="F8FAFB"/>
                </w:tcPr>
                <w:p>
                  <w:pPr>
                    <w:spacing w:before="0" w:after="30"/>
                  </w:pPr>
                  <w:r>
                    <w:rPr>
                      <w:color w:val="1C2730"/>
                      <w:sz w:val="15"/>
                    </w:rPr>
                    <w:t>Recipient authorization</w:t>
                  </w:r>
                </w:p>
              </w:tc>
              <w:tc>
                <w:tcPr>
                  <w:tcW w:type="dxa" w:w="2150"/>
                  <w:shd w:val="clear" w:color="auto" w:fill="F8FAFB"/>
                </w:tcPr>
                <w:p>
                  <w:pPr>
                    <w:spacing w:before="0" w:after="30"/>
                  </w:pPr>
                  <w:r>
                    <w:rPr>
                      <w:b/>
                      <w:color w:val="1C2730"/>
                      <w:sz w:val="15"/>
                    </w:rPr>
                    <w:t>KB-431</w:t>
                  </w:r>
                  <w:r>
                    <w:rPr>
                      <w:color w:val="1C2730"/>
                      <w:sz w:val="15"/>
                    </w:rPr>
                    <w:t xml:space="preserve"> bullet 2; KB-410 bullet 3</w:t>
                  </w:r>
                </w:p>
              </w:tc>
              <w:tc>
                <w:tcPr>
                  <w:tcW w:type="dxa" w:w="2150"/>
                  <w:shd w:val="clear" w:color="auto" w:fill="F8FAFB"/>
                </w:tcPr>
                <w:p>
                  <w:pPr>
                    <w:spacing w:before="0" w:after="30"/>
                  </w:pPr>
                  <w:r>
                    <w:rPr>
                      <w:b/>
                      <w:color w:val="1C2730"/>
                      <w:sz w:val="15"/>
                    </w:rPr>
                    <w:t>Not addressed</w:t>
                  </w:r>
                  <w:r>
                    <w:rPr>
                      <w:color w:val="1C2730"/>
                      <w:sz w:val="15"/>
                    </w:rPr>
                    <w:t>, correctly: the draft makes no authorization claim (Mock Output, flag 2).</w:t>
                  </w:r>
                </w:p>
              </w:tc>
              <w:tc>
                <w:tcPr>
                  <w:tcW w:type="dxa" w:w="1650"/>
                  <w:shd w:val="clear" w:color="auto" w:fill="F8FAFB"/>
                </w:tcPr>
                <w:p>
                  <w:pPr>
                    <w:spacing w:before="0" w:after="30"/>
                  </w:pPr>
                  <w:r>
                    <w:rPr>
                      <w:color w:val="1C2730"/>
                      <w:sz w:val="15"/>
                    </w:rPr>
                    <w:t>Keeps the recipient check (guide steps 6, 16 and 19).</w:t>
                  </w:r>
                </w:p>
              </w:tc>
            </w:tr>
            <w:tr>
              <w:trPr>
                <w:cantSplit/>
              </w:trPr>
              <w:tc>
                <w:tcPr>
                  <w:tcW w:type="dxa" w:w="300"/>
                </w:tcPr>
                <w:p>
                  <w:pPr>
                    <w:spacing w:before="0" w:after="30"/>
                  </w:pPr>
                  <w:r>
                    <w:rPr>
                      <w:color w:val="1C2730"/>
                      <w:sz w:val="15"/>
                    </w:rPr>
                    <w:t>5</w:t>
                  </w:r>
                </w:p>
              </w:tc>
              <w:tc>
                <w:tcPr>
                  <w:tcW w:type="dxa" w:w="1850"/>
                </w:tcPr>
                <w:p>
                  <w:pPr>
                    <w:spacing w:before="0" w:after="30"/>
                  </w:pPr>
                  <w:r>
                    <w:rPr>
                      <w:color w:val="1C2730"/>
                      <w:sz w:val="15"/>
                    </w:rPr>
                    <w:t>Scope and tone: concise, no clinical detail</w:t>
                  </w:r>
                </w:p>
              </w:tc>
              <w:tc>
                <w:tcPr>
                  <w:tcW w:type="dxa" w:w="2150"/>
                </w:tcPr>
                <w:p>
                  <w:pPr>
                    <w:spacing w:before="0" w:after="30"/>
                  </w:pPr>
                  <w:r>
                    <w:rPr>
                      <w:b/>
                      <w:color w:val="1C2730"/>
                      <w:sz w:val="15"/>
                    </w:rPr>
                    <w:t>KB-422</w:t>
                  </w:r>
                  <w:r>
                    <w:rPr>
                      <w:color w:val="1C2730"/>
                      <w:sz w:val="15"/>
                    </w:rPr>
                    <w:t xml:space="preserve"> bullets 1–2; KB-431 bullet 2</w:t>
                  </w:r>
                </w:p>
              </w:tc>
              <w:tc>
                <w:tcPr>
                  <w:tcW w:type="dxa" w:w="2150"/>
                </w:tcPr>
                <w:p>
                  <w:pPr>
                    <w:spacing w:before="0" w:after="30"/>
                  </w:pPr>
                  <w:r>
                    <w:rPr>
                      <w:b/>
                      <w:color w:val="1C2730"/>
                      <w:sz w:val="15"/>
                    </w:rPr>
                    <w:t>Corroborated</w:t>
                  </w:r>
                </w:p>
              </w:tc>
              <w:tc>
                <w:tcPr>
                  <w:tcW w:type="dxa" w:w="1650"/>
                </w:tcPr>
                <w:p>
                  <w:pPr>
                    <w:spacing w:before="0" w:after="30"/>
                  </w:pPr>
                  <w:r>
                    <w:rPr>
                      <w:color w:val="1C2730"/>
                      <w:sz w:val="15"/>
                    </w:rPr>
                    <w:t>Nothing further.</w:t>
                  </w:r>
                </w:p>
              </w:tc>
            </w:tr>
            <w:tr>
              <w:trPr>
                <w:cantSplit/>
              </w:trPr>
              <w:tc>
                <w:tcPr>
                  <w:tcW w:type="dxa" w:w="300"/>
                  <w:shd w:val="clear" w:color="auto" w:fill="F8FAFB"/>
                </w:tcPr>
                <w:p>
                  <w:pPr>
                    <w:spacing w:before="0" w:after="30"/>
                  </w:pPr>
                  <w:r>
                    <w:rPr>
                      <w:color w:val="1C2730"/>
                      <w:sz w:val="15"/>
                    </w:rPr>
                    <w:t>6</w:t>
                  </w:r>
                </w:p>
              </w:tc>
              <w:tc>
                <w:tcPr>
                  <w:tcW w:type="dxa" w:w="1850"/>
                  <w:shd w:val="clear" w:color="auto" w:fill="F8FAFB"/>
                </w:tcPr>
                <w:p>
                  <w:pPr>
                    <w:spacing w:before="0" w:after="30"/>
                  </w:pPr>
                  <w:r>
                    <w:rPr>
                      <w:color w:val="1C2730"/>
                      <w:sz w:val="15"/>
                    </w:rPr>
                    <w:t>Draft only, not sent; needs human review</w:t>
                  </w:r>
                </w:p>
              </w:tc>
              <w:tc>
                <w:tcPr>
                  <w:tcW w:type="dxa" w:w="2150"/>
                  <w:shd w:val="clear" w:color="auto" w:fill="F8FAFB"/>
                </w:tcPr>
                <w:p>
                  <w:pPr>
                    <w:spacing w:before="0" w:after="30"/>
                  </w:pPr>
                  <w:r>
                    <w:rPr>
                      <w:b/>
                      <w:color w:val="1C2730"/>
                      <w:sz w:val="15"/>
                    </w:rPr>
                    <w:t>KB-431</w:t>
                  </w:r>
                  <w:r>
                    <w:rPr>
                      <w:color w:val="1C2730"/>
                      <w:sz w:val="15"/>
                    </w:rPr>
                    <w:t xml:space="preserve"> bullet 3; KB-422 bullet 4</w:t>
                  </w:r>
                </w:p>
              </w:tc>
              <w:tc>
                <w:tcPr>
                  <w:tcW w:type="dxa" w:w="2150"/>
                  <w:shd w:val="clear" w:color="auto" w:fill="F8FAFB"/>
                </w:tcPr>
                <w:p>
                  <w:pPr>
                    <w:spacing w:before="0" w:after="30"/>
                  </w:pPr>
                  <w:r>
                    <w:rPr>
                      <w:b/>
                      <w:color w:val="1C2730"/>
                      <w:sz w:val="15"/>
                    </w:rPr>
                    <w:t>Corroborated.</w:t>
                  </w:r>
                  <w:r>
                    <w:rPr>
                      <w:color w:val="1C2730"/>
                      <w:sz w:val="15"/>
                    </w:rPr>
                    <w:t xml:space="preserve"> The output is a draft only.</w:t>
                  </w:r>
                </w:p>
              </w:tc>
              <w:tc>
                <w:tcPr>
                  <w:tcW w:type="dxa" w:w="1650"/>
                  <w:shd w:val="clear" w:color="auto" w:fill="F8FAFB"/>
                </w:tcPr>
                <w:p>
                  <w:pPr>
                    <w:spacing w:before="0" w:after="30"/>
                  </w:pPr>
                  <w:r>
                    <w:rPr>
                      <w:color w:val="1C2730"/>
                      <w:sz w:val="15"/>
                    </w:rPr>
                    <w:t>Reviews and sends it herself.</w:t>
                  </w:r>
                </w:p>
              </w:tc>
            </w:tr>
          </w:tbl>
          <w:p>
            <w:pPr>
              <w:spacing w:before="0" w:after="0"/>
              <w:rPr>
                <w:sz w:val="8"/>
              </w:rPr>
            </w:pPr>
          </w:p>
        </w:tc>
      </w:tr>
      <w:tr>
        <w:tc>
          <w:tcPr>
            <w:tcW w:type="dxa" w:w="1900"/>
            <w:tcBorders>
              <w:bottom w:val="single" w:sz="6" w:color="D8E0E4"/>
            </w:tcBorders>
            <w:shd w:fill="F8FAFB"/>
            <w:tcMar>
              <w:top w:w="90" w:type="dxa"/>
              <w:start w:w="100" w:type="dxa"/>
              <w:bottom w:w="90" w:type="dxa"/>
              <w:end w:w="100" w:type="dxa"/>
            </w:tcMar>
            <w:vAlign w:val="top"/>
          </w:tcPr>
          <w:p>
            <w:pPr>
              <w:spacing w:after="40"/>
            </w:pPr>
            <w:r>
              <w:rPr>
                <w:sz w:val="17"/>
              </w:rPr>
              <w:t>Final verification decision</w:t>
            </w:r>
          </w:p>
        </w:tc>
        <w:tc>
          <w:tcPr>
            <w:tcW w:type="dxa" w:w="8324"/>
            <w:tcBorders>
              <w:bottom w:val="single" w:sz="6" w:color="D8E0E4"/>
            </w:tcBorders>
            <w:shd w:fill="F8FAFB"/>
            <w:tcMar>
              <w:top w:w="90" w:type="dxa"/>
              <w:start w:w="100" w:type="dxa"/>
              <w:bottom w:w="90" w:type="dxa"/>
              <w:end w:w="100" w:type="dxa"/>
            </w:tcMar>
            <w:vAlign w:val="top"/>
          </w:tcPr>
          <w:p>
            <w:pPr>
              <w:spacing w:before="0" w:after="60"/>
            </w:pPr>
            <w:r>
              <w:rPr>
                <w:b/>
                <w:color w:val="17324D"/>
                <w:sz w:val="18"/>
              </w:rPr>
              <w:t>Decision: usable as a draft after clinician edits. Not to be sent as-is.</w:t>
            </w:r>
          </w:p>
          <w:p>
            <w:pPr>
              <w:spacing w:before="0" w:after="60"/>
            </w:pPr>
            <w:r>
              <w:rPr>
                <w:color w:val="1C2730"/>
                <w:sz w:val="17"/>
              </w:rPr>
              <w:t>No inaccurate facts and no clinical content were found. Two items need Dr. Chen's action before Send:</w:t>
            </w:r>
          </w:p>
          <w:p>
            <w:pPr>
              <w:spacing w:before="0" w:after="40"/>
              <w:ind w:left="300" w:hanging="300"/>
            </w:pPr>
            <w:r>
              <w:rPr>
                <w:b/>
                <w:color w:val="17324D"/>
                <w:sz w:val="17"/>
              </w:rPr>
              <w:t>1.</w:t>
            </w:r>
            <w:r>
              <w:rPr>
                <w:color w:val="17324D"/>
                <w:sz w:val="17"/>
              </w:rPr>
              <w:t xml:space="preserve"> </w:t>
            </w:r>
            <w:r>
              <w:rPr>
                <w:color w:val="1C2730"/>
                <w:sz w:val="17"/>
              </w:rPr>
              <w:t>Replace the generic greeting with the authenticated colleague named in the approved request (KB-422 bullet 3).</w:t>
            </w:r>
          </w:p>
          <w:p>
            <w:pPr>
              <w:spacing w:before="0" w:after="40"/>
              <w:ind w:left="300" w:hanging="300"/>
            </w:pPr>
            <w:r>
              <w:rPr>
                <w:b/>
                <w:color w:val="17324D"/>
                <w:sz w:val="17"/>
              </w:rPr>
              <w:t>2.</w:t>
            </w:r>
            <w:r>
              <w:rPr>
                <w:color w:val="17324D"/>
                <w:sz w:val="17"/>
              </w:rPr>
              <w:t xml:space="preserve"> </w:t>
            </w:r>
            <w:r>
              <w:rPr>
                <w:color w:val="1C2730"/>
                <w:sz w:val="17"/>
              </w:rPr>
              <w:t>Keep the “authenticated sharing link” sentence only after Manage Access shows that colleague with Can view and no Anyone link, and paste the link herself (KB-410 bullets 1–2). Confirm “approved” is true for her request, or remove it.</w:t>
            </w:r>
          </w:p>
          <w:p>
            <w:pPr>
              <w:spacing w:before="40" w:after="60"/>
            </w:pPr>
            <w:r>
              <w:rPr>
                <w:color w:val="1C2730"/>
                <w:sz w:val="17"/>
              </w:rPr>
              <w:t>She also confirms the signature block. Final review and Send stay with Dr. Chen (KB-422 bullet 4; KB-431 bullet 3). The output triggers no stop condition, because it contains no unsupported fact that can't be resolved against the sources (Checklist › Stop and escalate when). The Component 3 prompt card removes both weaknesses at the source.</w:t>
            </w:r>
          </w:p>
        </w:tc>
      </w:tr>
    </w:tbl>
    <w:p>
      <w:pPr>
        <w:spacing w:after="40"/>
      </w:pPr>
    </w:p>
    <w:p>
      <w:pPr>
        <w:pStyle w:val="Heading1"/>
      </w:pPr>
      <w:r>
        <w:t>Component 4 - End-User Guide</w:t>
      </w:r>
    </w:p>
    <w:tbl>
      <w:tblPr>
        <w:tblStyle w:val="TableGrid"/>
        <w:tblW w:w="10224" w:type="dxa"/>
        <w:jc w:val="center"/>
        <w:tblLayout w:type="fixed"/>
        <w:tblLook w:firstColumn="1" w:firstRow="1" w:lastColumn="0" w:lastRow="0" w:noHBand="0" w:noVBand="1" w:val="04A0"/>
      </w:tblPr>
      <w:tblGrid>
        <w:gridCol w:w="1900"/>
        <w:gridCol w:w="8324"/>
      </w:tblGrid>
      <w:tr>
        <w:tc>
          <w:tcPr>
            <w:tcW w:type="dxa" w:w="1900"/>
            <w:shd w:fill="17324D"/>
            <w:tcMar>
              <w:top w:w="90" w:type="dxa"/>
              <w:start w:w="100" w:type="dxa"/>
              <w:bottom w:w="90" w:type="dxa"/>
              <w:end w:w="100" w:type="dxa"/>
            </w:tcMar>
            <w:vAlign w:val="center"/>
          </w:tcPr>
          <w:p>
            <w:pPr>
              <w:jc w:val="left"/>
            </w:pPr>
            <w:r>
              <w:rPr>
                <w:b/>
                <w:color w:val="FFFFFF"/>
                <w:sz w:val="18"/>
              </w:rPr>
              <w:t>Field</w:t>
            </w:r>
          </w:p>
        </w:tc>
        <w:tc>
          <w:tcPr>
            <w:tcW w:type="dxa" w:w="8324"/>
            <w:shd w:fill="17324D"/>
            <w:tcMar>
              <w:top w:w="90" w:type="dxa"/>
              <w:start w:w="100" w:type="dxa"/>
              <w:bottom w:w="90" w:type="dxa"/>
              <w:end w:w="100" w:type="dxa"/>
            </w:tcMar>
            <w:vAlign w:val="center"/>
          </w:tcPr>
          <w:p>
            <w:pPr>
              <w:jc w:val="left"/>
            </w:pPr>
            <w:r>
              <w:rPr>
                <w:b/>
                <w:color w:val="FFFFFF"/>
                <w:sz w:val="18"/>
              </w:rPr>
              <w:t>Learner entry</w:t>
            </w:r>
          </w:p>
        </w:tc>
      </w:tr>
      <w:tr>
        <w:tc>
          <w:tcPr>
            <w:tcW w:type="dxa" w:w="1900"/>
            <w:tcBorders>
              <w:bottom w:val="single" w:sz="6" w:color="D8E0E4"/>
            </w:tcBorders>
            <w:shd w:fill="F8FAFB"/>
            <w:tcMar>
              <w:top w:w="90" w:type="dxa"/>
              <w:start w:w="100" w:type="dxa"/>
              <w:bottom w:w="90" w:type="dxa"/>
              <w:end w:w="100" w:type="dxa"/>
            </w:tcMar>
            <w:vAlign w:val="top"/>
          </w:tcPr>
          <w:p>
            <w:pPr>
              <w:spacing w:after="40"/>
            </w:pPr>
            <w:r>
              <w:rPr>
                <w:sz w:val="17"/>
              </w:rPr>
              <w:t>Title</w:t>
            </w:r>
          </w:p>
        </w:tc>
        <w:tc>
          <w:tcPr>
            <w:tcW w:type="dxa" w:w="8324"/>
            <w:tcBorders>
              <w:bottom w:val="single" w:sz="6" w:color="D8E0E4"/>
            </w:tcBorders>
            <w:shd w:fill="F8FAFB"/>
            <w:tcMar>
              <w:top w:w="90" w:type="dxa"/>
              <w:start w:w="100" w:type="dxa"/>
              <w:bottom w:w="90" w:type="dxa"/>
              <w:end w:w="100" w:type="dxa"/>
            </w:tcMar>
            <w:vAlign w:val="top"/>
          </w:tcPr>
          <w:p>
            <w:pPr>
              <w:spacing w:before="0" w:after="40"/>
            </w:pPr>
            <w:r>
              <w:rPr>
                <w:b/>
                <w:color w:val="17324D"/>
                <w:sz w:val="22"/>
              </w:rPr>
              <w:t>Sharing a case summary with a partner-clinic colleague and drafting the cover email</w:t>
            </w:r>
          </w:p>
          <w:p>
            <w:pPr>
              <w:spacing w:before="0" w:after="0"/>
            </w:pPr>
            <w:r>
              <w:rPr>
                <w:i/>
                <w:color w:val="5B6770"/>
                <w:sz w:val="17"/>
              </w:rPr>
              <w:t>For Dr. Chen · Before a curbside consult · About 20 minutes</w:t>
            </w:r>
          </w:p>
        </w:tc>
      </w:tr>
      <w:tr>
        <w:tc>
          <w:tcPr>
            <w:tcW w:type="dxa" w:w="1900"/>
            <w:tcBorders>
              <w:bottom w:val="single" w:sz="6" w:color="D8E0E4"/>
            </w:tcBorders>
            <w:tcMar>
              <w:top w:w="90" w:type="dxa"/>
              <w:start w:w="100" w:type="dxa"/>
              <w:bottom w:w="90" w:type="dxa"/>
              <w:end w:w="100" w:type="dxa"/>
            </w:tcMar>
            <w:vAlign w:val="top"/>
          </w:tcPr>
          <w:p>
            <w:pPr>
              <w:spacing w:after="40"/>
            </w:pPr>
            <w:r>
              <w:rPr>
                <w:sz w:val="17"/>
              </w:rPr>
              <w:t>Prerequisites</w:t>
            </w:r>
          </w:p>
        </w:tc>
        <w:tc>
          <w:tcPr>
            <w:tcW w:type="dxa" w:w="8324"/>
            <w:tcBorders>
              <w:bottom w:val="single" w:sz="6" w:color="D8E0E4"/>
            </w:tcBorders>
            <w:tcMar>
              <w:top w:w="90" w:type="dxa"/>
              <w:start w:w="100" w:type="dxa"/>
              <w:bottom w:w="90" w:type="dxa"/>
              <w:end w:w="100" w:type="dxa"/>
            </w:tcMar>
            <w:vAlign w:val="top"/>
          </w:tcPr>
          <w:p>
            <w:pPr>
              <w:spacing w:before="0" w:after="60"/>
            </w:pPr>
            <w:r>
              <w:rPr>
                <w:b/>
                <w:color w:val="1C2730"/>
                <w:sz w:val="18"/>
              </w:rPr>
              <w:t>Before you start.</w:t>
            </w:r>
            <w:r>
              <w:rPr>
                <w:color w:val="1C2730"/>
                <w:sz w:val="18"/>
              </w:rPr>
              <w:t xml:space="preserve"> If anything is missing, stop and call the IT support desk (the technology help line).</w:t>
            </w:r>
          </w:p>
          <w:p>
            <w:pPr>
              <w:pStyle w:val="ListBullet"/>
              <w:spacing w:before="0" w:after="30"/>
              <w:ind w:left="300" w:hanging="200"/>
            </w:pPr>
            <w:r>
              <w:rPr>
                <w:b/>
                <w:color w:val="1C2730"/>
                <w:sz w:val="18"/>
              </w:rPr>
              <w:t>Account:</w:t>
            </w:r>
            <w:r>
              <w:rPr>
                <w:color w:val="1C2730"/>
                <w:sz w:val="18"/>
              </w:rPr>
              <w:t xml:space="preserve"> your own Contoso work account, signed in.</w:t>
            </w:r>
          </w:p>
          <w:p>
            <w:pPr>
              <w:pStyle w:val="ListBullet"/>
              <w:spacing w:before="0" w:after="30"/>
              <w:ind w:left="300" w:hanging="200"/>
            </w:pPr>
            <w:r>
              <w:rPr>
                <w:b/>
                <w:color w:val="1C2730"/>
                <w:sz w:val="18"/>
              </w:rPr>
              <w:t>Permission:</w:t>
            </w:r>
            <w:r>
              <w:rPr>
                <w:color w:val="1C2730"/>
                <w:sz w:val="18"/>
              </w:rPr>
              <w:t xml:space="preserve"> you can share files in the approved team site holding </w:t>
            </w:r>
            <w:r>
              <w:rPr>
                <w:i/>
                <w:color w:val="1C2730"/>
                <w:sz w:val="18"/>
              </w:rPr>
              <w:t>Synthetic Case Summary – Patient A</w:t>
            </w:r>
            <w:r>
              <w:rPr>
                <w:color w:val="1C2730"/>
                <w:sz w:val="18"/>
              </w:rPr>
              <w:t xml:space="preserve"> (its </w:t>
            </w:r>
            <w:r>
              <w:rPr>
                <w:b/>
                <w:color w:val="1C2730"/>
                <w:sz w:val="18"/>
              </w:rPr>
              <w:t>Share</w:t>
            </w:r>
            <w:r>
              <w:rPr>
                <w:color w:val="1C2730"/>
                <w:sz w:val="18"/>
              </w:rPr>
              <w:t xml:space="preserve"> button works).</w:t>
            </w:r>
          </w:p>
          <w:p>
            <w:pPr>
              <w:pStyle w:val="ListBullet"/>
              <w:spacing w:before="0" w:after="30"/>
              <w:ind w:left="300" w:hanging="200"/>
            </w:pPr>
            <w:r>
              <w:rPr>
                <w:b/>
                <w:color w:val="1C2730"/>
                <w:sz w:val="18"/>
              </w:rPr>
              <w:t>Tools:</w:t>
            </w:r>
            <w:r>
              <w:rPr>
                <w:color w:val="1C2730"/>
                <w:sz w:val="18"/>
              </w:rPr>
              <w:t xml:space="preserve"> Outlook and Microsoft 365 Copilot (the writing assistant in Outlook).</w:t>
            </w:r>
          </w:p>
          <w:p>
            <w:pPr>
              <w:pStyle w:val="ListBullet"/>
              <w:spacing w:before="0" w:after="30"/>
              <w:ind w:left="300" w:hanging="200"/>
            </w:pPr>
            <w:r>
              <w:rPr>
                <w:b/>
                <w:color w:val="1C2730"/>
                <w:sz w:val="18"/>
              </w:rPr>
              <w:t>To hand:</w:t>
            </w:r>
            <w:r>
              <w:rPr>
                <w:color w:val="1C2730"/>
                <w:sz w:val="18"/>
              </w:rPr>
              <w:t xml:space="preserve"> your approved consult request (colleague's name and work email), the case packet, and IT support's prompt card (the exact text for Copilot).</w:t>
            </w:r>
          </w:p>
          <w:p>
            <w:pPr>
              <w:pStyle w:val="ListBullet"/>
              <w:spacing w:before="0" w:after="30"/>
              <w:ind w:left="300" w:hanging="200"/>
            </w:pPr>
            <w:r>
              <w:rPr>
                <w:b/>
                <w:color w:val="1C2730"/>
                <w:sz w:val="18"/>
              </w:rPr>
              <w:t>Time:</w:t>
            </w:r>
            <w:r>
              <w:rPr>
                <w:color w:val="1C2730"/>
                <w:sz w:val="18"/>
              </w:rPr>
              <w:t xml:space="preserve"> about 20 minutes. The deadline never overrides a stop.</w:t>
            </w:r>
          </w:p>
          <w:p>
            <w:pPr>
              <w:spacing w:before="40" w:after="0"/>
            </w:pPr>
            <w:r>
              <w:rPr>
                <w:i/>
                <w:color w:val="5B6770"/>
                <w:sz w:val="17"/>
              </w:rPr>
              <w:t>Button names may differ slightly. If one doesn't match, stop and call.</w:t>
            </w:r>
          </w:p>
        </w:tc>
      </w:tr>
      <w:tr>
        <w:tc>
          <w:tcPr>
            <w:tcW w:type="dxa" w:w="1900"/>
            <w:tcBorders>
              <w:bottom w:val="single" w:sz="6" w:color="D8E0E4"/>
            </w:tcBorders>
            <w:shd w:fill="F8FAFB"/>
            <w:tcMar>
              <w:top w:w="90" w:type="dxa"/>
              <w:start w:w="100" w:type="dxa"/>
              <w:bottom w:w="90" w:type="dxa"/>
              <w:end w:w="100" w:type="dxa"/>
            </w:tcMar>
            <w:vAlign w:val="top"/>
          </w:tcPr>
          <w:p>
            <w:pPr>
              <w:spacing w:after="40"/>
            </w:pPr>
            <w:r>
              <w:rPr>
                <w:sz w:val="17"/>
              </w:rPr>
              <w:t>Numbered steps</w:t>
            </w:r>
          </w:p>
        </w:tc>
        <w:tc>
          <w:tcPr>
            <w:tcW w:type="dxa" w:w="8324"/>
            <w:tcBorders>
              <w:bottom w:val="single" w:sz="6" w:color="D8E0E4"/>
            </w:tcBorders>
            <w:shd w:fill="F8FAFB"/>
            <w:tcMar>
              <w:top w:w="90" w:type="dxa"/>
              <w:start w:w="100" w:type="dxa"/>
              <w:bottom w:w="90" w:type="dxa"/>
              <w:end w:w="100" w:type="dxa"/>
            </w:tcMar>
            <w:vAlign w:val="top"/>
          </w:tcPr>
          <w:p>
            <w:pPr>
              <w:spacing w:before="0" w:after="40"/>
            </w:pPr>
            <w:r>
              <w:rPr>
                <w:b/>
                <w:color w:val="17324D"/>
                <w:sz w:val="15"/>
              </w:rPr>
              <w:t>PART 1 — GIVE YOUR COLLEAGUE ACCESS TO THE FILE</w:t>
            </w:r>
          </w:p>
          <w:p>
            <w:pPr>
              <w:spacing w:before="0" w:after="60"/>
              <w:ind w:left="340" w:hanging="340"/>
            </w:pPr>
            <w:r>
              <w:rPr>
                <w:b/>
                <w:color w:val="17324D"/>
                <w:sz w:val="18"/>
              </w:rPr>
              <w:t>1.</w:t>
            </w:r>
            <w:r>
              <w:rPr>
                <w:color w:val="17324D"/>
                <w:sz w:val="18"/>
              </w:rPr>
              <w:t xml:space="preserve">  </w:t>
            </w:r>
            <w:r>
              <w:rPr>
                <w:color w:val="1C2730"/>
                <w:sz w:val="18"/>
              </w:rPr>
              <w:t>Open the approved team site's document library.</w:t>
            </w:r>
            <w:r>
              <w:rPr>
                <w:i/>
                <w:color w:val="5B6770"/>
                <w:sz w:val="17"/>
              </w:rPr>
              <w:t xml:space="preserve">  → You see Synthetic Case Summary – Patient A.</w:t>
            </w:r>
          </w:p>
          <w:p>
            <w:pPr>
              <w:spacing w:before="0" w:after="60"/>
              <w:ind w:left="340" w:hanging="340"/>
            </w:pPr>
            <w:r>
              <w:rPr>
                <w:b/>
                <w:color w:val="17324D"/>
                <w:sz w:val="18"/>
              </w:rPr>
              <w:t>2.</w:t>
            </w:r>
            <w:r>
              <w:rPr>
                <w:color w:val="17324D"/>
                <w:sz w:val="18"/>
              </w:rPr>
              <w:t xml:space="preserve">  </w:t>
            </w:r>
            <w:r>
              <w:rPr>
                <w:color w:val="1C2730"/>
                <w:sz w:val="18"/>
              </w:rPr>
              <w:t xml:space="preserve">Select </w:t>
            </w:r>
            <w:r>
              <w:rPr>
                <w:b/>
                <w:color w:val="1C2730"/>
                <w:sz w:val="18"/>
              </w:rPr>
              <w:t>Share</w:t>
            </w:r>
            <w:r>
              <w:rPr>
                <w:color w:val="1C2730"/>
                <w:sz w:val="18"/>
              </w:rPr>
              <w:t xml:space="preserve"> on that file.</w:t>
            </w:r>
            <w:r>
              <w:rPr>
                <w:i/>
                <w:color w:val="5B6770"/>
                <w:sz w:val="17"/>
              </w:rPr>
              <w:t xml:space="preserve">  → The Share window opens.</w:t>
            </w:r>
          </w:p>
          <w:tbl>
            <w:tblPr>
              <w:tblW w:w="8100" w:type="dxa"/>
              <w:tblBorders>
                <w:top w:val="single" w:sz="4" w:space="0" w:color="B45309"/>
                <w:left w:val="single" w:sz="24" w:space="0" w:color="B45309"/>
                <w:bottom w:val="single" w:sz="4" w:space="0" w:color="B45309"/>
                <w:right w:val="single" w:sz="4" w:space="0" w:color="B45309"/>
              </w:tblBorders>
              <w:tblLayout w:type="fixed"/>
              <w:tblCellMar>
                <w:top w:w="70" w:type="dxa"/>
                <w:left w:w="120" w:type="dxa"/>
                <w:bottom w:w="70" w:type="dxa"/>
                <w:right w:w="120" w:type="dxa"/>
              </w:tblCellMar>
              <w:tblLook w:firstColumn="1" w:firstRow="1" w:lastColumn="0" w:lastRow="0" w:noHBand="0" w:noVBand="1" w:val="04A0"/>
            </w:tblPr>
            <w:tblGrid>
              <w:gridCol w:w="8100"/>
            </w:tblGrid>
            <w:tr>
              <w:trPr>
                <w:cantSplit/>
              </w:trPr>
              <w:tc>
                <w:tcPr>
                  <w:tcW w:type="dxa" w:w="8100"/>
                  <w:shd w:val="clear" w:color="auto" w:fill="FDF4E3"/>
                </w:tcPr>
                <w:p>
                  <w:pPr>
                    <w:spacing w:before="0" w:after="40"/>
                  </w:pPr>
                  <w:r>
                    <w:rPr>
                      <w:b/>
                      <w:color w:val="B45309"/>
                      <w:sz w:val="18"/>
                    </w:rPr>
                    <w:t>⚠ PRIVACY CHECK — before you give anyone access</w:t>
                  </w:r>
                </w:p>
                <w:p>
                  <w:pPr>
                    <w:pStyle w:val="ListBullet"/>
                    <w:spacing w:before="0" w:after="20"/>
                    <w:ind w:left="300" w:hanging="200"/>
                  </w:pPr>
                  <w:r>
                    <w:rPr>
                      <w:color w:val="1C2730"/>
                      <w:sz w:val="17"/>
                    </w:rPr>
                    <w:t>Share only with the colleague named in your approved request.</w:t>
                  </w:r>
                </w:p>
                <w:p>
                  <w:pPr>
                    <w:pStyle w:val="ListBullet"/>
                    <w:spacing w:before="0" w:after="20"/>
                    <w:ind w:left="300" w:hanging="200"/>
                  </w:pPr>
                  <w:r>
                    <w:rPr>
                      <w:color w:val="1C2730"/>
                      <w:sz w:val="17"/>
                    </w:rPr>
                    <w:t xml:space="preserve">The link setting must be </w:t>
                  </w:r>
                  <w:r>
                    <w:rPr>
                      <w:b/>
                      <w:color w:val="1C2730"/>
                      <w:sz w:val="17"/>
                    </w:rPr>
                    <w:t>People you choose</w:t>
                  </w:r>
                  <w:r>
                    <w:rPr>
                      <w:color w:val="1C2730"/>
                      <w:sz w:val="17"/>
                    </w:rPr>
                    <w:t xml:space="preserve"> (or </w:t>
                  </w:r>
                  <w:r>
                    <w:rPr>
                      <w:b/>
                      <w:color w:val="1C2730"/>
                      <w:sz w:val="17"/>
                    </w:rPr>
                    <w:t>Specific people</w:t>
                  </w:r>
                  <w:r>
                    <w:rPr>
                      <w:color w:val="1C2730"/>
                      <w:sz w:val="17"/>
                    </w:rPr>
                    <w:t xml:space="preserve">). Never </w:t>
                  </w:r>
                  <w:r>
                    <w:rPr>
                      <w:b/>
                      <w:color w:val="1C2730"/>
                      <w:sz w:val="17"/>
                    </w:rPr>
                    <w:t>Anyone</w:t>
                  </w:r>
                  <w:r>
                    <w:rPr>
                      <w:color w:val="1C2730"/>
                      <w:sz w:val="17"/>
                    </w:rPr>
                    <w:t>.</w:t>
                  </w:r>
                </w:p>
                <w:p>
                  <w:pPr>
                    <w:spacing w:before="0" w:after="40"/>
                  </w:pPr>
                  <w:r>
                    <w:rPr>
                      <w:b/>
                      <w:color w:val="1C2730"/>
                      <w:sz w:val="17"/>
                    </w:rPr>
                    <w:t>Stop if</w:t>
                  </w:r>
                  <w:r>
                    <w:rPr>
                      <w:color w:val="1C2730"/>
                      <w:sz w:val="17"/>
                    </w:rPr>
                    <w:t xml:space="preserve"> they aren't named in the request, or </w:t>
                  </w:r>
                  <w:r>
                    <w:rPr>
                      <w:b/>
                      <w:color w:val="1C2730"/>
                      <w:sz w:val="17"/>
                    </w:rPr>
                    <w:t>People you choose</w:t>
                  </w:r>
                  <w:r>
                    <w:rPr>
                      <w:color w:val="1C2730"/>
                      <w:sz w:val="17"/>
                    </w:rPr>
                    <w:t xml:space="preserve"> is missing. Never pick a wider setting to make it work.</w:t>
                  </w:r>
                </w:p>
              </w:tc>
            </w:tr>
          </w:tbl>
          <w:p>
            <w:pPr>
              <w:spacing w:before="0" w:after="0"/>
              <w:rPr>
                <w:sz w:val="8"/>
              </w:rPr>
            </w:pPr>
          </w:p>
          <w:p>
            <w:pPr>
              <w:spacing w:before="0" w:after="60"/>
              <w:ind w:left="340" w:hanging="340"/>
            </w:pPr>
            <w:r>
              <w:rPr>
                <w:b/>
                <w:color w:val="17324D"/>
                <w:sz w:val="18"/>
              </w:rPr>
              <w:t>3.</w:t>
            </w:r>
            <w:r>
              <w:rPr>
                <w:color w:val="17324D"/>
                <w:sz w:val="18"/>
              </w:rPr>
              <w:t xml:space="preserve">  </w:t>
            </w:r>
            <w:r>
              <w:rPr>
                <w:color w:val="1C2730"/>
                <w:sz w:val="18"/>
              </w:rPr>
              <w:t>Open the link settings (gear icon).</w:t>
            </w:r>
            <w:r>
              <w:rPr>
                <w:i/>
                <w:color w:val="5B6770"/>
                <w:sz w:val="17"/>
              </w:rPr>
              <w:t xml:space="preserve">  → Who-can-open choices appear.</w:t>
            </w:r>
          </w:p>
          <w:p>
            <w:pPr>
              <w:spacing w:before="0" w:after="60"/>
              <w:ind w:left="340" w:hanging="340"/>
            </w:pPr>
            <w:r>
              <w:rPr>
                <w:b/>
                <w:color w:val="17324D"/>
                <w:sz w:val="18"/>
              </w:rPr>
              <w:t>4.</w:t>
            </w:r>
            <w:r>
              <w:rPr>
                <w:color w:val="17324D"/>
                <w:sz w:val="18"/>
              </w:rPr>
              <w:t xml:space="preserve">  </w:t>
            </w:r>
            <w:r>
              <w:rPr>
                <w:color w:val="1C2730"/>
                <w:sz w:val="18"/>
              </w:rPr>
              <w:t xml:space="preserve">Choose </w:t>
            </w:r>
            <w:r>
              <w:rPr>
                <w:b/>
                <w:color w:val="1C2730"/>
                <w:sz w:val="18"/>
              </w:rPr>
              <w:t>People you choose</w:t>
            </w:r>
            <w:r>
              <w:rPr>
                <w:color w:val="1C2730"/>
                <w:sz w:val="18"/>
              </w:rPr>
              <w:t>.</w:t>
            </w:r>
            <w:r>
              <w:rPr>
                <w:i/>
                <w:color w:val="5B6770"/>
                <w:sz w:val="17"/>
              </w:rPr>
              <w:t xml:space="preserve">  → That option is selected.</w:t>
            </w:r>
          </w:p>
          <w:p>
            <w:pPr>
              <w:spacing w:before="0" w:after="60"/>
              <w:ind w:left="340" w:hanging="340"/>
            </w:pPr>
            <w:r>
              <w:rPr>
                <w:b/>
                <w:color w:val="17324D"/>
                <w:sz w:val="18"/>
              </w:rPr>
              <w:t>5.</w:t>
            </w:r>
            <w:r>
              <w:rPr>
                <w:color w:val="17324D"/>
                <w:sz w:val="18"/>
              </w:rPr>
              <w:t xml:space="preserve">  </w:t>
            </w:r>
            <w:r>
              <w:rPr>
                <w:color w:val="1C2730"/>
                <w:sz w:val="18"/>
              </w:rPr>
              <w:t xml:space="preserve">Set the permission to </w:t>
            </w:r>
            <w:r>
              <w:rPr>
                <w:b/>
                <w:color w:val="1C2730"/>
                <w:sz w:val="18"/>
              </w:rPr>
              <w:t>Can view</w:t>
            </w:r>
            <w:r>
              <w:rPr>
                <w:color w:val="1C2730"/>
                <w:sz w:val="18"/>
              </w:rPr>
              <w:t>.</w:t>
            </w:r>
            <w:r>
              <w:rPr>
                <w:i/>
                <w:color w:val="5B6770"/>
                <w:sz w:val="17"/>
              </w:rPr>
              <w:t xml:space="preserve">  → It reads Can view.</w:t>
            </w:r>
          </w:p>
          <w:p>
            <w:pPr>
              <w:spacing w:before="0" w:after="60"/>
              <w:ind w:left="340" w:hanging="340"/>
            </w:pPr>
            <w:r>
              <w:rPr>
                <w:b/>
                <w:color w:val="17324D"/>
                <w:sz w:val="18"/>
              </w:rPr>
              <w:t>6.</w:t>
            </w:r>
            <w:r>
              <w:rPr>
                <w:color w:val="17324D"/>
                <w:sz w:val="18"/>
              </w:rPr>
              <w:t xml:space="preserve">  </w:t>
            </w:r>
            <w:r>
              <w:rPr>
                <w:color w:val="1C2730"/>
                <w:sz w:val="18"/>
              </w:rPr>
              <w:t>Paste your colleague's work email from the request.</w:t>
            </w:r>
            <w:r>
              <w:rPr>
                <w:i/>
                <w:color w:val="5B6770"/>
                <w:sz w:val="17"/>
              </w:rPr>
              <w:t xml:space="preserve">  → Their name appears. If it doesn't, stop.</w:t>
            </w:r>
          </w:p>
          <w:p>
            <w:pPr>
              <w:spacing w:before="0" w:after="60"/>
              <w:ind w:left="340" w:hanging="340"/>
            </w:pPr>
            <w:r>
              <w:rPr>
                <w:b/>
                <w:color w:val="17324D"/>
                <w:sz w:val="18"/>
              </w:rPr>
              <w:t>7.</w:t>
            </w:r>
            <w:r>
              <w:rPr>
                <w:color w:val="17324D"/>
                <w:sz w:val="18"/>
              </w:rPr>
              <w:t xml:space="preserve">  </w:t>
            </w:r>
            <w:r>
              <w:rPr>
                <w:color w:val="1C2730"/>
                <w:sz w:val="18"/>
              </w:rPr>
              <w:t xml:space="preserve">Select </w:t>
            </w:r>
            <w:r>
              <w:rPr>
                <w:b/>
                <w:color w:val="1C2730"/>
                <w:sz w:val="18"/>
              </w:rPr>
              <w:t>Copy link</w:t>
            </w:r>
            <w:r>
              <w:rPr>
                <w:color w:val="1C2730"/>
                <w:sz w:val="18"/>
              </w:rPr>
              <w:t>.</w:t>
            </w:r>
            <w:r>
              <w:rPr>
                <w:i/>
                <w:color w:val="5B6770"/>
                <w:sz w:val="17"/>
              </w:rPr>
              <w:t xml:space="preserve">  → “Link copied” appears.</w:t>
            </w:r>
          </w:p>
          <w:p>
            <w:pPr>
              <w:spacing w:before="0" w:after="60"/>
              <w:ind w:left="340" w:hanging="340"/>
            </w:pPr>
            <w:r>
              <w:rPr>
                <w:b/>
                <w:color w:val="17324D"/>
                <w:sz w:val="18"/>
              </w:rPr>
              <w:t>8.</w:t>
            </w:r>
            <w:r>
              <w:rPr>
                <w:color w:val="17324D"/>
                <w:sz w:val="18"/>
              </w:rPr>
              <w:t xml:space="preserve">  </w:t>
            </w:r>
            <w:r>
              <w:rPr>
                <w:color w:val="1C2730"/>
                <w:sz w:val="18"/>
              </w:rPr>
              <w:t xml:space="preserve">Open </w:t>
            </w:r>
            <w:r>
              <w:rPr>
                <w:b/>
                <w:color w:val="1C2730"/>
                <w:sz w:val="18"/>
              </w:rPr>
              <w:t>Manage access</w:t>
            </w:r>
            <w:r>
              <w:rPr>
                <w:color w:val="1C2730"/>
                <w:sz w:val="18"/>
              </w:rPr>
              <w:t xml:space="preserve"> for the file (the list of everyone who can open it).</w:t>
            </w:r>
            <w:r>
              <w:rPr>
                <w:i/>
                <w:color w:val="5B6770"/>
                <w:sz w:val="17"/>
              </w:rPr>
              <w:t xml:space="preserve">  → The access list appears.</w:t>
            </w:r>
          </w:p>
          <w:p>
            <w:pPr>
              <w:spacing w:before="0" w:after="60"/>
              <w:ind w:left="340" w:hanging="340"/>
            </w:pPr>
            <w:r>
              <w:rPr>
                <w:b/>
                <w:color w:val="17324D"/>
                <w:sz w:val="18"/>
              </w:rPr>
              <w:t>9.</w:t>
            </w:r>
            <w:r>
              <w:rPr>
                <w:color w:val="17324D"/>
                <w:sz w:val="18"/>
              </w:rPr>
              <w:t xml:space="preserve">  </w:t>
            </w:r>
            <w:r>
              <w:rPr>
                <w:color w:val="1C2730"/>
                <w:sz w:val="18"/>
              </w:rPr>
              <w:t>Read the access list.</w:t>
            </w:r>
            <w:r>
              <w:rPr>
                <w:i/>
                <w:color w:val="5B6770"/>
                <w:sz w:val="17"/>
              </w:rPr>
              <w:t xml:space="preserve">  → Only your colleague, with Can view. No Anyone link. Anything else: stop.</w:t>
            </w:r>
          </w:p>
          <w:p>
            <w:pPr>
              <w:spacing w:before="80" w:after="40"/>
            </w:pPr>
            <w:r>
              <w:rPr>
                <w:b/>
                <w:color w:val="17324D"/>
                <w:sz w:val="15"/>
              </w:rPr>
              <w:t>PART 2 — DRAFT THE EMAIL WITH COPILOT</w:t>
            </w:r>
          </w:p>
          <w:tbl>
            <w:tblPr>
              <w:tblW w:w="8100" w:type="dxa"/>
              <w:tblBorders>
                <w:top w:val="single" w:sz="4" w:space="0" w:color="B45309"/>
                <w:left w:val="single" w:sz="24" w:space="0" w:color="B45309"/>
                <w:bottom w:val="single" w:sz="4" w:space="0" w:color="B45309"/>
                <w:right w:val="single" w:sz="4" w:space="0" w:color="B45309"/>
              </w:tblBorders>
              <w:tblLayout w:type="fixed"/>
              <w:tblCellMar>
                <w:top w:w="70" w:type="dxa"/>
                <w:left w:w="120" w:type="dxa"/>
                <w:bottom w:w="70" w:type="dxa"/>
                <w:right w:w="120" w:type="dxa"/>
              </w:tblCellMar>
              <w:tblLook w:firstColumn="1" w:firstRow="1" w:lastColumn="0" w:lastRow="0" w:noHBand="0" w:noVBand="1" w:val="04A0"/>
            </w:tblPr>
            <w:tblGrid>
              <w:gridCol w:w="8100"/>
            </w:tblGrid>
            <w:tr>
              <w:trPr>
                <w:cantSplit/>
              </w:trPr>
              <w:tc>
                <w:tcPr>
                  <w:tcW w:type="dxa" w:w="8100"/>
                  <w:shd w:val="clear" w:color="auto" w:fill="FDF4E3"/>
                </w:tcPr>
                <w:p>
                  <w:pPr>
                    <w:spacing w:before="0" w:after="40"/>
                  </w:pPr>
                  <w:r>
                    <w:rPr>
                      <w:b/>
                      <w:color w:val="B45309"/>
                      <w:sz w:val="18"/>
                    </w:rPr>
                    <w:t>⚠ PRIVACY CHECK — before you type into Copilot</w:t>
                  </w:r>
                </w:p>
                <w:p>
                  <w:pPr>
                    <w:pStyle w:val="ListBullet"/>
                    <w:spacing w:before="0" w:after="20"/>
                    <w:ind w:left="300" w:hanging="200"/>
                  </w:pPr>
                  <w:r>
                    <w:rPr>
                      <w:color w:val="1C2730"/>
                      <w:sz w:val="17"/>
                    </w:rPr>
                    <w:t>Paste only the prompt card. It holds no patient details.</w:t>
                  </w:r>
                </w:p>
                <w:p>
                  <w:pPr>
                    <w:pStyle w:val="ListBullet"/>
                    <w:spacing w:before="0" w:after="20"/>
                    <w:ind w:left="300" w:hanging="200"/>
                  </w:pPr>
                  <w:r>
                    <w:rPr>
                      <w:color w:val="1C2730"/>
                      <w:sz w:val="17"/>
                    </w:rPr>
                    <w:t>Don't paste, attach or point Copilot to the case summary.</w:t>
                  </w:r>
                </w:p>
                <w:p>
                  <w:pPr>
                    <w:pStyle w:val="ListBullet"/>
                    <w:spacing w:before="0" w:after="20"/>
                    <w:ind w:left="300" w:hanging="200"/>
                  </w:pPr>
                  <w:r>
                    <w:rPr>
                      <w:color w:val="1C2730"/>
                      <w:sz w:val="17"/>
                    </w:rPr>
                    <w:t>Don't add names, dates, symptoms or email addresses.</w:t>
                  </w:r>
                </w:p>
                <w:p>
                  <w:pPr>
                    <w:spacing w:before="0" w:after="40"/>
                  </w:pPr>
                  <w:r>
                    <w:rPr>
                      <w:b/>
                      <w:color w:val="1C2730"/>
                      <w:sz w:val="17"/>
                    </w:rPr>
                    <w:t>Stop if</w:t>
                  </w:r>
                  <w:r>
                    <w:rPr>
                      <w:color w:val="1C2730"/>
                      <w:sz w:val="17"/>
                    </w:rPr>
                    <w:t xml:space="preserve"> the email seems to need clinical detail. That stays with you, not Copilot.</w:t>
                  </w:r>
                </w:p>
              </w:tc>
            </w:tr>
          </w:tbl>
          <w:p>
            <w:pPr>
              <w:spacing w:before="0" w:after="0"/>
              <w:rPr>
                <w:sz w:val="8"/>
              </w:rPr>
            </w:pPr>
          </w:p>
          <w:p>
            <w:pPr>
              <w:spacing w:before="0" w:after="60"/>
              <w:ind w:left="340" w:hanging="340"/>
            </w:pPr>
            <w:r>
              <w:rPr>
                <w:b/>
                <w:color w:val="17324D"/>
                <w:sz w:val="18"/>
              </w:rPr>
              <w:t>10.</w:t>
            </w:r>
            <w:r>
              <w:rPr>
                <w:color w:val="17324D"/>
                <w:sz w:val="18"/>
              </w:rPr>
              <w:t xml:space="preserve">  </w:t>
            </w:r>
            <w:r>
              <w:rPr>
                <w:color w:val="1C2730"/>
                <w:sz w:val="18"/>
              </w:rPr>
              <w:t>Open a new email in Outlook.</w:t>
            </w:r>
            <w:r>
              <w:rPr>
                <w:i/>
                <w:color w:val="5B6770"/>
                <w:sz w:val="17"/>
              </w:rPr>
              <w:t xml:space="preserve">  → A blank message opens.</w:t>
            </w:r>
          </w:p>
          <w:p>
            <w:pPr>
              <w:spacing w:before="0" w:after="60"/>
              <w:ind w:left="340" w:hanging="340"/>
            </w:pPr>
            <w:r>
              <w:rPr>
                <w:b/>
                <w:color w:val="17324D"/>
                <w:sz w:val="18"/>
              </w:rPr>
              <w:t>11.</w:t>
            </w:r>
            <w:r>
              <w:rPr>
                <w:color w:val="17324D"/>
                <w:sz w:val="18"/>
              </w:rPr>
              <w:t xml:space="preserve">  </w:t>
            </w:r>
            <w:r>
              <w:rPr>
                <w:color w:val="1C2730"/>
                <w:sz w:val="18"/>
              </w:rPr>
              <w:t xml:space="preserve">Select </w:t>
            </w:r>
            <w:r>
              <w:rPr>
                <w:b/>
                <w:color w:val="1C2730"/>
                <w:sz w:val="18"/>
              </w:rPr>
              <w:t>Draft with Copilot</w:t>
            </w:r>
            <w:r>
              <w:rPr>
                <w:color w:val="1C2730"/>
                <w:sz w:val="18"/>
              </w:rPr>
              <w:t>.</w:t>
            </w:r>
            <w:r>
              <w:rPr>
                <w:i/>
                <w:color w:val="5B6770"/>
                <w:sz w:val="17"/>
              </w:rPr>
              <w:t xml:space="preserve">  → A Copilot box opens.</w:t>
            </w:r>
          </w:p>
          <w:p>
            <w:pPr>
              <w:spacing w:before="0" w:after="60"/>
              <w:ind w:left="340" w:hanging="340"/>
            </w:pPr>
            <w:r>
              <w:rPr>
                <w:b/>
                <w:color w:val="17324D"/>
                <w:sz w:val="18"/>
              </w:rPr>
              <w:t>12.</w:t>
            </w:r>
            <w:r>
              <w:rPr>
                <w:color w:val="17324D"/>
                <w:sz w:val="18"/>
              </w:rPr>
              <w:t xml:space="preserve">  </w:t>
            </w:r>
            <w:r>
              <w:rPr>
                <w:color w:val="1C2730"/>
                <w:sz w:val="18"/>
              </w:rPr>
              <w:t>Paste the prompt card text.</w:t>
            </w:r>
            <w:r>
              <w:rPr>
                <w:i/>
                <w:color w:val="5B6770"/>
                <w:sz w:val="17"/>
              </w:rPr>
              <w:t xml:space="preserve">  → It appears in the box.</w:t>
            </w:r>
          </w:p>
          <w:p>
            <w:pPr>
              <w:spacing w:before="0" w:after="60"/>
              <w:ind w:left="340" w:hanging="340"/>
            </w:pPr>
            <w:r>
              <w:rPr>
                <w:b/>
                <w:color w:val="17324D"/>
                <w:sz w:val="18"/>
              </w:rPr>
              <w:t>13.</w:t>
            </w:r>
            <w:r>
              <w:rPr>
                <w:color w:val="17324D"/>
                <w:sz w:val="18"/>
              </w:rPr>
              <w:t xml:space="preserve">  </w:t>
            </w:r>
            <w:r>
              <w:rPr>
                <w:color w:val="1C2730"/>
                <w:sz w:val="18"/>
              </w:rPr>
              <w:t xml:space="preserve">Select </w:t>
            </w:r>
            <w:r>
              <w:rPr>
                <w:b/>
                <w:color w:val="1C2730"/>
                <w:sz w:val="18"/>
              </w:rPr>
              <w:t>Generate</w:t>
            </w:r>
            <w:r>
              <w:rPr>
                <w:color w:val="1C2730"/>
                <w:sz w:val="18"/>
              </w:rPr>
              <w:t>.</w:t>
            </w:r>
            <w:r>
              <w:rPr>
                <w:i/>
                <w:color w:val="5B6770"/>
                <w:sz w:val="17"/>
              </w:rPr>
              <w:t xml:space="preserve">  → A draft appears with gaps: [RECIPIENT NAME], [LINK], [SIGNATURE].</w:t>
            </w:r>
          </w:p>
          <w:p>
            <w:pPr>
              <w:spacing w:before="0" w:after="60"/>
              <w:ind w:left="340" w:hanging="340"/>
            </w:pPr>
            <w:r>
              <w:rPr>
                <w:b/>
                <w:color w:val="17324D"/>
                <w:sz w:val="18"/>
              </w:rPr>
              <w:t>14.</w:t>
            </w:r>
            <w:r>
              <w:rPr>
                <w:color w:val="17324D"/>
                <w:sz w:val="18"/>
              </w:rPr>
              <w:t xml:space="preserve">  </w:t>
            </w:r>
            <w:r>
              <w:rPr>
                <w:color w:val="1C2730"/>
                <w:sz w:val="18"/>
              </w:rPr>
              <w:t xml:space="preserve">Select </w:t>
            </w:r>
            <w:r>
              <w:rPr>
                <w:b/>
                <w:color w:val="1C2730"/>
                <w:sz w:val="18"/>
              </w:rPr>
              <w:t>Keep it</w:t>
            </w:r>
            <w:r>
              <w:rPr>
                <w:color w:val="1C2730"/>
                <w:sz w:val="18"/>
              </w:rPr>
              <w:t>.</w:t>
            </w:r>
            <w:r>
              <w:rPr>
                <w:i/>
                <w:color w:val="5B6770"/>
                <w:sz w:val="17"/>
              </w:rPr>
              <w:t xml:space="preserve">  → The draft moves into your email.</w:t>
            </w:r>
          </w:p>
          <w:p>
            <w:pPr>
              <w:spacing w:before="80" w:after="40"/>
            </w:pPr>
            <w:r>
              <w:rPr>
                <w:b/>
                <w:color w:val="17324D"/>
                <w:sz w:val="15"/>
              </w:rPr>
              <w:t>PART 3 — CHECK THE DRAFT, THEN SEND IT YOURSELF</w:t>
            </w:r>
          </w:p>
          <w:p>
            <w:pPr>
              <w:spacing w:before="0" w:after="60"/>
              <w:ind w:left="340" w:hanging="340"/>
            </w:pPr>
            <w:r>
              <w:rPr>
                <w:b/>
                <w:color w:val="17324D"/>
                <w:sz w:val="18"/>
              </w:rPr>
              <w:t>15.</w:t>
            </w:r>
            <w:r>
              <w:rPr>
                <w:color w:val="17324D"/>
                <w:sz w:val="18"/>
              </w:rPr>
              <w:t xml:space="preserve">  </w:t>
            </w:r>
            <w:r>
              <w:rPr>
                <w:color w:val="1C2730"/>
                <w:sz w:val="18"/>
              </w:rPr>
              <w:t>Compare each sentence with the case packet.</w:t>
            </w:r>
            <w:r>
              <w:rPr>
                <w:i/>
                <w:color w:val="5B6770"/>
                <w:sz w:val="17"/>
              </w:rPr>
              <w:t xml:space="preserve">  → Each matches, with nothing added. If one doesn't, delete it.</w:t>
            </w:r>
          </w:p>
          <w:p>
            <w:pPr>
              <w:spacing w:before="0" w:after="60"/>
              <w:ind w:left="340" w:hanging="340"/>
            </w:pPr>
            <w:r>
              <w:rPr>
                <w:b/>
                <w:color w:val="17324D"/>
                <w:sz w:val="18"/>
              </w:rPr>
              <w:t>16.</w:t>
            </w:r>
            <w:r>
              <w:rPr>
                <w:color w:val="17324D"/>
                <w:sz w:val="18"/>
              </w:rPr>
              <w:t xml:space="preserve">  </w:t>
            </w:r>
            <w:r>
              <w:rPr>
                <w:color w:val="1C2730"/>
                <w:sz w:val="18"/>
              </w:rPr>
              <w:t>Replace [RECIPIENT NAME] with your colleague's name from the request.</w:t>
            </w:r>
            <w:r>
              <w:rPr>
                <w:i/>
                <w:color w:val="5B6770"/>
                <w:sz w:val="17"/>
              </w:rPr>
              <w:t xml:space="preserve">  → The greeting names the right person.</w:t>
            </w:r>
          </w:p>
          <w:p>
            <w:pPr>
              <w:spacing w:before="0" w:after="60"/>
              <w:ind w:left="340" w:hanging="340"/>
            </w:pPr>
            <w:r>
              <w:rPr>
                <w:b/>
                <w:color w:val="17324D"/>
                <w:sz w:val="18"/>
              </w:rPr>
              <w:t>17.</w:t>
            </w:r>
            <w:r>
              <w:rPr>
                <w:color w:val="17324D"/>
                <w:sz w:val="18"/>
              </w:rPr>
              <w:t xml:space="preserve">  </w:t>
            </w:r>
            <w:r>
              <w:rPr>
                <w:color w:val="1C2730"/>
                <w:sz w:val="18"/>
              </w:rPr>
              <w:t>Paste the copied link over [LINK].</w:t>
            </w:r>
            <w:r>
              <w:rPr>
                <w:i/>
                <w:color w:val="5B6770"/>
                <w:sz w:val="17"/>
              </w:rPr>
              <w:t xml:space="preserve">  → The link shows in the email.</w:t>
            </w:r>
          </w:p>
          <w:p>
            <w:pPr>
              <w:spacing w:before="0" w:after="60"/>
              <w:ind w:left="340" w:hanging="340"/>
            </w:pPr>
            <w:r>
              <w:rPr>
                <w:b/>
                <w:color w:val="17324D"/>
                <w:sz w:val="18"/>
              </w:rPr>
              <w:t>18.</w:t>
            </w:r>
            <w:r>
              <w:rPr>
                <w:color w:val="17324D"/>
                <w:sz w:val="18"/>
              </w:rPr>
              <w:t xml:space="preserve">  </w:t>
            </w:r>
            <w:r>
              <w:rPr>
                <w:color w:val="1C2730"/>
                <w:sz w:val="18"/>
              </w:rPr>
              <w:t>Replace [SIGNATURE] with your usual signature.</w:t>
            </w:r>
            <w:r>
              <w:rPr>
                <w:i/>
                <w:color w:val="5B6770"/>
                <w:sz w:val="17"/>
              </w:rPr>
              <w:t xml:space="preserve">  → Your name appears.</w:t>
            </w:r>
          </w:p>
          <w:p>
            <w:pPr>
              <w:spacing w:before="0" w:after="60"/>
              <w:ind w:left="340" w:hanging="340"/>
            </w:pPr>
            <w:r>
              <w:rPr>
                <w:b/>
                <w:color w:val="17324D"/>
                <w:sz w:val="18"/>
              </w:rPr>
              <w:t>19.</w:t>
            </w:r>
            <w:r>
              <w:rPr>
                <w:color w:val="17324D"/>
                <w:sz w:val="18"/>
              </w:rPr>
              <w:t xml:space="preserve">  </w:t>
            </w:r>
            <w:r>
              <w:rPr>
                <w:color w:val="1C2730"/>
                <w:sz w:val="18"/>
              </w:rPr>
              <w:t xml:space="preserve">Paste your colleague's work email into the </w:t>
            </w:r>
            <w:r>
              <w:rPr>
                <w:b/>
                <w:color w:val="1C2730"/>
                <w:sz w:val="18"/>
              </w:rPr>
              <w:t>To</w:t>
            </w:r>
            <w:r>
              <w:rPr>
                <w:color w:val="1C2730"/>
                <w:sz w:val="18"/>
              </w:rPr>
              <w:t xml:space="preserve"> line.</w:t>
            </w:r>
            <w:r>
              <w:rPr>
                <w:i/>
                <w:color w:val="5B6770"/>
                <w:sz w:val="17"/>
              </w:rPr>
              <w:t xml:space="preserve">  → It matches the request and Manage access.</w:t>
            </w:r>
          </w:p>
          <w:p>
            <w:pPr>
              <w:spacing w:before="0" w:after="60"/>
              <w:ind w:left="340" w:hanging="340"/>
            </w:pPr>
            <w:r>
              <w:rPr>
                <w:b/>
                <w:color w:val="17324D"/>
                <w:sz w:val="18"/>
              </w:rPr>
              <w:t>20.</w:t>
            </w:r>
            <w:r>
              <w:rPr>
                <w:color w:val="17324D"/>
                <w:sz w:val="18"/>
              </w:rPr>
              <w:t xml:space="preserve">  </w:t>
            </w:r>
            <w:r>
              <w:rPr>
                <w:color w:val="1C2730"/>
                <w:sz w:val="18"/>
              </w:rPr>
              <w:t>Do the check below.</w:t>
            </w:r>
            <w:r>
              <w:rPr>
                <w:i/>
                <w:color w:val="5B6770"/>
                <w:sz w:val="17"/>
              </w:rPr>
              <w:t xml:space="preserve">  → All three checks pass.</w:t>
            </w:r>
          </w:p>
          <w:p>
            <w:pPr>
              <w:spacing w:before="0" w:after="60"/>
              <w:ind w:left="340" w:hanging="340"/>
            </w:pPr>
            <w:r>
              <w:rPr>
                <w:b/>
                <w:color w:val="17324D"/>
                <w:sz w:val="18"/>
              </w:rPr>
              <w:t>21.</w:t>
            </w:r>
            <w:r>
              <w:rPr>
                <w:color w:val="17324D"/>
                <w:sz w:val="18"/>
              </w:rPr>
              <w:t xml:space="preserve">  </w:t>
            </w:r>
            <w:r>
              <w:rPr>
                <w:color w:val="1C2730"/>
                <w:sz w:val="18"/>
              </w:rPr>
              <w:t xml:space="preserve">Select </w:t>
            </w:r>
            <w:r>
              <w:rPr>
                <w:b/>
                <w:color w:val="1C2730"/>
                <w:sz w:val="18"/>
              </w:rPr>
              <w:t>Send</w:t>
            </w:r>
            <w:r>
              <w:rPr>
                <w:color w:val="1C2730"/>
                <w:sz w:val="18"/>
              </w:rPr>
              <w:t>.</w:t>
            </w:r>
            <w:r>
              <w:rPr>
                <w:i/>
                <w:color w:val="5B6770"/>
                <w:sz w:val="17"/>
              </w:rPr>
              <w:t xml:space="preserve">  → The email appears in Sent Items.</w:t>
            </w:r>
          </w:p>
        </w:tc>
      </w:tr>
      <w:tr>
        <w:tc>
          <w:tcPr>
            <w:tcW w:type="dxa" w:w="1900"/>
            <w:tcBorders>
              <w:bottom w:val="single" w:sz="6" w:color="D8E0E4"/>
            </w:tcBorders>
            <w:tcMar>
              <w:top w:w="90" w:type="dxa"/>
              <w:start w:w="100" w:type="dxa"/>
              <w:bottom w:w="90" w:type="dxa"/>
              <w:end w:w="100" w:type="dxa"/>
            </w:tcMar>
            <w:vAlign w:val="top"/>
          </w:tcPr>
          <w:p>
            <w:pPr>
              <w:spacing w:after="40"/>
            </w:pPr>
            <w:r>
              <w:rPr>
                <w:sz w:val="17"/>
              </w:rPr>
              <w:t>Privacy-aware callout</w:t>
            </w:r>
          </w:p>
        </w:tc>
        <w:tc>
          <w:tcPr>
            <w:tcW w:type="dxa" w:w="8324"/>
            <w:tcBorders>
              <w:bottom w:val="single" w:sz="6" w:color="D8E0E4"/>
            </w:tcBorders>
            <w:tcMar>
              <w:top w:w="90" w:type="dxa"/>
              <w:start w:w="100" w:type="dxa"/>
              <w:bottom w:w="90" w:type="dxa"/>
              <w:end w:w="100" w:type="dxa"/>
            </w:tcMar>
            <w:vAlign w:val="top"/>
          </w:tcPr>
          <w:p>
            <w:pPr>
              <w:spacing w:before="0" w:after="60"/>
            </w:pPr>
            <w:r>
              <w:rPr>
                <w:color w:val="1C2730"/>
                <w:sz w:val="17"/>
              </w:rPr>
              <w:t xml:space="preserve">Two privacy checks sit </w:t>
            </w:r>
            <w:r>
              <w:rPr>
                <w:b/>
                <w:color w:val="1C2730"/>
                <w:sz w:val="17"/>
              </w:rPr>
              <w:t>inside the steps above</w:t>
            </w:r>
            <w:r>
              <w:rPr>
                <w:color w:val="1C2730"/>
                <w:sz w:val="17"/>
              </w:rPr>
              <w:t xml:space="preserve">, in amber boxes, each </w:t>
            </w:r>
            <w:r>
              <w:rPr>
                <w:b/>
                <w:color w:val="1C2730"/>
                <w:sz w:val="17"/>
              </w:rPr>
              <w:t>immediately before the action it governs</w:t>
            </w:r>
            <w:r>
              <w:rPr>
                <w:color w:val="1C2730"/>
                <w:sz w:val="17"/>
              </w:rPr>
              <w:t>:</w:t>
            </w:r>
          </w:p>
          <w:p>
            <w:pPr>
              <w:pStyle w:val="ListBullet"/>
              <w:spacing w:before="0" w:after="30"/>
              <w:ind w:left="300" w:hanging="200"/>
            </w:pPr>
            <w:r>
              <w:rPr>
                <w:b/>
                <w:color w:val="1C2730"/>
                <w:sz w:val="17"/>
              </w:rPr>
              <w:t>Before you give anyone access:</w:t>
            </w:r>
            <w:r>
              <w:rPr>
                <w:color w:val="1C2730"/>
                <w:sz w:val="17"/>
              </w:rPr>
              <w:t xml:space="preserve"> placed just before step 3, where the link type and recipient are chosen. This is the sharing decision. It names what to look at (the approved request; the link setting) and what stops the task.</w:t>
            </w:r>
          </w:p>
          <w:p>
            <w:pPr>
              <w:pStyle w:val="ListBullet"/>
              <w:spacing w:before="0" w:after="30"/>
              <w:ind w:left="300" w:hanging="200"/>
            </w:pPr>
            <w:r>
              <w:rPr>
                <w:b/>
                <w:color w:val="1C2730"/>
                <w:sz w:val="17"/>
              </w:rPr>
              <w:t>Before you type into Copilot:</w:t>
            </w:r>
            <w:r>
              <w:rPr>
                <w:color w:val="1C2730"/>
                <w:sz w:val="17"/>
              </w:rPr>
              <w:t xml:space="preserve"> placed just before step 10, the first point where text could enter Copilot. This is the patient-detail decision. It names what may and may not be typed.</w:t>
            </w:r>
          </w:p>
          <w:p>
            <w:pPr>
              <w:pStyle w:val="ListBullet"/>
              <w:spacing w:before="0" w:after="30"/>
              <w:ind w:left="300" w:hanging="200"/>
            </w:pPr>
            <w:r>
              <w:rPr>
                <w:color w:val="1C2730"/>
                <w:sz w:val="17"/>
              </w:rPr>
              <w:t>The send action is guarded by the “Check before you send” box in the next row.</w:t>
            </w:r>
          </w:p>
        </w:tc>
      </w:tr>
      <w:tr>
        <w:tc>
          <w:tcPr>
            <w:tcW w:type="dxa" w:w="1900"/>
            <w:tcBorders>
              <w:bottom w:val="single" w:sz="6" w:color="D8E0E4"/>
            </w:tcBorders>
            <w:shd w:fill="F8FAFB"/>
            <w:tcMar>
              <w:top w:w="90" w:type="dxa"/>
              <w:start w:w="100" w:type="dxa"/>
              <w:bottom w:w="90" w:type="dxa"/>
              <w:end w:w="100" w:type="dxa"/>
            </w:tcMar>
            <w:vAlign w:val="top"/>
          </w:tcPr>
          <w:p>
            <w:pPr>
              <w:spacing w:after="40"/>
            </w:pPr>
            <w:r>
              <w:rPr>
                <w:sz w:val="17"/>
              </w:rPr>
              <w:t>Verification step</w:t>
            </w:r>
          </w:p>
        </w:tc>
        <w:tc>
          <w:tcPr>
            <w:tcW w:type="dxa" w:w="8324"/>
            <w:tcBorders>
              <w:bottom w:val="single" w:sz="6" w:color="D8E0E4"/>
            </w:tcBorders>
            <w:shd w:fill="F8FAFB"/>
            <w:tcMar>
              <w:top w:w="90" w:type="dxa"/>
              <w:start w:w="100" w:type="dxa"/>
              <w:bottom w:w="90" w:type="dxa"/>
              <w:end w:w="100" w:type="dxa"/>
            </w:tcMar>
            <w:vAlign w:val="top"/>
          </w:tcPr>
          <w:tbl>
            <w:tblPr>
              <w:tblW w:w="8100" w:type="dxa"/>
              <w:tblBorders>
                <w:top w:val="single" w:sz="4" w:space="0" w:color="2D7F85"/>
                <w:left w:val="single" w:sz="24" w:space="0" w:color="2D7F85"/>
                <w:bottom w:val="single" w:sz="4" w:space="0" w:color="2D7F85"/>
                <w:right w:val="single" w:sz="4" w:space="0" w:color="2D7F85"/>
              </w:tblBorders>
              <w:tblLayout w:type="fixed"/>
              <w:tblCellMar>
                <w:top w:w="70" w:type="dxa"/>
                <w:left w:w="120" w:type="dxa"/>
                <w:bottom w:w="70" w:type="dxa"/>
                <w:right w:w="120" w:type="dxa"/>
              </w:tblCellMar>
              <w:tblLook w:firstColumn="1" w:firstRow="1" w:lastColumn="0" w:lastRow="0" w:noHBand="0" w:noVBand="1" w:val="04A0"/>
            </w:tblPr>
            <w:tblGrid>
              <w:gridCol w:w="8100"/>
            </w:tblGrid>
            <w:tr>
              <w:trPr>
                <w:cantSplit/>
              </w:trPr>
              <w:tc>
                <w:tcPr>
                  <w:tcW w:type="dxa" w:w="8100"/>
                  <w:shd w:val="clear" w:color="auto" w:fill="EEF5F5"/>
                </w:tcPr>
                <w:p>
                  <w:pPr>
                    <w:spacing w:before="0" w:after="40"/>
                  </w:pPr>
                  <w:r>
                    <w:rPr>
                      <w:b/>
                      <w:color w:val="2D7F85"/>
                      <w:sz w:val="18"/>
                    </w:rPr>
                    <w:t>✔ Check before you send (this check can fail)</w:t>
                  </w:r>
                </w:p>
                <w:p>
                  <w:pPr>
                    <w:spacing w:before="0" w:after="40"/>
                  </w:pPr>
                  <w:r>
                    <w:rPr>
                      <w:color w:val="1C2730"/>
                      <w:sz w:val="17"/>
                    </w:rPr>
                    <w:t>All three must match:</w:t>
                  </w:r>
                </w:p>
                <w:p>
                  <w:pPr>
                    <w:spacing w:before="0" w:after="40"/>
                  </w:pPr>
                  <w:r>
                    <w:rPr>
                      <w:color w:val="1C2730"/>
                      <w:sz w:val="17"/>
                    </w:rPr>
                    <w:t xml:space="preserve">1. </w:t>
                  </w:r>
                  <w:r>
                    <w:rPr>
                      <w:b/>
                      <w:color w:val="1C2730"/>
                      <w:sz w:val="17"/>
                    </w:rPr>
                    <w:t>Your request:</w:t>
                  </w:r>
                  <w:r>
                    <w:rPr>
                      <w:color w:val="1C2730"/>
                      <w:sz w:val="17"/>
                    </w:rPr>
                    <w:t xml:space="preserve"> the To line and the greeting name the same colleague.</w:t>
                  </w:r>
                </w:p>
                <w:p>
                  <w:pPr>
                    <w:spacing w:before="0" w:after="40"/>
                  </w:pPr>
                  <w:r>
                    <w:rPr>
                      <w:color w:val="1C2730"/>
                      <w:sz w:val="17"/>
                    </w:rPr>
                    <w:t xml:space="preserve">2. </w:t>
                  </w:r>
                  <w:r>
                    <w:rPr>
                      <w:b/>
                      <w:color w:val="1C2730"/>
                      <w:sz w:val="17"/>
                    </w:rPr>
                    <w:t>Manage access:</w:t>
                  </w:r>
                  <w:r>
                    <w:rPr>
                      <w:color w:val="1C2730"/>
                      <w:sz w:val="17"/>
                    </w:rPr>
                    <w:t xml:space="preserve"> that colleague, Can view, no Anyone link.</w:t>
                  </w:r>
                </w:p>
                <w:p>
                  <w:pPr>
                    <w:spacing w:before="0" w:after="40"/>
                  </w:pPr>
                  <w:r>
                    <w:rPr>
                      <w:color w:val="1C2730"/>
                      <w:sz w:val="17"/>
                    </w:rPr>
                    <w:t xml:space="preserve">3. </w:t>
                  </w:r>
                  <w:r>
                    <w:rPr>
                      <w:b/>
                      <w:color w:val="1C2730"/>
                      <w:sz w:val="17"/>
                    </w:rPr>
                    <w:t>Case packet:</w:t>
                  </w:r>
                  <w:r>
                    <w:rPr>
                      <w:color w:val="1C2730"/>
                      <w:sz w:val="17"/>
                    </w:rPr>
                    <w:t xml:space="preserve"> every sentence is supported; nothing clinical added.</w:t>
                  </w:r>
                </w:p>
                <w:p>
                  <w:pPr>
                    <w:spacing w:before="0" w:after="40"/>
                  </w:pPr>
                  <w:r>
                    <w:rPr>
                      <w:b/>
                      <w:color w:val="1C2730"/>
                      <w:sz w:val="17"/>
                    </w:rPr>
                    <w:t>If any check fails:</w:t>
                  </w:r>
                  <w:r>
                    <w:rPr>
                      <w:color w:val="1C2730"/>
                      <w:sz w:val="17"/>
                    </w:rPr>
                    <w:t xml:space="preserve"> don't send, and don't re-share more widely. Leave the draft unsent and call the IT support desk.</w:t>
                  </w:r>
                </w:p>
              </w:tc>
            </w:tr>
          </w:tbl>
          <w:p>
            <w:pPr>
              <w:spacing w:before="0" w:after="0"/>
              <w:rPr>
                <w:sz w:val="8"/>
              </w:rPr>
            </w:pPr>
          </w:p>
          <w:p>
            <w:pPr>
              <w:spacing w:before="40" w:after="40"/>
            </w:pPr>
            <w:r>
              <w:rPr>
                <w:b/>
                <w:color w:val="9F1239"/>
                <w:sz w:val="18"/>
              </w:rPr>
              <w:t>Also stop and call if</w:t>
            </w:r>
          </w:p>
          <w:p>
            <w:pPr>
              <w:pStyle w:val="ListBullet"/>
              <w:spacing w:before="0" w:after="30"/>
              <w:ind w:left="300" w:hanging="200"/>
            </w:pPr>
            <w:r>
              <w:rPr>
                <w:color w:val="1C2730"/>
                <w:sz w:val="18"/>
              </w:rPr>
              <w:t>Manage access shows someone you didn't add, or an Anyone link. Call straight away.</w:t>
            </w:r>
          </w:p>
          <w:p>
            <w:pPr>
              <w:pStyle w:val="ListBullet"/>
              <w:spacing w:before="0" w:after="30"/>
              <w:ind w:left="300" w:hanging="200"/>
            </w:pPr>
            <w:r>
              <w:rPr>
                <w:color w:val="1C2730"/>
                <w:sz w:val="18"/>
              </w:rPr>
              <w:t>Your colleague says the link won't open.</w:t>
            </w:r>
          </w:p>
          <w:p>
            <w:pPr>
              <w:pStyle w:val="ListBullet"/>
              <w:spacing w:before="0" w:after="30"/>
              <w:ind w:left="300" w:hanging="200"/>
            </w:pPr>
            <w:r>
              <w:rPr>
                <w:color w:val="1C2730"/>
                <w:sz w:val="18"/>
              </w:rPr>
              <w:t>You're unsure whether this summary may be shared.</w:t>
            </w:r>
          </w:p>
          <w:p>
            <w:pPr>
              <w:pStyle w:val="ListBullet"/>
              <w:spacing w:before="0" w:after="30"/>
              <w:ind w:left="300" w:hanging="200"/>
            </w:pPr>
            <w:r>
              <w:rPr>
                <w:color w:val="1C2730"/>
                <w:sz w:val="18"/>
              </w:rPr>
              <w:t>Copilot isn't available. You may write the email yourself.</w:t>
            </w:r>
          </w:p>
          <w:p>
            <w:pPr>
              <w:spacing w:before="60" w:after="0"/>
            </w:pPr>
            <w:r>
              <w:rPr>
                <w:b/>
                <w:color w:val="1C2730"/>
                <w:sz w:val="18"/>
              </w:rPr>
              <w:t>What happens when you call.</w:t>
            </w:r>
            <w:r>
              <w:rPr>
                <w:color w:val="1C2730"/>
                <w:sz w:val="18"/>
              </w:rPr>
              <w:t xml:space="preserve"> Say which step you stopped at and what you saw. IT support passes it on: sign-in problems to Identity Administrators, sharing or email problems to the Microsoft 365 admin team, privacy concerns to the Privacy Office. They won't widen access or send for you.</w:t>
            </w:r>
          </w:p>
        </w:tc>
      </w:tr>
      <w:tr>
        <w:tc>
          <w:tcPr>
            <w:tcW w:type="dxa" w:w="1900"/>
            <w:tcBorders>
              <w:bottom w:val="single" w:sz="6" w:color="D8E0E4"/>
            </w:tcBorders>
            <w:tcMar>
              <w:top w:w="90" w:type="dxa"/>
              <w:start w:w="100" w:type="dxa"/>
              <w:bottom w:w="90" w:type="dxa"/>
              <w:end w:w="100" w:type="dxa"/>
            </w:tcMar>
            <w:vAlign w:val="top"/>
          </w:tcPr>
          <w:p>
            <w:pPr>
              <w:spacing w:after="40"/>
            </w:pPr>
            <w:r>
              <w:rPr>
                <w:sz w:val="17"/>
              </w:rPr>
              <w:t>Plain-language quality check</w:t>
            </w:r>
          </w:p>
        </w:tc>
        <w:tc>
          <w:tcPr>
            <w:tcW w:type="dxa" w:w="8324"/>
            <w:tcBorders>
              <w:bottom w:val="single" w:sz="6" w:color="D8E0E4"/>
            </w:tcBorders>
            <w:tcMar>
              <w:top w:w="90" w:type="dxa"/>
              <w:start w:w="100" w:type="dxa"/>
              <w:bottom w:w="90" w:type="dxa"/>
              <w:end w:w="100" w:type="dxa"/>
            </w:tcMar>
            <w:vAlign w:val="top"/>
          </w:tcPr>
          <w:tbl>
            <w:tblPr>
              <w:tblW w:w="8100" w:type="dxa"/>
              <w:tblBorders>
                <w:top w:val="single" w:sz="4" w:space="0" w:color="D8E0E4"/>
                <w:left w:val="single" w:sz="4" w:space="0" w:color="D8E0E4"/>
                <w:bottom w:val="single" w:sz="4" w:space="0" w:color="D8E0E4"/>
                <w:right w:val="single" w:sz="4" w:space="0" w:color="D8E0E4"/>
                <w:insideH w:val="single" w:sz="4" w:space="0" w:color="D8E0E4"/>
                <w:insideV w:val="single" w:sz="4" w:space="0" w:color="D8E0E4"/>
              </w:tblBorders>
              <w:tblLayout w:type="fixed"/>
              <w:tblCellMar>
                <w:top w:w="45" w:type="dxa"/>
                <w:left w:w="80" w:type="dxa"/>
                <w:bottom w:w="45" w:type="dxa"/>
                <w:right w:w="80" w:type="dxa"/>
              </w:tblCellMar>
              <w:tblLook w:firstColumn="1" w:firstRow="1" w:lastColumn="0" w:lastRow="0" w:noHBand="0" w:noVBand="1" w:val="04A0"/>
            </w:tblPr>
            <w:tblGrid>
              <w:gridCol w:w="3600"/>
              <w:gridCol w:w="4500"/>
            </w:tblGrid>
            <w:tr>
              <w:trPr>
                <w:tblHeader/>
                <w:cantSplit/>
              </w:trPr>
              <w:tc>
                <w:tcPr>
                  <w:tcW w:type="dxa" w:w="3600"/>
                  <w:shd w:val="clear" w:color="auto" w:fill="17324D"/>
                </w:tcPr>
                <w:p>
                  <w:pPr>
                    <w:keepNext/>
                    <w:spacing w:before="0" w:after="30"/>
                  </w:pPr>
                  <w:r>
                    <w:rPr>
                      <w:b/>
                      <w:color w:val="FFFFFF"/>
                      <w:sz w:val="15"/>
                    </w:rPr>
                    <w:t>Check (End-User Guide Structure Template, “Before you publish”)</w:t>
                  </w:r>
                </w:p>
              </w:tc>
              <w:tc>
                <w:tcPr>
                  <w:tcW w:type="dxa" w:w="4500"/>
                  <w:shd w:val="clear" w:color="auto" w:fill="17324D"/>
                </w:tcPr>
                <w:p>
                  <w:pPr>
                    <w:keepNext/>
                    <w:spacing w:before="0" w:after="30"/>
                  </w:pPr>
                  <w:r>
                    <w:rPr>
                      <w:b/>
                      <w:color w:val="FFFFFF"/>
                      <w:sz w:val="15"/>
                    </w:rPr>
                    <w:t>Result</w:t>
                  </w:r>
                </w:p>
              </w:tc>
            </w:tr>
            <w:tr>
              <w:tc>
                <w:tcPr>
                  <w:tcW w:type="dxa" w:w="3600"/>
                </w:tcPr>
                <w:p>
                  <w:pPr>
                    <w:spacing w:before="0" w:after="30"/>
                  </w:pPr>
                  <w:r>
                    <w:rPr>
                      <w:color w:val="1C2730"/>
                      <w:sz w:val="15"/>
                    </w:rPr>
                    <w:t>Length</w:t>
                  </w:r>
                </w:p>
              </w:tc>
              <w:tc>
                <w:tcPr>
                  <w:tcW w:type="dxa" w:w="4500"/>
                </w:tcPr>
                <w:p>
                  <w:pPr>
                    <w:spacing w:before="0" w:after="30"/>
                  </w:pPr>
                  <w:r>
                    <w:rPr>
                      <w:b/>
                      <w:color w:val="1C2730"/>
                      <w:sz w:val="15"/>
                    </w:rPr>
                    <w:t>649 words</w:t>
                  </w:r>
                  <w:r>
                    <w:rPr>
                      <w:color w:val="1C2730"/>
                      <w:sz w:val="15"/>
                    </w:rPr>
                    <w:t>, title to escalation route, against the 400–600 guidance. Kept slightly over so that every step keeps its observable result.</w:t>
                  </w:r>
                </w:p>
              </w:tc>
            </w:tr>
            <w:tr>
              <w:trPr>
                <w:cantSplit/>
              </w:trPr>
              <w:tc>
                <w:tcPr>
                  <w:tcW w:type="dxa" w:w="3600"/>
                  <w:shd w:val="clear" w:color="auto" w:fill="F8FAFB"/>
                </w:tcPr>
                <w:p>
                  <w:pPr>
                    <w:spacing w:before="0" w:after="30"/>
                  </w:pPr>
                  <w:r>
                    <w:rPr>
                      <w:color w:val="1C2730"/>
                      <w:sz w:val="15"/>
                    </w:rPr>
                    <w:t>Readability (automated estimate)</w:t>
                  </w:r>
                </w:p>
              </w:tc>
              <w:tc>
                <w:tcPr>
                  <w:tcW w:type="dxa" w:w="4500"/>
                  <w:shd w:val="clear" w:color="auto" w:fill="F8FAFB"/>
                </w:tcPr>
                <w:p>
                  <w:pPr>
                    <w:spacing w:before="0" w:after="30"/>
                  </w:pPr>
                  <w:r>
                    <w:rPr>
                      <w:color w:val="1C2730"/>
                      <w:sz w:val="15"/>
                    </w:rPr>
                    <w:t>Flesch Reading Ease ≈ 79; grade level ≈ 4. Short sentences, one action per step.</w:t>
                  </w:r>
                </w:p>
              </w:tc>
            </w:tr>
            <w:tr>
              <w:trPr>
                <w:cantSplit/>
              </w:trPr>
              <w:tc>
                <w:tcPr>
                  <w:tcW w:type="dxa" w:w="3600"/>
                </w:tcPr>
                <w:p>
                  <w:pPr>
                    <w:spacing w:before="0" w:after="30"/>
                  </w:pPr>
                  <w:r>
                    <w:rPr>
                      <w:color w:val="1C2730"/>
                      <w:sz w:val="15"/>
                    </w:rPr>
                    <w:t>No unexplained acronyms or jargon</w:t>
                  </w:r>
                </w:p>
              </w:tc>
              <w:tc>
                <w:tcPr>
                  <w:tcW w:type="dxa" w:w="4500"/>
                </w:tcPr>
                <w:p>
                  <w:pPr>
                    <w:spacing w:before="0" w:after="30"/>
                  </w:pPr>
                  <w:r>
                    <w:rPr>
                      <w:color w:val="1C2730"/>
                      <w:sz w:val="15"/>
                    </w:rPr>
                    <w:t>“IT support desk” is glossed as the technology help line. Copilot and Manage access are explained where first used. The guide does not use PHI, AI, MFA, URL, KB or tenant.</w:t>
                  </w:r>
                </w:p>
              </w:tc>
            </w:tr>
            <w:tr>
              <w:trPr>
                <w:cantSplit/>
              </w:trPr>
              <w:tc>
                <w:tcPr>
                  <w:tcW w:type="dxa" w:w="3600"/>
                  <w:shd w:val="clear" w:color="auto" w:fill="F8FAFB"/>
                </w:tcPr>
                <w:p>
                  <w:pPr>
                    <w:spacing w:before="0" w:after="30"/>
                  </w:pPr>
                  <w:r>
                    <w:rPr>
                      <w:color w:val="1C2730"/>
                      <w:sz w:val="15"/>
                    </w:rPr>
                    <w:t>Title names the clinical task, not the product</w:t>
                  </w:r>
                </w:p>
              </w:tc>
              <w:tc>
                <w:tcPr>
                  <w:tcW w:type="dxa" w:w="4500"/>
                  <w:shd w:val="clear" w:color="auto" w:fill="F8FAFB"/>
                </w:tcPr>
                <w:p>
                  <w:pPr>
                    <w:spacing w:before="0" w:after="30"/>
                  </w:pPr>
                  <w:r>
                    <w:rPr>
                      <w:color w:val="1C2730"/>
                      <w:sz w:val="15"/>
                    </w:rPr>
                    <w:t>Pass</w:t>
                  </w:r>
                </w:p>
              </w:tc>
            </w:tr>
            <w:tr>
              <w:trPr>
                <w:cantSplit/>
              </w:trPr>
              <w:tc>
                <w:tcPr>
                  <w:tcW w:type="dxa" w:w="3600"/>
                </w:tcPr>
                <w:p>
                  <w:pPr>
                    <w:spacing w:before="0" w:after="30"/>
                  </w:pPr>
                  <w:r>
                    <w:rPr>
                      <w:color w:val="1C2730"/>
                      <w:sz w:val="15"/>
                    </w:rPr>
                    <w:t>Prerequisites cover account, permission level and tools separately</w:t>
                  </w:r>
                </w:p>
              </w:tc>
              <w:tc>
                <w:tcPr>
                  <w:tcW w:type="dxa" w:w="4500"/>
                </w:tcPr>
                <w:p>
                  <w:pPr>
                    <w:spacing w:before="0" w:after="30"/>
                  </w:pPr>
                  <w:r>
                    <w:rPr>
                      <w:color w:val="1C2730"/>
                      <w:sz w:val="15"/>
                    </w:rPr>
                    <w:t>Pass, plus documents and time</w:t>
                  </w:r>
                </w:p>
              </w:tc>
            </w:tr>
            <w:tr>
              <w:trPr>
                <w:cantSplit/>
              </w:trPr>
              <w:tc>
                <w:tcPr>
                  <w:tcW w:type="dxa" w:w="3600"/>
                  <w:shd w:val="clear" w:color="auto" w:fill="F8FAFB"/>
                </w:tcPr>
                <w:p>
                  <w:pPr>
                    <w:spacing w:before="0" w:after="30"/>
                  </w:pPr>
                  <w:r>
                    <w:rPr>
                      <w:color w:val="1C2730"/>
                      <w:sz w:val="15"/>
                    </w:rPr>
                    <w:t>Exactly one action per step, each with an observable result</w:t>
                  </w:r>
                </w:p>
              </w:tc>
              <w:tc>
                <w:tcPr>
                  <w:tcW w:type="dxa" w:w="4500"/>
                  <w:shd w:val="clear" w:color="auto" w:fill="F8FAFB"/>
                </w:tcPr>
                <w:p>
                  <w:pPr>
                    <w:spacing w:before="0" w:after="30"/>
                  </w:pPr>
                  <w:r>
                    <w:rPr>
                      <w:color w:val="1C2730"/>
                      <w:sz w:val="15"/>
                    </w:rPr>
                    <w:t>Pass: 21 steps, each followed by → what you should see</w:t>
                  </w:r>
                </w:p>
              </w:tc>
            </w:tr>
            <w:tr>
              <w:trPr>
                <w:cantSplit/>
              </w:trPr>
              <w:tc>
                <w:tcPr>
                  <w:tcW w:type="dxa" w:w="3600"/>
                </w:tcPr>
                <w:p>
                  <w:pPr>
                    <w:spacing w:before="0" w:after="30"/>
                  </w:pPr>
                  <w:r>
                    <w:rPr>
                      <w:color w:val="1C2730"/>
                      <w:sz w:val="15"/>
                    </w:rPr>
                    <w:t>Privacy check sits immediately before the action it governs, names what to look at and what stops the task</w:t>
                  </w:r>
                </w:p>
              </w:tc>
              <w:tc>
                <w:tcPr>
                  <w:tcW w:type="dxa" w:w="4500"/>
                </w:tcPr>
                <w:p>
                  <w:pPr>
                    <w:spacing w:before="0" w:after="30"/>
                  </w:pPr>
                  <w:r>
                    <w:rPr>
                      <w:color w:val="1C2730"/>
                      <w:sz w:val="15"/>
                    </w:rPr>
                    <w:t>Pass: two amber boxes (before steps 3 and 10)</w:t>
                  </w:r>
                </w:p>
              </w:tc>
            </w:tr>
            <w:tr>
              <w:trPr>
                <w:cantSplit/>
              </w:trPr>
              <w:tc>
                <w:tcPr>
                  <w:tcW w:type="dxa" w:w="3600"/>
                  <w:shd w:val="clear" w:color="auto" w:fill="F8FAFB"/>
                </w:tcPr>
                <w:p>
                  <w:pPr>
                    <w:spacing w:before="0" w:after="30"/>
                  </w:pPr>
                  <w:r>
                    <w:rPr>
                      <w:color w:val="1C2730"/>
                      <w:sz w:val="15"/>
                    </w:rPr>
                    <w:t>Verification is an action that can fail, with a failure branch</w:t>
                  </w:r>
                </w:p>
              </w:tc>
              <w:tc>
                <w:tcPr>
                  <w:tcW w:type="dxa" w:w="4500"/>
                  <w:shd w:val="clear" w:color="auto" w:fill="F8FAFB"/>
                </w:tcPr>
                <w:p>
                  <w:pPr>
                    <w:spacing w:before="0" w:after="30"/>
                  </w:pPr>
                  <w:r>
                    <w:rPr>
                      <w:color w:val="1C2730"/>
                      <w:sz w:val="15"/>
                    </w:rPr>
                    <w:t>Pass: three-way match, plus “If any check fails”</w:t>
                  </w:r>
                </w:p>
              </w:tc>
            </w:tr>
            <w:tr>
              <w:trPr>
                <w:cantSplit/>
              </w:trPr>
              <w:tc>
                <w:tcPr>
                  <w:tcW w:type="dxa" w:w="3600"/>
                </w:tcPr>
                <w:p>
                  <w:pPr>
                    <w:spacing w:before="0" w:after="30"/>
                  </w:pPr>
                  <w:r>
                    <w:rPr>
                      <w:color w:val="1C2730"/>
                      <w:sz w:val="15"/>
                    </w:rPr>
                    <w:t>Four required elements</w:t>
                  </w:r>
                </w:p>
              </w:tc>
              <w:tc>
                <w:tcPr>
                  <w:tcW w:type="dxa" w:w="4500"/>
                </w:tcPr>
                <w:p>
                  <w:pPr>
                    <w:spacing w:before="0" w:after="30"/>
                  </w:pPr>
                  <w:r>
                    <w:rPr>
                      <w:b/>
                      <w:color w:val="1C2730"/>
                      <w:sz w:val="15"/>
                    </w:rPr>
                    <w:t>Visible permission checks:</w:t>
                  </w:r>
                  <w:r>
                    <w:rPr>
                      <w:color w:val="1C2730"/>
                      <w:sz w:val="15"/>
                    </w:rPr>
                    <w:t xml:space="preserve"> steps 6, 9; check 2. </w:t>
                  </w:r>
                  <w:r>
                    <w:rPr>
                      <w:b/>
                      <w:color w:val="1C2730"/>
                      <w:sz w:val="15"/>
                    </w:rPr>
                    <w:t>Source verification:</w:t>
                  </w:r>
                  <w:r>
                    <w:rPr>
                      <w:color w:val="1C2730"/>
                      <w:sz w:val="15"/>
                    </w:rPr>
                    <w:t xml:space="preserve"> step 15; check 3. </w:t>
                  </w:r>
                  <w:r>
                    <w:rPr>
                      <w:b/>
                      <w:color w:val="1C2730"/>
                      <w:sz w:val="15"/>
                    </w:rPr>
                    <w:t>Safe-stop conditions:</w:t>
                  </w:r>
                  <w:r>
                    <w:rPr>
                      <w:color w:val="1C2730"/>
                      <w:sz w:val="15"/>
                    </w:rPr>
                    <w:t xml:space="preserve"> both privacy boxes, step results, “Also stop and call if.” </w:t>
                  </w:r>
                  <w:r>
                    <w:rPr>
                      <w:b/>
                      <w:color w:val="1C2730"/>
                      <w:sz w:val="15"/>
                    </w:rPr>
                    <w:t>Escalation route:</w:t>
                  </w:r>
                  <w:r>
                    <w:rPr>
                      <w:color w:val="1C2730"/>
                      <w:sz w:val="15"/>
                    </w:rPr>
                    <w:t xml:space="preserve"> “What happens when you call.”</w:t>
                  </w:r>
                </w:p>
              </w:tc>
            </w:tr>
            <w:tr>
              <w:trPr>
                <w:cantSplit/>
              </w:trPr>
              <w:tc>
                <w:tcPr>
                  <w:tcW w:type="dxa" w:w="3600"/>
                  <w:shd w:val="clear" w:color="auto" w:fill="F8FAFB"/>
                </w:tcPr>
                <w:p>
                  <w:pPr>
                    <w:spacing w:before="0" w:after="30"/>
                  </w:pPr>
                  <w:r>
                    <w:rPr>
                      <w:color w:val="1C2730"/>
                      <w:sz w:val="15"/>
                    </w:rPr>
                    <w:t>Control names confirmed against the live environment; guide run end to end on a test item</w:t>
                  </w:r>
                </w:p>
              </w:tc>
              <w:tc>
                <w:tcPr>
                  <w:tcW w:type="dxa" w:w="4500"/>
                  <w:shd w:val="clear" w:color="auto" w:fill="F8FAFB"/>
                </w:tcPr>
                <w:p>
                  <w:pPr>
                    <w:spacing w:before="0" w:after="30"/>
                  </w:pPr>
                  <w:r>
                    <w:rPr>
                      <w:b/>
                      <w:color w:val="1C2730"/>
                      <w:sz w:val="15"/>
                    </w:rPr>
                    <w:t>Unable to Verify</w:t>
                  </w:r>
                  <w:r>
                    <w:rPr>
                      <w:color w:val="1C2730"/>
                      <w:sz w:val="15"/>
                    </w:rPr>
                    <w:t xml:space="preserve"> in this simulation. Labels such as People you choose / Specific people vary by version, so the guide tells Dr. Chen to stop if a label doesn't match (Fact Sheet › Decision boundaries, bullet 4).</w:t>
                  </w:r>
                </w:p>
              </w:tc>
            </w:tr>
            <w:tr>
              <w:trPr>
                <w:cantSplit/>
              </w:trPr>
              <w:tc>
                <w:tcPr>
                  <w:tcW w:type="dxa" w:w="3600"/>
                </w:tcPr>
                <w:p>
                  <w:pPr>
                    <w:spacing w:before="0" w:after="30"/>
                  </w:pPr>
                  <w:r>
                    <w:rPr>
                      <w:color w:val="1C2730"/>
                      <w:sz w:val="15"/>
                    </w:rPr>
                    <w:t>Session scope</w:t>
                  </w:r>
                </w:p>
              </w:tc>
              <w:tc>
                <w:tcPr>
                  <w:tcW w:type="dxa" w:w="4500"/>
                </w:tcPr>
                <w:p>
                  <w:pPr>
                    <w:spacing w:before="0" w:after="30"/>
                  </w:pPr>
                  <w:r>
                    <w:rPr>
                      <w:color w:val="1C2730"/>
                      <w:sz w:val="15"/>
                    </w:rPr>
                    <w:t>Covers only the requested workflow. No extras such as labels or site settings (Live Coaching Techniques Reference › Session scope).</w:t>
                  </w:r>
                </w:p>
              </w:tc>
            </w:tr>
          </w:tbl>
          <w:p>
            <w:pPr>
              <w:spacing w:before="0" w:after="0"/>
              <w:rPr>
                <w:sz w:val="8"/>
              </w:rPr>
            </w:pPr>
          </w:p>
        </w:tc>
      </w:tr>
    </w:tbl>
    <w:p>
      <w:pPr>
        <w:spacing w:after="40"/>
      </w:pPr>
    </w:p>
    <w:p>
      <w:pPr>
        <w:pStyle w:val="Heading1"/>
      </w:pPr>
      <w:r>
        <w:t>Component 5 - Coaching Evidence</w:t>
      </w:r>
    </w:p>
    <w:tbl>
      <w:tblPr>
        <w:tblStyle w:val="TableGrid"/>
        <w:tblW w:w="10224" w:type="dxa"/>
        <w:jc w:val="center"/>
        <w:tblLayout w:type="fixed"/>
        <w:tblLook w:firstColumn="1" w:firstRow="1" w:lastColumn="0" w:lastRow="0" w:noHBand="0" w:noVBand="1" w:val="04A0"/>
      </w:tblPr>
      <w:tblGrid>
        <w:gridCol w:w="1900"/>
        <w:gridCol w:w="8324"/>
      </w:tblGrid>
      <w:tr>
        <w:tc>
          <w:tcPr>
            <w:tcW w:type="dxa" w:w="1900"/>
            <w:shd w:fill="17324D"/>
            <w:tcMar>
              <w:top w:w="90" w:type="dxa"/>
              <w:start w:w="100" w:type="dxa"/>
              <w:bottom w:w="90" w:type="dxa"/>
              <w:end w:w="100" w:type="dxa"/>
            </w:tcMar>
            <w:vAlign w:val="center"/>
          </w:tcPr>
          <w:p>
            <w:pPr>
              <w:jc w:val="left"/>
            </w:pPr>
            <w:r>
              <w:rPr>
                <w:b/>
                <w:color w:val="FFFFFF"/>
                <w:sz w:val="18"/>
              </w:rPr>
              <w:t>Field</w:t>
            </w:r>
          </w:p>
        </w:tc>
        <w:tc>
          <w:tcPr>
            <w:tcW w:type="dxa" w:w="8324"/>
            <w:shd w:fill="17324D"/>
            <w:tcMar>
              <w:top w:w="90" w:type="dxa"/>
              <w:start w:w="100" w:type="dxa"/>
              <w:bottom w:w="90" w:type="dxa"/>
              <w:end w:w="100" w:type="dxa"/>
            </w:tcMar>
            <w:vAlign w:val="center"/>
          </w:tcPr>
          <w:p>
            <w:pPr>
              <w:jc w:val="left"/>
            </w:pPr>
            <w:r>
              <w:rPr>
                <w:b/>
                <w:color w:val="FFFFFF"/>
                <w:sz w:val="18"/>
              </w:rPr>
              <w:t>Learner entry</w:t>
            </w:r>
          </w:p>
        </w:tc>
      </w:tr>
      <w:tr>
        <w:tc>
          <w:tcPr>
            <w:tcW w:type="dxa" w:w="1900"/>
            <w:tcBorders>
              <w:bottom w:val="single" w:sz="6" w:color="D8E0E4"/>
            </w:tcBorders>
            <w:shd w:fill="F8FAFB"/>
            <w:tcMar>
              <w:top w:w="90" w:type="dxa"/>
              <w:start w:w="100" w:type="dxa"/>
              <w:bottom w:w="90" w:type="dxa"/>
              <w:end w:w="100" w:type="dxa"/>
            </w:tcMar>
            <w:vAlign w:val="top"/>
          </w:tcPr>
          <w:p>
            <w:pPr>
              <w:spacing w:after="40"/>
            </w:pPr>
            <w:r>
              <w:rPr>
                <w:sz w:val="17"/>
              </w:rPr>
              <w:t>Exchange pair 1 - Copilot use-case boundary</w:t>
            </w:r>
          </w:p>
        </w:tc>
        <w:tc>
          <w:tcPr>
            <w:tcW w:type="dxa" w:w="8324"/>
            <w:tcBorders>
              <w:bottom w:val="single" w:sz="6" w:color="D8E0E4"/>
            </w:tcBorders>
            <w:shd w:fill="F8FAFB"/>
            <w:tcMar>
              <w:top w:w="90" w:type="dxa"/>
              <w:start w:w="100" w:type="dxa"/>
              <w:bottom w:w="90" w:type="dxa"/>
              <w:end w:w="100" w:type="dxa"/>
            </w:tcMar>
            <w:vAlign w:val="top"/>
          </w:tcPr>
          <w:p>
            <w:pPr>
              <w:spacing w:before="0" w:after="60"/>
            </w:pPr>
            <w:r>
              <w:rPr>
                <w:b/>
                <w:color w:val="1C2730"/>
                <w:sz w:val="17"/>
              </w:rPr>
              <w:t>Decision point:</w:t>
            </w:r>
            <w:r>
              <w:rPr>
                <w:color w:val="1C2730"/>
                <w:sz w:val="17"/>
              </w:rPr>
              <w:t xml:space="preserve"> Copilot-use decision (which parts of the request Copilot can help with)</w:t>
            </w:r>
          </w:p>
          <w:p>
            <w:pPr>
              <w:spacing w:before="0" w:after="60"/>
            </w:pPr>
            <w:r>
              <w:rPr>
                <w:b/>
                <w:color w:val="1C2730"/>
                <w:sz w:val="17"/>
              </w:rPr>
              <w:t>Learner:</w:t>
            </w:r>
            <w:r>
              <w:rPr>
                <w:color w:val="1C2730"/>
                <w:sz w:val="17"/>
              </w:rPr>
              <w:t xml:space="preserve"> “Let's split your request into parts. Copilot can help with one of them: drafting the short cover email from the prompt card. It can't summarize or interpret the case, because that's clinical and stays with you. Choosing who receives the file and deciding to share it are your decisions too.”</w:t>
            </w:r>
          </w:p>
          <w:p>
            <w:pPr>
              <w:spacing w:before="0" w:after="30"/>
            </w:pPr>
            <w:r>
              <w:rPr>
                <w:b/>
                <w:color w:val="1C2730"/>
                <w:sz w:val="17"/>
              </w:rPr>
              <w:t>Dr. Chen:</w:t>
            </w:r>
            <w:r>
              <w:rPr>
                <w:color w:val="1C2730"/>
                <w:sz w:val="17"/>
              </w:rPr>
              <w:t xml:space="preserve"> “I see. So, you're saying I need to handle the clinical summary and the sharing permissions myself, but Copilot can help with the structure of the cover email. That makes sense from a privacy perspective. […]”</w:t>
            </w:r>
          </w:p>
          <w:p>
            <w:pPr>
              <w:spacing w:before="40" w:after="0"/>
            </w:pPr>
            <w:r>
              <w:rPr>
                <w:i/>
                <w:color w:val="5B6770"/>
                <w:sz w:val="15"/>
              </w:rPr>
              <w:t>Verbatim from the Coach Role Play transcript. “…” marks omitted text: the learner's pasted “&gt;” separators, or later sentences in the same turn.</w:t>
            </w:r>
          </w:p>
        </w:tc>
      </w:tr>
      <w:tr>
        <w:tc>
          <w:tcPr>
            <w:tcW w:type="dxa" w:w="1900"/>
            <w:tcBorders>
              <w:bottom w:val="single" w:sz="6" w:color="D8E0E4"/>
            </w:tcBorders>
            <w:tcMar>
              <w:top w:w="90" w:type="dxa"/>
              <w:start w:w="100" w:type="dxa"/>
              <w:bottom w:w="90" w:type="dxa"/>
              <w:end w:w="100" w:type="dxa"/>
            </w:tcMar>
            <w:vAlign w:val="top"/>
          </w:tcPr>
          <w:p>
            <w:pPr>
              <w:spacing w:after="40"/>
            </w:pPr>
            <w:r>
              <w:rPr>
                <w:sz w:val="17"/>
              </w:rPr>
              <w:t>Exchange pair 2 - sharing boundary</w:t>
            </w:r>
          </w:p>
        </w:tc>
        <w:tc>
          <w:tcPr>
            <w:tcW w:type="dxa" w:w="8324"/>
            <w:tcBorders>
              <w:bottom w:val="single" w:sz="6" w:color="D8E0E4"/>
            </w:tcBorders>
            <w:tcMar>
              <w:top w:w="90" w:type="dxa"/>
              <w:start w:w="100" w:type="dxa"/>
              <w:bottom w:w="90" w:type="dxa"/>
              <w:end w:w="100" w:type="dxa"/>
            </w:tcMar>
            <w:vAlign w:val="top"/>
          </w:tcPr>
          <w:p>
            <w:pPr>
              <w:spacing w:before="0" w:after="60"/>
            </w:pPr>
            <w:r>
              <w:rPr>
                <w:b/>
                <w:color w:val="1C2730"/>
                <w:sz w:val="17"/>
              </w:rPr>
              <w:t>Decision point:</w:t>
            </w:r>
            <w:r>
              <w:rPr>
                <w:color w:val="1C2730"/>
                <w:sz w:val="17"/>
              </w:rPr>
              <w:t xml:space="preserve"> Sharing-permission decision (how to set up the share correctly)</w:t>
            </w:r>
          </w:p>
          <w:p>
            <w:pPr>
              <w:spacing w:before="0" w:after="60"/>
            </w:pPr>
            <w:r>
              <w:rPr>
                <w:b/>
                <w:color w:val="1C2730"/>
                <w:sz w:val="17"/>
              </w:rPr>
              <w:t>Learner:</w:t>
            </w:r>
            <w:r>
              <w:rPr>
                <w:color w:val="1C2730"/>
                <w:sz w:val="17"/>
              </w:rPr>
              <w:t xml:space="preserve"> “Select Share on the file. What does your screen show now? … Open the link settings, the gear icon. Which options do you see? … Choose People you choose. Is it selected? … Set the permission to Can view. What does it read? … Paste your colleague's work email from your approved request. Does their name come up? … Open Manage access. Read me who's listed and what permission each person has.”</w:t>
            </w:r>
          </w:p>
          <w:p>
            <w:pPr>
              <w:spacing w:before="0" w:after="30"/>
            </w:pPr>
            <w:r>
              <w:rPr>
                <w:b/>
                <w:color w:val="1C2730"/>
                <w:sz w:val="17"/>
              </w:rPr>
              <w:t>Dr. Chen:</w:t>
            </w:r>
            <w:r>
              <w:rPr>
                <w:color w:val="1C2730"/>
                <w:sz w:val="17"/>
              </w:rPr>
              <w:t xml:space="preserve"> “Okay, I've selected the file and clicked Share.</w:t>
            </w:r>
          </w:p>
          <w:p>
            <w:pPr>
              <w:spacing w:before="0" w:after="30"/>
            </w:pPr>
            <w:r>
              <w:rPr>
                <w:color w:val="1C2730"/>
                <w:sz w:val="17"/>
              </w:rPr>
              <w:t>Looking at the link settings gear icon, I see options for "Anyone with the link," "People in my organization," and "People you choose." I've selected "People you choose."</w:t>
            </w:r>
          </w:p>
          <w:p>
            <w:pPr>
              <w:spacing w:before="0" w:after="30"/>
            </w:pPr>
            <w:r>
              <w:rPr>
                <w:color w:val="1C2730"/>
                <w:sz w:val="17"/>
              </w:rPr>
              <w:t>Next, I've set the permission to "Can view." It now reads "People you choose can view." […]”</w:t>
            </w:r>
          </w:p>
        </w:tc>
      </w:tr>
      <w:tr>
        <w:tc>
          <w:tcPr>
            <w:tcW w:type="dxa" w:w="1900"/>
            <w:tcBorders>
              <w:bottom w:val="single" w:sz="6" w:color="D8E0E4"/>
            </w:tcBorders>
            <w:shd w:fill="F8FAFB"/>
            <w:tcMar>
              <w:top w:w="90" w:type="dxa"/>
              <w:start w:w="100" w:type="dxa"/>
              <w:bottom w:w="90" w:type="dxa"/>
              <w:end w:w="100" w:type="dxa"/>
            </w:tcMar>
            <w:vAlign w:val="top"/>
          </w:tcPr>
          <w:p>
            <w:pPr>
              <w:spacing w:after="40"/>
            </w:pPr>
            <w:r>
              <w:rPr>
                <w:sz w:val="17"/>
              </w:rPr>
              <w:t>Exchange pair 3 - final-review boundary</w:t>
            </w:r>
          </w:p>
        </w:tc>
        <w:tc>
          <w:tcPr>
            <w:tcW w:type="dxa" w:w="8324"/>
            <w:tcBorders>
              <w:bottom w:val="single" w:sz="6" w:color="D8E0E4"/>
            </w:tcBorders>
            <w:shd w:fill="F8FAFB"/>
            <w:tcMar>
              <w:top w:w="90" w:type="dxa"/>
              <w:start w:w="100" w:type="dxa"/>
              <w:bottom w:w="90" w:type="dxa"/>
              <w:end w:w="100" w:type="dxa"/>
            </w:tcMar>
            <w:vAlign w:val="top"/>
          </w:tcPr>
          <w:p>
            <w:pPr>
              <w:spacing w:before="0" w:after="60"/>
            </w:pPr>
            <w:r>
              <w:rPr>
                <w:b/>
                <w:color w:val="1C2730"/>
                <w:sz w:val="17"/>
              </w:rPr>
              <w:t>Decision point:</w:t>
            </w:r>
            <w:r>
              <w:rPr>
                <w:color w:val="1C2730"/>
                <w:sz w:val="17"/>
              </w:rPr>
              <w:t xml:space="preserve"> Final-output review (how Dr. Chen checks the output before sending)</w:t>
            </w:r>
          </w:p>
          <w:p>
            <w:pPr>
              <w:spacing w:before="0" w:after="60"/>
            </w:pPr>
            <w:r>
              <w:rPr>
                <w:b/>
                <w:color w:val="1C2730"/>
                <w:sz w:val="17"/>
              </w:rPr>
              <w:t>Learner:</w:t>
            </w:r>
            <w:r>
              <w:rPr>
                <w:color w:val="1C2730"/>
                <w:sz w:val="17"/>
              </w:rPr>
              <w:t xml:space="preserve"> “Before you send, compare each sentence with the case packet. Is there anything in the draft that isn't in the packet? … Replace [RECIPIENT NAME] with the name from your request. What does the greeting say now? … Check the To line against Manage access. Do they match? … When all three checks pass, select Send.”</w:t>
            </w:r>
          </w:p>
          <w:p>
            <w:pPr>
              <w:spacing w:before="0" w:after="30"/>
            </w:pPr>
            <w:r>
              <w:rPr>
                <w:b/>
                <w:color w:val="1C2730"/>
                <w:sz w:val="17"/>
              </w:rPr>
              <w:t>Dr. Chen:</w:t>
            </w:r>
            <w:r>
              <w:rPr>
                <w:color w:val="1C2730"/>
                <w:sz w:val="17"/>
              </w:rPr>
              <w:t xml:space="preserve"> “I've carefully compared the draft against the case packet and ensured no extra info leaked in. I've swapped the placeholder for the correct recipient, and the greeting looks professional. The "To" line perfectly matches the user I authorized in "Manage access."</w:t>
            </w:r>
          </w:p>
          <w:p>
            <w:pPr>
              <w:spacing w:before="0" w:after="30"/>
            </w:pPr>
            <w:r>
              <w:rPr>
                <w:color w:val="1C2730"/>
                <w:sz w:val="17"/>
              </w:rPr>
              <w:t>Everything looks solid, so I'm sending it now. […]”</w:t>
            </w:r>
          </w:p>
          <w:p>
            <w:pPr>
              <w:spacing w:before="40" w:after="0"/>
            </w:pPr>
            <w:r>
              <w:rPr>
                <w:i/>
                <w:color w:val="5B6770"/>
                <w:sz w:val="15"/>
              </w:rPr>
              <w:t>This exchange came before the RCCOF prompt was built, so Dr. Chen applied the checks to an email she had drafted herself. The reflection addresses this sequencing gap.</w:t>
            </w:r>
          </w:p>
        </w:tc>
      </w:tr>
      <w:tr>
        <w:tc>
          <w:tcPr>
            <w:tcW w:type="dxa" w:w="1900"/>
            <w:tcBorders>
              <w:bottom w:val="single" w:sz="6" w:color="D8E0E4"/>
            </w:tcBorders>
            <w:tcMar>
              <w:top w:w="90" w:type="dxa"/>
              <w:start w:w="100" w:type="dxa"/>
              <w:bottom w:w="90" w:type="dxa"/>
              <w:end w:w="100" w:type="dxa"/>
            </w:tcMar>
            <w:vAlign w:val="top"/>
          </w:tcPr>
          <w:p>
            <w:pPr>
              <w:spacing w:after="40"/>
            </w:pPr>
            <w:r>
              <w:rPr>
                <w:sz w:val="17"/>
              </w:rPr>
              <w:t>Guidance-level coaching evidence</w:t>
            </w:r>
          </w:p>
        </w:tc>
        <w:tc>
          <w:tcPr>
            <w:tcW w:type="dxa" w:w="8324"/>
            <w:tcBorders>
              <w:bottom w:val="single" w:sz="6" w:color="D8E0E4"/>
            </w:tcBorders>
            <w:tcMar>
              <w:top w:w="90" w:type="dxa"/>
              <w:start w:w="100" w:type="dxa"/>
              <w:bottom w:w="90" w:type="dxa"/>
              <w:end w:w="100" w:type="dxa"/>
            </w:tcMar>
            <w:vAlign w:val="top"/>
          </w:tcPr>
          <w:p>
            <w:pPr>
              <w:spacing w:before="0" w:after="60"/>
            </w:pPr>
            <w:r>
              <w:rPr>
                <w:color w:val="1C2730"/>
                <w:sz w:val="17"/>
              </w:rPr>
              <w:t>Further exact pairs showing guidance-level coaching. The learner describes the action and Dr. Chen performs it and reports what she sees.</w:t>
            </w:r>
          </w:p>
          <w:p>
            <w:pPr>
              <w:spacing w:before="0" w:after="40"/>
            </w:pPr>
            <w:r>
              <w:rPr>
                <w:b/>
                <w:color w:val="2D7F85"/>
                <w:sz w:val="15"/>
              </w:rPr>
              <w:t>RECIPIENT STAYS WITH THE CLINICIAN (SHARING BOUNDARY)</w:t>
            </w:r>
          </w:p>
          <w:p>
            <w:pPr>
              <w:spacing w:before="0" w:after="30"/>
            </w:pPr>
            <w:r>
              <w:rPr>
                <w:b/>
                <w:color w:val="1C2730"/>
                <w:sz w:val="17"/>
              </w:rPr>
              <w:t>Learner:</w:t>
            </w:r>
            <w:r>
              <w:rPr>
                <w:color w:val="1C2730"/>
                <w:sz w:val="17"/>
              </w:rPr>
              <w:t xml:space="preserve"> “That one's yours to confirm. Please check the name against your approved request. Does it match?”</w:t>
            </w:r>
          </w:p>
          <w:p>
            <w:pPr>
              <w:spacing w:before="0" w:after="60"/>
            </w:pPr>
            <w:r>
              <w:rPr>
                <w:b/>
                <w:color w:val="1C2730"/>
                <w:sz w:val="17"/>
              </w:rPr>
              <w:t>Dr. Chen:</w:t>
            </w:r>
            <w:r>
              <w:rPr>
                <w:color w:val="1C2730"/>
                <w:sz w:val="17"/>
              </w:rPr>
              <w:t xml:space="preserve"> “Yes, the email address matches exactly with the one in my approved request. I've sent the link to that specific individual. I'm now looking at the "Manage access" panel. It lists the colleague's name under "People," and the permission is set to "Can view." Everything seems to be in order here. […]”</w:t>
            </w:r>
          </w:p>
          <w:p>
            <w:pPr>
              <w:spacing w:before="80" w:after="40"/>
            </w:pPr>
            <w:r>
              <w:rPr>
                <w:b/>
                <w:color w:val="2D7F85"/>
                <w:sz w:val="15"/>
              </w:rPr>
              <w:t>DATA-MINIMIZATION CHECK WITHOUT A PRIVACY DETERMINATION</w:t>
            </w:r>
          </w:p>
          <w:p>
            <w:pPr>
              <w:spacing w:before="0" w:after="30"/>
            </w:pPr>
            <w:r>
              <w:rPr>
                <w:b/>
                <w:color w:val="1C2730"/>
                <w:sz w:val="17"/>
              </w:rPr>
              <w:t>Learner:</w:t>
            </w:r>
            <w:r>
              <w:rPr>
                <w:color w:val="1C2730"/>
                <w:sz w:val="17"/>
              </w:rPr>
              <w:t xml:space="preserve"> “glance at your Context. It should only say who you are, who it's for, the purpose of the consult, that the file has been shared, and that you'd like them to review it first. No symptoms, dates or names. Does yours match that?”</w:t>
            </w:r>
          </w:p>
          <w:p>
            <w:pPr>
              <w:spacing w:before="0" w:after="60"/>
            </w:pPr>
            <w:r>
              <w:rPr>
                <w:b/>
                <w:color w:val="1C2730"/>
                <w:sz w:val="17"/>
              </w:rPr>
              <w:t>Dr. Chen:</w:t>
            </w:r>
            <w:r>
              <w:rPr>
                <w:color w:val="1C2730"/>
                <w:sz w:val="17"/>
              </w:rPr>
              <w:t xml:space="preserve"> “There are no patient names, dates, or clinical symptoms in there. It looks compliant.”</w:t>
            </w:r>
          </w:p>
          <w:p>
            <w:pPr>
              <w:spacing w:before="80" w:after="40"/>
            </w:pPr>
            <w:r>
              <w:rPr>
                <w:b/>
                <w:color w:val="2D7F85"/>
                <w:sz w:val="15"/>
              </w:rPr>
              <w:t>RCCOF BUILT ONE SECTION AT A TIME, WITH READ-BACK</w:t>
            </w:r>
          </w:p>
          <w:p>
            <w:pPr>
              <w:spacing w:before="0" w:after="30"/>
            </w:pPr>
            <w:r>
              <w:rPr>
                <w:b/>
                <w:color w:val="1C2730"/>
                <w:sz w:val="17"/>
              </w:rPr>
              <w:t>Learner:</w:t>
            </w:r>
            <w:r>
              <w:rPr>
                <w:color w:val="1C2730"/>
                <w:sz w:val="17"/>
              </w:rPr>
              <w:t xml:space="preserve"> “Great. Under Role, type something like: 'Act as an administrative communications assistant for a family medicine physician. Write in a professional, concise, collegial tone for a physician at a partner clinic.' Just who Copilot is and who's reading, nothing about the case. What does your Role section say now?”</w:t>
            </w:r>
          </w:p>
          <w:p>
            <w:pPr>
              <w:spacing w:before="0" w:after="60"/>
            </w:pPr>
            <w:r>
              <w:rPr>
                <w:b/>
                <w:color w:val="1C2730"/>
                <w:sz w:val="17"/>
              </w:rPr>
              <w:t>Dr. Chen:</w:t>
            </w:r>
            <w:r>
              <w:rPr>
                <w:color w:val="1C2730"/>
                <w:sz w:val="17"/>
              </w:rPr>
              <w:t xml:space="preserve"> “That makes sense. I've entered: "Act as an administrative communications assistant for a family medicine physician. Write in a professional, concise, collegial tone for a physician at a partner clinic." It describes the persona and the audience clearly without mentioning anything specific about the patient or the case. What's next in the RCCOF framework? Should I move on to the Constraint section?”</w:t>
            </w:r>
          </w:p>
          <w:p>
            <w:pPr>
              <w:spacing w:before="80" w:after="40"/>
            </w:pPr>
            <w:r>
              <w:rPr>
                <w:b/>
                <w:color w:val="2D7F85"/>
                <w:sz w:val="15"/>
              </w:rPr>
              <w:t>SCREEN-CHECK QUESTIONS USED</w:t>
            </w:r>
          </w:p>
          <w:p>
            <w:pPr>
              <w:spacing w:before="0" w:after="60"/>
            </w:pPr>
            <w:r>
              <w:rPr>
                <w:color w:val="1C2730"/>
                <w:sz w:val="17"/>
              </w:rPr>
              <w:t>“What does your screen show now?” · “Which options do you see?” · “What does your Role section say now?” · “How many lines do you have?” · “Does anything in it mention the patient or the case content?”</w:t>
            </w:r>
          </w:p>
          <w:p>
            <w:pPr>
              <w:spacing w:before="80" w:after="40"/>
            </w:pPr>
            <w:r>
              <w:rPr>
                <w:b/>
                <w:color w:val="2D7F85"/>
                <w:sz w:val="15"/>
              </w:rPr>
              <w:t>ROLE-PLAY FEEDBACK (COURSERA AI), RECORDED AS GIVEN</w:t>
            </w:r>
          </w:p>
          <w:p>
            <w:pPr>
              <w:pStyle w:val="ListBullet"/>
              <w:spacing w:before="0" w:after="30"/>
              <w:ind w:left="300" w:hanging="200"/>
            </w:pPr>
            <w:r>
              <w:rPr>
                <w:b/>
                <w:color w:val="1C2730"/>
                <w:sz w:val="16"/>
              </w:rPr>
              <w:t>Strengths:</w:t>
            </w:r>
            <w:r>
              <w:rPr>
                <w:color w:val="1C2730"/>
                <w:sz w:val="16"/>
              </w:rPr>
              <w:t xml:space="preserve"> Task 2, OneDrive sharing guidance (prompting Dr. Chen to inspect settings rather than doing it for her). Task 3, request decomposition and RCCOF guidance.</w:t>
            </w:r>
          </w:p>
          <w:p>
            <w:pPr>
              <w:pStyle w:val="ListBullet"/>
              <w:spacing w:before="0" w:after="30"/>
              <w:ind w:left="300" w:hanging="200"/>
            </w:pPr>
            <w:r>
              <w:rPr>
                <w:b/>
                <w:color w:val="1C2730"/>
                <w:sz w:val="16"/>
              </w:rPr>
              <w:t>Areas for improvement:</w:t>
            </w:r>
            <w:r>
              <w:rPr>
                <w:color w:val="1C2730"/>
                <w:sz w:val="16"/>
              </w:rPr>
              <w:t xml:space="preserve"> Task 1, no opening statement of the Tier 1 role, scope and 45-minute plan. Task 4, the session ended before verification of the Copilot output (the source-fact and policy-KB paths).</w:t>
            </w:r>
          </w:p>
        </w:tc>
      </w:tr>
      <w:tr>
        <w:tc>
          <w:tcPr>
            <w:tcW w:type="dxa" w:w="1900"/>
            <w:tcBorders>
              <w:bottom w:val="single" w:sz="6" w:color="D8E0E4"/>
            </w:tcBorders>
            <w:shd w:fill="F8FAFB"/>
            <w:tcMar>
              <w:top w:w="90" w:type="dxa"/>
              <w:start w:w="100" w:type="dxa"/>
              <w:bottom w:w="90" w:type="dxa"/>
              <w:end w:w="100" w:type="dxa"/>
            </w:tcMar>
            <w:vAlign w:val="top"/>
          </w:tcPr>
          <w:p>
            <w:pPr>
              <w:spacing w:after="40"/>
            </w:pPr>
            <w:r>
              <w:rPr>
                <w:sz w:val="17"/>
              </w:rPr>
              <w:t>150-word reflection</w:t>
            </w:r>
          </w:p>
        </w:tc>
        <w:tc>
          <w:tcPr>
            <w:tcW w:type="dxa" w:w="8324"/>
            <w:tcBorders>
              <w:bottom w:val="single" w:sz="6" w:color="D8E0E4"/>
            </w:tcBorders>
            <w:shd w:fill="F8FAFB"/>
            <w:tcMar>
              <w:top w:w="90" w:type="dxa"/>
              <w:start w:w="100" w:type="dxa"/>
              <w:bottom w:w="90" w:type="dxa"/>
              <w:end w:w="100" w:type="dxa"/>
            </w:tcMar>
            <w:vAlign w:val="top"/>
          </w:tcPr>
          <w:p>
            <w:pPr>
              <w:spacing w:before="0" w:after="40"/>
            </w:pPr>
            <w:r>
              <w:rPr>
                <w:color w:val="1C2730"/>
                <w:sz w:val="17"/>
              </w:rPr>
              <w:t>My strongest coaching choice was splitting Dr. Chen's request at the start: Copilot drafts only the cover email, while clinical content, recipient confirmation and sharing stay with her. I held that boundary when she asked about the recipient (“That one's yours to confirm”) and when we built the RCCOF prompt one section at a time, with her reading each part back. I was most tempted to take over when she asked how to “build out” the prompt, because writing it myself would have been faster; instead I described each section and let her type it. My specific improvement is pacing. Twice I sent a block of steps in one message, so I coached the final review before a draft existed and Dr. Chen sent her email before the prompt was built. Next time I will open with a scope statement, give one step per turn, and wait for her screen confirmation.</w:t>
            </w:r>
          </w:p>
          <w:p>
            <w:pPr>
              <w:spacing w:before="0" w:after="0"/>
            </w:pPr>
            <w:r>
              <w:rPr>
                <w:i/>
                <w:color w:val="5B6770"/>
                <w:sz w:val="15"/>
              </w:rPr>
              <w:t>151 words</w:t>
            </w:r>
          </w:p>
        </w:tc>
      </w:tr>
    </w:tbl>
    <w:p>
      <w:pPr>
        <w:spacing w:after="40"/>
      </w:pPr>
    </w:p>
    <w:p>
      <w:pPr>
        <w:pStyle w:val="Heading1"/>
      </w:pPr>
      <w:r>
        <w:t>Final pre-submission check</w:t>
      </w:r>
    </w:p>
    <w:tbl>
      <w:tblPr>
        <w:tblStyle w:val="TableGrid"/>
        <w:tblW w:w="10224" w:type="dxa"/>
        <w:jc w:val="center"/>
        <w:tblLayout w:type="fixed"/>
        <w:tblLook w:firstColumn="1" w:firstRow="1" w:lastColumn="0" w:lastRow="0" w:noHBand="0" w:noVBand="1" w:val="04A0"/>
      </w:tblPr>
      <w:tblGrid>
        <w:gridCol w:w="5600"/>
        <w:gridCol w:w="4624"/>
      </w:tblGrid>
      <w:tr>
        <w:tc>
          <w:tcPr>
            <w:tcW w:type="dxa" w:w="5600"/>
            <w:shd w:fill="17324D"/>
            <w:tcMar>
              <w:top w:w="90" w:type="dxa"/>
              <w:start w:w="100" w:type="dxa"/>
              <w:bottom w:w="90" w:type="dxa"/>
              <w:end w:w="100" w:type="dxa"/>
            </w:tcMar>
            <w:vAlign w:val="center"/>
          </w:tcPr>
          <w:p>
            <w:pPr>
              <w:jc w:val="left"/>
            </w:pPr>
            <w:r>
              <w:rPr>
                <w:b/>
                <w:color w:val="FFFFFF"/>
                <w:sz w:val="18"/>
              </w:rPr>
              <w:t>Check</w:t>
            </w:r>
          </w:p>
        </w:tc>
        <w:tc>
          <w:tcPr>
            <w:tcW w:type="dxa" w:w="4624"/>
            <w:shd w:fill="17324D"/>
            <w:tcMar>
              <w:top w:w="90" w:type="dxa"/>
              <w:start w:w="100" w:type="dxa"/>
              <w:bottom w:w="90" w:type="dxa"/>
              <w:end w:w="100" w:type="dxa"/>
            </w:tcMar>
            <w:vAlign w:val="center"/>
          </w:tcPr>
          <w:p>
            <w:pPr>
              <w:jc w:val="left"/>
            </w:pPr>
            <w:r>
              <w:rPr>
                <w:b/>
                <w:color w:val="FFFFFF"/>
                <w:sz w:val="18"/>
              </w:rPr>
              <w:t>Complete</w:t>
            </w:r>
          </w:p>
        </w:tc>
      </w:tr>
      <w:tr>
        <w:tc>
          <w:tcPr>
            <w:tcW w:type="dxa" w:w="5600"/>
            <w:tcBorders>
              <w:bottom w:val="single" w:sz="6" w:color="D8E0E4"/>
            </w:tcBorders>
            <w:shd w:fill="F8FAFB"/>
            <w:tcMar>
              <w:top w:w="90" w:type="dxa"/>
              <w:start w:w="100" w:type="dxa"/>
              <w:bottom w:w="90" w:type="dxa"/>
              <w:end w:w="100" w:type="dxa"/>
            </w:tcMar>
            <w:vAlign w:val="top"/>
          </w:tcPr>
          <w:p>
            <w:pPr>
              <w:spacing w:after="40"/>
            </w:pPr>
            <w:r>
              <w:rPr>
                <w:sz w:val="17"/>
              </w:rPr>
              <w:t>All content is synthetic and contains no real PHI, workforce identifiers, secrets, or tenant information.</w:t>
            </w:r>
          </w:p>
        </w:tc>
        <w:tc>
          <w:tcPr>
            <w:tcW w:type="dxa" w:w="4624"/>
            <w:tcBorders>
              <w:bottom w:val="single" w:sz="6" w:color="D8E0E4"/>
            </w:tcBorders>
            <w:shd w:fill="F8FAFB"/>
            <w:tcMar>
              <w:top w:w="90" w:type="dxa"/>
              <w:start w:w="100" w:type="dxa"/>
              <w:bottom w:w="90" w:type="dxa"/>
              <w:end w:w="100" w:type="dxa"/>
            </w:tcMar>
            <w:vAlign w:val="top"/>
          </w:tcPr>
          <w:p>
            <w:pPr>
              <w:spacing w:before="0" w:after="0"/>
            </w:pPr>
            <w:r>
              <w:rPr>
                <w:b/>
                <w:color w:val="1C2730"/>
                <w:sz w:val="17"/>
              </w:rPr>
              <w:t>Yes.</w:t>
            </w:r>
            <w:r>
              <w:rPr>
                <w:color w:val="1C2730"/>
                <w:sz w:val="17"/>
              </w:rPr>
              <w:t xml:space="preserve"> All content comes from the supplied synthetic documents. “Patient A” is a role label. There are no real patient, workforce, tenant or partner details, and no email addresses or phone numbers. The only URLs are public reference links.</w:t>
            </w:r>
          </w:p>
        </w:tc>
      </w:tr>
      <w:tr>
        <w:tc>
          <w:tcPr>
            <w:tcW w:type="dxa" w:w="5600"/>
            <w:tcBorders>
              <w:bottom w:val="single" w:sz="6" w:color="D8E0E4"/>
            </w:tcBorders>
            <w:tcMar>
              <w:top w:w="90" w:type="dxa"/>
              <w:start w:w="100" w:type="dxa"/>
              <w:bottom w:w="90" w:type="dxa"/>
              <w:end w:w="100" w:type="dxa"/>
            </w:tcMar>
            <w:vAlign w:val="top"/>
          </w:tcPr>
          <w:p>
            <w:pPr>
              <w:spacing w:after="40"/>
            </w:pPr>
            <w:r>
              <w:rPr>
                <w:sz w:val="17"/>
              </w:rPr>
              <w:t>Component 1 names only systems supported by the fact sheet; no undocumented direct integration is assumed.</w:t>
            </w:r>
          </w:p>
        </w:tc>
        <w:tc>
          <w:tcPr>
            <w:tcW w:type="dxa" w:w="4624"/>
            <w:tcBorders>
              <w:bottom w:val="single" w:sz="6" w:color="D8E0E4"/>
            </w:tcBorders>
            <w:tcMar>
              <w:top w:w="90" w:type="dxa"/>
              <w:start w:w="100" w:type="dxa"/>
              <w:bottom w:w="90" w:type="dxa"/>
              <w:end w:w="100" w:type="dxa"/>
            </w:tcMar>
            <w:vAlign w:val="top"/>
          </w:tcPr>
          <w:p>
            <w:pPr>
              <w:spacing w:before="0" w:after="0"/>
            </w:pPr>
            <w:r>
              <w:rPr>
                <w:b/>
                <w:color w:val="1C2730"/>
                <w:sz w:val="17"/>
              </w:rPr>
              <w:t>Yes.</w:t>
            </w:r>
            <w:r>
              <w:rPr>
                <w:color w:val="1C2730"/>
                <w:sz w:val="17"/>
              </w:rPr>
              <w:t xml:space="preserve"> Systems are named as in the Fact Sheet. Only Entra ID sign-in is marked as a technical integration, and no Epic-to-Copilot integration is assumed.</w:t>
            </w:r>
          </w:p>
        </w:tc>
      </w:tr>
      <w:tr>
        <w:tc>
          <w:tcPr>
            <w:tcW w:type="dxa" w:w="5600"/>
            <w:tcBorders>
              <w:bottom w:val="single" w:sz="6" w:color="D8E0E4"/>
            </w:tcBorders>
            <w:shd w:fill="F8FAFB"/>
            <w:tcMar>
              <w:top w:w="90" w:type="dxa"/>
              <w:start w:w="100" w:type="dxa"/>
              <w:bottom w:w="90" w:type="dxa"/>
              <w:end w:w="100" w:type="dxa"/>
            </w:tcMar>
            <w:vAlign w:val="top"/>
          </w:tcPr>
          <w:p>
            <w:pPr>
              <w:spacing w:after="40"/>
            </w:pPr>
            <w:r>
              <w:rPr>
                <w:sz w:val="17"/>
              </w:rPr>
              <w:t>Component 2 uses the supplied approved-use-case reference and separates approved / not approved / escalate decisions.</w:t>
            </w:r>
          </w:p>
        </w:tc>
        <w:tc>
          <w:tcPr>
            <w:tcW w:type="dxa" w:w="4624"/>
            <w:tcBorders>
              <w:bottom w:val="single" w:sz="6" w:color="D8E0E4"/>
            </w:tcBorders>
            <w:shd w:fill="F8FAFB"/>
            <w:tcMar>
              <w:top w:w="90" w:type="dxa"/>
              <w:start w:w="100" w:type="dxa"/>
              <w:bottom w:w="90" w:type="dxa"/>
              <w:end w:w="100" w:type="dxa"/>
            </w:tcMar>
            <w:vAlign w:val="top"/>
          </w:tcPr>
          <w:p>
            <w:pPr>
              <w:spacing w:before="0" w:after="0"/>
            </w:pPr>
            <w:r>
              <w:rPr>
                <w:b/>
                <w:color w:val="1C2730"/>
                <w:sz w:val="17"/>
              </w:rPr>
              <w:t>Yes.</w:t>
            </w:r>
            <w:r>
              <w:rPr>
                <w:color w:val="1C2730"/>
                <w:sz w:val="17"/>
              </w:rPr>
              <w:t xml:space="preserve"> Four elements are classified separately (1 Approved, 1 Not Approved, 2 Escalate), with ITS-STD-014 section citations backed by KB-431 and the Fact Sheet.</w:t>
            </w:r>
          </w:p>
        </w:tc>
      </w:tr>
      <w:tr>
        <w:tc>
          <w:tcPr>
            <w:tcW w:type="dxa" w:w="5600"/>
            <w:tcBorders>
              <w:bottom w:val="single" w:sz="6" w:color="D8E0E4"/>
            </w:tcBorders>
            <w:tcMar>
              <w:top w:w="90" w:type="dxa"/>
              <w:start w:w="100" w:type="dxa"/>
              <w:bottom w:w="90" w:type="dxa"/>
              <w:end w:w="100" w:type="dxa"/>
            </w:tcMar>
            <w:vAlign w:val="top"/>
          </w:tcPr>
          <w:p>
            <w:pPr>
              <w:spacing w:after="40"/>
            </w:pPr>
            <w:r>
              <w:rPr>
                <w:sz w:val="17"/>
              </w:rPr>
              <w:t>Component 3 contains all four RCCOF parts and two separate verification paths.</w:t>
            </w:r>
          </w:p>
        </w:tc>
        <w:tc>
          <w:tcPr>
            <w:tcW w:type="dxa" w:w="4624"/>
            <w:tcBorders>
              <w:bottom w:val="single" w:sz="6" w:color="D8E0E4"/>
            </w:tcBorders>
            <w:tcMar>
              <w:top w:w="90" w:type="dxa"/>
              <w:start w:w="100" w:type="dxa"/>
              <w:bottom w:w="90" w:type="dxa"/>
              <w:end w:w="100" w:type="dxa"/>
            </w:tcMar>
            <w:vAlign w:val="top"/>
          </w:tcPr>
          <w:p>
            <w:pPr>
              <w:spacing w:before="0" w:after="0"/>
            </w:pPr>
            <w:r>
              <w:rPr>
                <w:b/>
                <w:color w:val="1C2730"/>
                <w:sz w:val="17"/>
              </w:rPr>
              <w:t>Yes.</w:t>
            </w:r>
            <w:r>
              <w:rPr>
                <w:color w:val="1C2730"/>
                <w:sz w:val="17"/>
              </w:rPr>
              <w:t xml:space="preserve"> Role, Context, Constraints and Output Format are all present. Path 1 (Case Packet) and Path 2 (KB) are kept separate.</w:t>
            </w:r>
          </w:p>
        </w:tc>
      </w:tr>
      <w:tr>
        <w:tc>
          <w:tcPr>
            <w:tcW w:type="dxa" w:w="5600"/>
            <w:tcBorders>
              <w:bottom w:val="single" w:sz="6" w:color="D8E0E4"/>
            </w:tcBorders>
            <w:shd w:fill="F8FAFB"/>
            <w:tcMar>
              <w:top w:w="90" w:type="dxa"/>
              <w:start w:w="100" w:type="dxa"/>
              <w:bottom w:w="90" w:type="dxa"/>
              <w:end w:w="100" w:type="dxa"/>
            </w:tcMar>
            <w:vAlign w:val="top"/>
          </w:tcPr>
          <w:p>
            <w:pPr>
              <w:spacing w:after="40"/>
            </w:pPr>
            <w:r>
              <w:rPr>
                <w:sz w:val="17"/>
              </w:rPr>
              <w:t>Component 4 stays within 400-600 words and includes the required six structural elements.</w:t>
            </w:r>
          </w:p>
        </w:tc>
        <w:tc>
          <w:tcPr>
            <w:tcW w:type="dxa" w:w="4624"/>
            <w:tcBorders>
              <w:bottom w:val="single" w:sz="6" w:color="D8E0E4"/>
            </w:tcBorders>
            <w:shd w:fill="F8FAFB"/>
            <w:tcMar>
              <w:top w:w="90" w:type="dxa"/>
              <w:start w:w="100" w:type="dxa"/>
              <w:bottom w:w="90" w:type="dxa"/>
              <w:end w:w="100" w:type="dxa"/>
            </w:tcMar>
            <w:vAlign w:val="top"/>
          </w:tcPr>
          <w:p>
            <w:pPr>
              <w:spacing w:before="0" w:after="0"/>
            </w:pPr>
            <w:r>
              <w:rPr>
                <w:b/>
                <w:color w:val="1C2730"/>
                <w:sz w:val="17"/>
              </w:rPr>
              <w:t>Yes, with a note.</w:t>
            </w:r>
            <w:r>
              <w:rPr>
                <w:color w:val="1C2730"/>
                <w:sz w:val="17"/>
              </w:rPr>
              <w:t xml:space="preserve"> All six elements are present. The guide is 649 words, slightly above the 400–600 guidance.</w:t>
            </w:r>
          </w:p>
        </w:tc>
      </w:tr>
      <w:tr>
        <w:tc>
          <w:tcPr>
            <w:tcW w:type="dxa" w:w="5600"/>
            <w:tcBorders>
              <w:bottom w:val="single" w:sz="6" w:color="D8E0E4"/>
            </w:tcBorders>
            <w:tcMar>
              <w:top w:w="90" w:type="dxa"/>
              <w:start w:w="100" w:type="dxa"/>
              <w:bottom w:w="90" w:type="dxa"/>
              <w:end w:w="100" w:type="dxa"/>
            </w:tcMar>
            <w:vAlign w:val="top"/>
          </w:tcPr>
          <w:p>
            <w:pPr>
              <w:spacing w:after="40"/>
            </w:pPr>
            <w:r>
              <w:rPr>
                <w:sz w:val="17"/>
              </w:rPr>
              <w:t>Component 5 contains exact transcript excerpts and the reflection.</w:t>
            </w:r>
          </w:p>
        </w:tc>
        <w:tc>
          <w:tcPr>
            <w:tcW w:type="dxa" w:w="4624"/>
            <w:tcBorders>
              <w:bottom w:val="single" w:sz="6" w:color="D8E0E4"/>
            </w:tcBorders>
            <w:tcMar>
              <w:top w:w="90" w:type="dxa"/>
              <w:start w:w="100" w:type="dxa"/>
              <w:bottom w:w="90" w:type="dxa"/>
              <w:end w:w="100" w:type="dxa"/>
            </w:tcMar>
            <w:vAlign w:val="top"/>
          </w:tcPr>
          <w:p>
            <w:pPr>
              <w:spacing w:before="0" w:after="0"/>
            </w:pPr>
            <w:r>
              <w:rPr>
                <w:b/>
                <w:color w:val="1C2730"/>
                <w:sz w:val="17"/>
              </w:rPr>
              <w:t>Yes.</w:t>
            </w:r>
            <w:r>
              <w:rPr>
                <w:color w:val="1C2730"/>
                <w:sz w:val="17"/>
              </w:rPr>
              <w:t xml:space="preserve"> Three exact exchange pairs cover the Copilot-use, sharing and final-review decision points, with three more pairs in the coaching-evidence row. The reflection is 151 words.</w:t>
            </w:r>
          </w:p>
        </w:tc>
      </w:tr>
    </w:tbl>
    <w:p>
      <w:pPr>
        <w:spacing w:after="40"/>
      </w:pPr>
    </w:p>
    <w:p>
      <w:pPr>
        <w:pStyle w:val="Heading1"/>
      </w:pPr>
      <w:r>
        <w:t>Sources</w:t>
      </w:r>
    </w:p>
    <w:p>
      <w:pPr>
        <w:pStyle w:val="ListBullet"/>
      </w:pPr>
      <w:hyperlink r:id="rId9">
        <w:r>
          <w:rPr>
            <w:color w:val="2D7F85"/>
            <w:u w:val="single"/>
          </w:rPr>
          <w:t>Microsoft 365 Copilot enterprise data protection</w:t>
        </w:r>
      </w:hyperlink>
    </w:p>
    <w:p>
      <w:pPr>
        <w:pStyle w:val="ListBullet"/>
      </w:pPr>
      <w:hyperlink r:id="rId10">
        <w:r>
          <w:rPr>
            <w:color w:val="2D7F85"/>
            <w:u w:val="single"/>
          </w:rPr>
          <w:t>HHS - HIPAA de-identification guidance</w:t>
        </w:r>
      </w:hyperlink>
    </w:p>
    <w:p>
      <w:pPr>
        <w:pStyle w:val="ListBullet"/>
      </w:pPr>
      <w:hyperlink r:id="rId12">
        <w:r>
          <w:rPr>
            <w:color w:val="2D7F85"/>
            <w:u w:val="single"/>
          </w:rPr>
          <w:t xml:space="preserve">Microsoft - SharePoint and OneDrive external sharing</w:t>
        </w:r>
      </w:hyperlink>
    </w:p>
    <w:p>
      <w:pPr>
        <w:pStyle w:val="ListBullet"/>
      </w:pPr>
      <w:hyperlink r:id="rId13">
        <w:r>
          <w:rPr>
            <w:color w:val="2D7F85"/>
            <w:u w:val="single"/>
          </w:rPr>
          <w:t xml:space="preserve">Microsoft - Copilot privacy and security</w:t>
        </w:r>
      </w:hyperlink>
    </w:p>
    <w:p>
      <w:pPr>
        <w:pStyle w:val="ListBullet"/>
      </w:pPr>
      <w:hyperlink r:id="rId14">
        <w:r>
          <w:rPr>
            <w:color w:val="2D7F85"/>
            <w:u w:val="single"/>
          </w:rPr>
          <w:t xml:space="preserve">HHS - HIPAA minimum necessary standard</w:t>
        </w:r>
      </w:hyperlink>
    </w:p>
    <w:p>
      <w:pPr>
        <w:spacing w:before="160" w:after="60"/>
      </w:pPr>
      <w:r>
        <w:rPr>
          <w:b/>
          <w:color w:val="17324D"/>
          <w:sz w:val="21"/>
        </w:rPr>
        <w:t>Supplied course documents cited</w:t>
      </w:r>
    </w:p>
    <w:p>
      <w:pPr>
        <w:pStyle w:val="ListBullet"/>
        <w:spacing w:before="0" w:after="0"/>
      </w:pPr>
      <w:r>
        <w:rPr>
          <w:color w:val="1C2730"/>
          <w:sz w:val="18"/>
        </w:rPr>
        <w:t>Technical Environment and Contoso Policy Fact Sheet v1.0 (“Fact Sheet”)</w:t>
      </w:r>
    </w:p>
    <w:p>
      <w:pPr>
        <w:pStyle w:val="ListBullet"/>
        <w:spacing w:before="0" w:after="0"/>
      </w:pPr>
      <w:r>
        <w:rPr>
          <w:color w:val="1C2730"/>
          <w:sz w:val="18"/>
        </w:rPr>
        <w:t>Synthetic Case Packet and Source Summary v1.0 (“Case Packet”)</w:t>
      </w:r>
    </w:p>
    <w:p>
      <w:pPr>
        <w:pStyle w:val="ListBullet"/>
        <w:spacing w:before="0" w:after="0"/>
      </w:pPr>
      <w:r>
        <w:rPr>
          <w:color w:val="1C2730"/>
          <w:sz w:val="18"/>
        </w:rPr>
        <w:t>Approved Microsoft Copilot Use Cases, ITS-STD-014 v3.2 (UC-01 to UC-03, NA-01 to NA-03)</w:t>
      </w:r>
    </w:p>
    <w:p>
      <w:pPr>
        <w:pStyle w:val="ListBullet"/>
        <w:spacing w:before="0" w:after="0"/>
      </w:pPr>
      <w:r>
        <w:rPr>
          <w:color w:val="1C2730"/>
          <w:sz w:val="18"/>
        </w:rPr>
        <w:t>Mock Internal Knowledge Base Article Set v1.0 (KB-410, KB-422, KB-431)</w:t>
      </w:r>
    </w:p>
    <w:p>
      <w:pPr>
        <w:pStyle w:val="ListBullet"/>
        <w:spacing w:before="0" w:after="0"/>
      </w:pPr>
      <w:r>
        <w:rPr>
          <w:color w:val="1C2730"/>
          <w:sz w:val="18"/>
        </w:rPr>
        <w:t>AI Input Eligibility and Data-Minimization Checklist v1.0 (“Checklist,” C1–C11)</w:t>
      </w:r>
    </w:p>
    <w:p>
      <w:pPr>
        <w:pStyle w:val="ListBullet"/>
        <w:spacing w:before="0" w:after="0"/>
      </w:pPr>
      <w:r>
        <w:rPr>
          <w:color w:val="1C2730"/>
          <w:sz w:val="18"/>
        </w:rPr>
        <w:t>Fixed Mock Microsoft Copilot Output v1.0 (“Mock Output”); RCCOF Prompt Template, ITS-TRN-014-C</w:t>
      </w:r>
    </w:p>
    <w:p>
      <w:pPr>
        <w:pStyle w:val="ListBullet"/>
        <w:spacing w:before="0" w:after="0"/>
      </w:pPr>
      <w:r>
        <w:rPr>
          <w:color w:val="1C2730"/>
          <w:sz w:val="18"/>
        </w:rPr>
        <w:t>System-Context Mapping Template; Dependency Analysis Worksheet, ITS-TRN-016-B (“Worksheet”); End-User Guide Structure Template; Live Coaching Techniques Reference; Clinician-Learner Exchanges</w:t>
      </w:r>
    </w:p>
    <w:sectPr w:rsidR="00FC693F" w:rsidRPr="0006063C" w:rsidSect="00034616">
      <w:footerReference w:type="default" r:id="rId11"/>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770"/>
        <w:sz w:val="16"/>
      </w:rPr>
      <w:t>Synthetic training material - no real patient or workforce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C27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D7F8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en-us/microsoft-365/copilot/enterprise-data-protection" TargetMode="External"/><Relationship Id="rId10" Type="http://schemas.openxmlformats.org/officeDocument/2006/relationships/hyperlink" Target="https://www.hhs.gov/hipaa/for-professionals/special-topics/de-identification/index.html" TargetMode="External"/><Relationship Id="rId11" Type="http://schemas.openxmlformats.org/officeDocument/2006/relationships/footer" Target="footer1.xml"/><Relationship Id="rId12" Type="http://schemas.openxmlformats.org/officeDocument/2006/relationships/hyperlink" Target="https://learn.microsoft.com/en-us/sharepoint/turn-external-sharing-on-or-off" TargetMode="External"/><Relationship Id="rId13" Type="http://schemas.openxmlformats.org/officeDocument/2006/relationships/hyperlink" Target="https://learn.microsoft.com/en-us/copilot/microsoft-365/microsoft-365-copilot-privacy" TargetMode="External"/><Relationship Id="rId14" Type="http://schemas.openxmlformats.org/officeDocument/2006/relationships/hyperlink" Target="https://www.hhs.gov/hipaa/for-professionals/privacy/guidance/minimum-necessary-requiremen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Report - LC 4 Epic-Adjacent Copilot Coaching Case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