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496"/>
          <w:sz w:val="18"/>
          <w:szCs w:val="18"/>
        </w:rPr>
        <w:t xml:space="preserve">NORTHRIDGE HEALTH SYSTEM  |  IT SERVICE DESK TRAINING</w:t>
      </w:r>
    </w:p>
    <w:p>
      <w:pPr>
        <w:pStyle w:val="Title"/>
      </w:pPr>
      <w:r>
        <w:t xml:space="preserve">RCCOF Prompt Template</w:t>
      </w:r>
    </w:p>
    <w:p>
      <w:pPr>
        <w:pBdr>
          <w:bottom w:val="single" w:color="1F3864" w:sz="8" w:space="8"/>
        </w:pBdr>
        <w:spacing w:after="200"/>
      </w:pPr>
      <w:r>
        <w:rPr>
          <w:color w:val="595959"/>
          <w:sz w:val="24"/>
          <w:szCs w:val="24"/>
        </w:rPr>
        <w:t xml:space="preserve">Used before prompting — built against the Mock Scenario Dataset</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960"/>
      </w:tblGrid>
      <w:tr>
        <w:tc>
          <w:tcPr>
            <w:tcW w:type="dxa" w:w="2400"/>
            <w:shd w:fill="F2F2F2" w:color="auto" w:val="clear"/>
            <w:tcMar>
              <w:top w:type="dxa" w:w="80"/>
              <w:left w:type="dxa" w:w="120"/>
              <w:bottom w:type="dxa" w:w="80"/>
              <w:right w:type="dxa" w:w="120"/>
            </w:tcMar>
          </w:tcPr>
          <w:p>
            <w:pPr>
              <w:spacing w:after="40" w:before="40"/>
            </w:pPr>
            <w:r>
              <w:rPr>
                <w:b/>
                <w:bCs/>
              </w:rPr>
              <w:t xml:space="preserve">Document ID</w:t>
            </w:r>
          </w:p>
        </w:tc>
        <w:tc>
          <w:tcPr>
            <w:tcW w:type="dxa" w:w="6960"/>
            <w:tcMar>
              <w:top w:type="dxa" w:w="80"/>
              <w:left w:type="dxa" w:w="120"/>
              <w:bottom w:type="dxa" w:w="80"/>
              <w:right w:type="dxa" w:w="120"/>
            </w:tcMar>
          </w:tcPr>
          <w:p>
            <w:pPr>
              <w:spacing w:after="40" w:before="40"/>
            </w:pPr>
            <w:r>
              <w:t xml:space="preserve">ITS-TRN-014-C</w:t>
            </w:r>
          </w:p>
        </w:tc>
      </w:tr>
      <w:tr>
        <w:tc>
          <w:tcPr>
            <w:tcW w:type="dxa" w:w="2400"/>
            <w:shd w:fill="F2F2F2" w:color="auto" w:val="clear"/>
            <w:tcMar>
              <w:top w:type="dxa" w:w="80"/>
              <w:left w:type="dxa" w:w="120"/>
              <w:bottom w:type="dxa" w:w="80"/>
              <w:right w:type="dxa" w:w="120"/>
            </w:tcMar>
          </w:tcPr>
          <w:p>
            <w:pPr>
              <w:spacing w:after="40" w:before="40"/>
            </w:pPr>
            <w:r>
              <w:rPr>
                <w:b/>
                <w:bCs/>
              </w:rPr>
              <w:t xml:space="preserve">Used</w:t>
            </w:r>
          </w:p>
        </w:tc>
        <w:tc>
          <w:tcPr>
            <w:tcW w:type="dxa" w:w="6960"/>
            <w:tcMar>
              <w:top w:type="dxa" w:w="80"/>
              <w:left w:type="dxa" w:w="120"/>
              <w:bottom w:type="dxa" w:w="80"/>
              <w:right w:type="dxa" w:w="120"/>
            </w:tcMar>
          </w:tcPr>
          <w:p>
            <w:pPr>
              <w:spacing w:after="40" w:before="40"/>
            </w:pPr>
            <w:r>
              <w:t xml:space="preserve">Before the prompt is sent. Sections 1 and 2 are completed first.</w:t>
            </w:r>
          </w:p>
        </w:tc>
      </w:tr>
      <w:tr>
        <w:tc>
          <w:tcPr>
            <w:tcW w:type="dxa" w:w="2400"/>
            <w:shd w:fill="F2F2F2" w:color="auto" w:val="clear"/>
            <w:tcMar>
              <w:top w:type="dxa" w:w="80"/>
              <w:left w:type="dxa" w:w="120"/>
              <w:bottom w:type="dxa" w:w="80"/>
              <w:right w:type="dxa" w:w="120"/>
            </w:tcMar>
          </w:tcPr>
          <w:p>
            <w:pPr>
              <w:spacing w:after="40" w:before="40"/>
            </w:pPr>
            <w:r>
              <w:rPr>
                <w:b/>
                <w:bCs/>
              </w:rPr>
              <w:t xml:space="preserve">Paired with</w:t>
            </w:r>
          </w:p>
        </w:tc>
        <w:tc>
          <w:tcPr>
            <w:tcW w:type="dxa" w:w="6960"/>
            <w:tcMar>
              <w:top w:type="dxa" w:w="80"/>
              <w:left w:type="dxa" w:w="120"/>
              <w:bottom w:type="dxa" w:w="80"/>
              <w:right w:type="dxa" w:w="120"/>
            </w:tcMar>
          </w:tcPr>
          <w:p>
            <w:pPr>
              <w:spacing w:after="40" w:before="40"/>
            </w:pPr>
            <w:r>
              <w:t xml:space="preserve">Output Verification Checklist (ITS-TRN-014-D), used after the draft returns</w:t>
            </w:r>
          </w:p>
        </w:tc>
      </w:tr>
      <w:tr>
        <w:tc>
          <w:tcPr>
            <w:tcW w:type="dxa" w:w="2400"/>
            <w:shd w:fill="F2F2F2" w:color="auto" w:val="clear"/>
            <w:tcMar>
              <w:top w:type="dxa" w:w="80"/>
              <w:left w:type="dxa" w:w="120"/>
              <w:bottom w:type="dxa" w:w="80"/>
              <w:right w:type="dxa" w:w="120"/>
            </w:tcMar>
          </w:tcPr>
          <w:p>
            <w:pPr>
              <w:spacing w:after="40" w:before="40"/>
            </w:pPr>
            <w:r>
              <w:rPr>
                <w:b/>
                <w:bCs/>
              </w:rPr>
              <w:t xml:space="preserve">Companion documents</w:t>
            </w:r>
          </w:p>
        </w:tc>
        <w:tc>
          <w:tcPr>
            <w:tcW w:type="dxa" w:w="6960"/>
            <w:tcMar>
              <w:top w:type="dxa" w:w="80"/>
              <w:left w:type="dxa" w:w="120"/>
              <w:bottom w:type="dxa" w:w="80"/>
              <w:right w:type="dxa" w:w="120"/>
            </w:tcMar>
          </w:tcPr>
          <w:p>
            <w:pPr>
              <w:spacing w:after="40" w:before="40"/>
            </w:pPr>
            <w:r>
              <w:t xml:space="preserve">ITS-STD-014 v3.2 (standard); ITS-TRN-014-A (dataset); ITS-TRN-014-B (nine-step path)</w:t>
            </w:r>
          </w:p>
        </w:tc>
      </w:tr>
      <w:tr>
        <w:tc>
          <w:tcPr>
            <w:tcW w:type="dxa" w:w="2400"/>
            <w:shd w:fill="F2F2F2" w:color="auto" w:val="clear"/>
            <w:tcMar>
              <w:top w:type="dxa" w:w="80"/>
              <w:left w:type="dxa" w:w="120"/>
              <w:bottom w:type="dxa" w:w="80"/>
              <w:right w:type="dxa" w:w="120"/>
            </w:tcMar>
          </w:tcPr>
          <w:p>
            <w:pPr>
              <w:spacing w:after="40" w:before="40"/>
            </w:pPr>
            <w:r>
              <w:rPr>
                <w:b/>
                <w:bCs/>
              </w:rPr>
              <w:t xml:space="preserve">Retention</w:t>
            </w:r>
          </w:p>
        </w:tc>
        <w:tc>
          <w:tcPr>
            <w:tcW w:type="dxa" w:w="6960"/>
            <w:tcMar>
              <w:top w:type="dxa" w:w="80"/>
              <w:left w:type="dxa" w:w="120"/>
              <w:bottom w:type="dxa" w:w="80"/>
              <w:right w:type="dxa" w:w="120"/>
            </w:tcMar>
          </w:tcPr>
          <w:p>
            <w:pPr>
              <w:spacing w:after="40" w:before="40"/>
            </w:pPr>
            <w:r>
              <w:t xml:space="preserve">The completed template is kept with the ticket alongside the raw draft.</w:t>
            </w:r>
          </w:p>
        </w:tc>
      </w:tr>
      <w:tr>
        <w:tc>
          <w:tcPr>
            <w:tcW w:type="dxa" w:w="2400"/>
            <w:shd w:fill="F2F2F2" w:color="auto" w:val="clear"/>
            <w:tcMar>
              <w:top w:type="dxa" w:w="80"/>
              <w:left w:type="dxa" w:w="120"/>
              <w:bottom w:type="dxa" w:w="80"/>
              <w:right w:type="dxa" w:w="120"/>
            </w:tcMar>
          </w:tcPr>
          <w:p>
            <w:pPr>
              <w:spacing w:after="40" w:before="40"/>
            </w:pPr>
            <w:r>
              <w:rPr>
                <w:b/>
                <w:bCs/>
              </w:rPr>
              <w:t xml:space="preserve">Classification</w:t>
            </w:r>
          </w:p>
        </w:tc>
        <w:tc>
          <w:tcPr>
            <w:tcW w:type="dxa" w:w="6960"/>
            <w:tcMar>
              <w:top w:type="dxa" w:w="80"/>
              <w:left w:type="dxa" w:w="120"/>
              <w:bottom w:type="dxa" w:w="80"/>
              <w:right w:type="dxa" w:w="120"/>
            </w:tcMar>
          </w:tcPr>
          <w:p>
            <w:pPr>
              <w:spacing w:after="40" w:before="40"/>
            </w:pPr>
            <w:r>
              <w:t xml:space="preserve">Internal Use Only — Training</w:t>
            </w:r>
          </w:p>
        </w:tc>
      </w:tr>
    </w:tbl>
    <w:p>
      <w:pPr>
        <w:spacing w:after="180"/>
      </w:pPr>
    </w:p>
    <w:tbl>
      <w:tblPr>
        <w:tblW w:type="dxa" w:w="9360"/>
        <w:tblBorders>
          <w:top w:val="single" w:color="BF8F00" w:sz="8"/>
          <w:left w:val="single" w:color="BF8F00" w:sz="8"/>
          <w:bottom w:val="single" w:color="BF8F00" w:sz="8"/>
          <w:right w:val="single" w:color="BF8F00" w:sz="8"/>
          <w:insideH w:val="none" w:color="auto" w:sz="0"/>
          <w:insideV w:val="none" w:color="auto" w:sz="0"/>
        </w:tblBorders>
      </w:tblPr>
      <w:tblGrid>
        <w:gridCol w:w="9360"/>
      </w:tblGrid>
      <w:tr>
        <w:trPr>
          <w:cantSplit/>
        </w:trPr>
        <w:tc>
          <w:tcPr>
            <w:tcW w:type="dxa" w:w="9360"/>
            <w:shd w:fill="FFF2CC" w:color="auto" w:val="clear"/>
            <w:tcMar>
              <w:top w:type="dxa" w:w="140"/>
              <w:left w:type="dxa" w:w="160"/>
              <w:bottom w:type="dxa" w:w="140"/>
              <w:right w:type="dxa" w:w="160"/>
            </w:tcMar>
          </w:tcPr>
          <w:p>
            <w:pPr>
              <w:spacing w:after="60"/>
            </w:pPr>
            <w:r>
              <w:rPr>
                <w:b/>
                <w:bCs/>
              </w:rPr>
              <w:t xml:space="preserve">This template does not authorize the task</w:t>
            </w:r>
          </w:p>
          <w:p>
            <w:r>
              <w:rPr>
                <w:sz w:val="19"/>
                <w:szCs w:val="19"/>
              </w:rPr>
              <w:t xml:space="preserve">Section 1 decides whether you may prompt at all. A filled-in template for a not-approved task is still a not-approved task — the form does not confer permission.</w:t>
            </w:r>
          </w:p>
        </w:tc>
      </w:tr>
    </w:tbl>
    <w:p>
      <w:pPr>
        <w:pStyle w:val="Heading1"/>
      </w:pPr>
      <w:r>
        <w:t xml:space="preserve">1. Eligibility gate</w:t>
      </w:r>
    </w:p>
    <w:p>
      <w:r>
        <w:t xml:space="preserve">Complete this before writing anything into Section 2.</w:t>
      </w:r>
    </w:p>
    <w:p>
      <w:pPr>
        <w:spacing w:after="60"/>
      </w:pP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520"/>
        <w:gridCol w:w="4040"/>
        <w:gridCol w:w="4800"/>
      </w:tblGrid>
      <w:tr>
        <w:trPr>
          <w:tblHeader/>
        </w:trPr>
        <w:tc>
          <w:tcPr>
            <w:tcW w:type="dxa" w:w="520"/>
            <w:shd w:fill="D9E2F3" w:color="auto" w:val="clear"/>
            <w:tcMar>
              <w:top w:type="dxa" w:w="80"/>
              <w:left w:type="dxa" w:w="120"/>
              <w:bottom w:type="dxa" w:w="80"/>
              <w:right w:type="dxa" w:w="120"/>
            </w:tcMar>
          </w:tcPr>
          <w:p>
            <w:pPr>
              <w:spacing w:after="40" w:before="40"/>
            </w:pPr>
            <w:r>
              <w:rPr>
                <w:b/>
                <w:bCs/>
              </w:rPr>
              <w:t xml:space="preserve"/>
            </w:r>
          </w:p>
        </w:tc>
        <w:tc>
          <w:tcPr>
            <w:tcW w:type="dxa" w:w="4040"/>
            <w:shd w:fill="D9E2F3" w:color="auto" w:val="clear"/>
            <w:tcMar>
              <w:top w:type="dxa" w:w="80"/>
              <w:left w:type="dxa" w:w="120"/>
              <w:bottom w:type="dxa" w:w="80"/>
              <w:right w:type="dxa" w:w="120"/>
            </w:tcMar>
          </w:tcPr>
          <w:p>
            <w:pPr>
              <w:spacing w:after="40" w:before="40"/>
            </w:pPr>
            <w:r>
              <w:rPr>
                <w:b/>
                <w:bCs/>
              </w:rPr>
              <w:t xml:space="preserve">Check</w:t>
            </w:r>
          </w:p>
        </w:tc>
        <w:tc>
          <w:tcPr>
            <w:tcW w:type="dxa" w:w="4800"/>
            <w:shd w:fill="D9E2F3" w:color="auto" w:val="clear"/>
            <w:tcMar>
              <w:top w:type="dxa" w:w="80"/>
              <w:left w:type="dxa" w:w="120"/>
              <w:bottom w:type="dxa" w:w="80"/>
              <w:right w:type="dxa" w:w="120"/>
            </w:tcMar>
          </w:tcPr>
          <w:p>
            <w:pPr>
              <w:spacing w:after="40" w:before="40"/>
            </w:pPr>
            <w:r>
              <w:rPr>
                <w:b/>
                <w:bCs/>
              </w:rPr>
              <w:t xml:space="preserve">It fails if…</w:t>
            </w:r>
          </w:p>
        </w:tc>
      </w:tr>
      <w:tr>
        <w:tc>
          <w:tcPr>
            <w:tcW w:type="dxa" w:w="520"/>
            <w:tcMar>
              <w:top w:type="dxa" w:w="80"/>
              <w:left w:type="dxa" w:w="120"/>
              <w:bottom w:type="dxa" w:w="80"/>
              <w:right w:type="dxa" w:w="120"/>
            </w:tcMar>
          </w:tcPr>
          <w:p>
            <w:pPr>
              <w:spacing w:after="40" w:before="40"/>
              <w:jc w:val="center"/>
            </w:pPr>
            <w:r>
              <w:rPr>
                <w:sz w:val="24"/>
                <w:szCs w:val="24"/>
              </w:rPr>
              <w:t xml:space="preserve">☐</w:t>
            </w:r>
          </w:p>
        </w:tc>
        <w:tc>
          <w:tcPr>
            <w:tcW w:type="dxa" w:w="4040"/>
            <w:tcMar>
              <w:top w:type="dxa" w:w="80"/>
              <w:left w:type="dxa" w:w="120"/>
              <w:bottom w:type="dxa" w:w="80"/>
              <w:right w:type="dxa" w:w="120"/>
            </w:tcMar>
          </w:tcPr>
          <w:p>
            <w:pPr>
              <w:spacing w:after="40" w:before="40"/>
            </w:pPr>
            <w:r>
              <w:t xml:space="preserve">The task is named as UC-01, UC-02, or UC-03, in writing, with the ID recorded.</w:t>
            </w:r>
          </w:p>
        </w:tc>
        <w:tc>
          <w:tcPr>
            <w:tcW w:type="dxa" w:w="4800"/>
            <w:tcMar>
              <w:top w:type="dxa" w:w="80"/>
              <w:left w:type="dxa" w:w="120"/>
              <w:bottom w:type="dxa" w:w="80"/>
              <w:right w:type="dxa" w:w="120"/>
            </w:tcMar>
          </w:tcPr>
          <w:p>
            <w:pPr>
              <w:spacing w:after="40" w:before="40"/>
            </w:pPr>
            <w:r>
              <w:t xml:space="preserve">You cannot name the use case, or you are picking the closest fit rather than a match.</w:t>
            </w:r>
          </w:p>
        </w:tc>
      </w:tr>
      <w:tr>
        <w:tc>
          <w:tcPr>
            <w:tcW w:type="dxa" w:w="520"/>
            <w:tcMar>
              <w:top w:type="dxa" w:w="80"/>
              <w:left w:type="dxa" w:w="120"/>
              <w:bottom w:type="dxa" w:w="80"/>
              <w:right w:type="dxa" w:w="120"/>
            </w:tcMar>
          </w:tcPr>
          <w:p>
            <w:pPr>
              <w:spacing w:after="40" w:before="40"/>
              <w:jc w:val="center"/>
            </w:pPr>
            <w:r>
              <w:rPr>
                <w:sz w:val="24"/>
                <w:szCs w:val="24"/>
              </w:rPr>
              <w:t xml:space="preserve">☐</w:t>
            </w:r>
          </w:p>
        </w:tc>
        <w:tc>
          <w:tcPr>
            <w:tcW w:type="dxa" w:w="4040"/>
            <w:tcMar>
              <w:top w:type="dxa" w:w="80"/>
              <w:left w:type="dxa" w:w="120"/>
              <w:bottom w:type="dxa" w:w="80"/>
              <w:right w:type="dxa" w:w="120"/>
            </w:tcMar>
          </w:tcPr>
          <w:p>
            <w:pPr>
              <w:spacing w:after="40" w:before="40"/>
            </w:pPr>
            <w:r>
              <w:t xml:space="preserve">The task has been checked against all three not-approved categories, not just the first one that seemed not to apply.</w:t>
            </w:r>
          </w:p>
        </w:tc>
        <w:tc>
          <w:tcPr>
            <w:tcW w:type="dxa" w:w="4800"/>
            <w:tcMar>
              <w:top w:type="dxa" w:w="80"/>
              <w:left w:type="dxa" w:w="120"/>
              <w:bottom w:type="dxa" w:w="80"/>
              <w:right w:type="dxa" w:w="120"/>
            </w:tcMar>
          </w:tcPr>
          <w:p>
            <w:pPr>
              <w:spacing w:after="40" w:before="40"/>
            </w:pPr>
            <w:r>
              <w:t xml:space="preserve">Any part of the request touches NA-01, NA-02, or NA-03. Stop and escalate that part.</w:t>
            </w:r>
          </w:p>
        </w:tc>
      </w:tr>
      <w:tr>
        <w:tc>
          <w:tcPr>
            <w:tcW w:type="dxa" w:w="520"/>
            <w:tcMar>
              <w:top w:type="dxa" w:w="80"/>
              <w:left w:type="dxa" w:w="120"/>
              <w:bottom w:type="dxa" w:w="80"/>
              <w:right w:type="dxa" w:w="120"/>
            </w:tcMar>
          </w:tcPr>
          <w:p>
            <w:pPr>
              <w:spacing w:after="40" w:before="40"/>
              <w:jc w:val="center"/>
            </w:pPr>
            <w:r>
              <w:rPr>
                <w:sz w:val="24"/>
                <w:szCs w:val="24"/>
              </w:rPr>
              <w:t xml:space="preserve">☐</w:t>
            </w:r>
          </w:p>
        </w:tc>
        <w:tc>
          <w:tcPr>
            <w:tcW w:type="dxa" w:w="4040"/>
            <w:tcMar>
              <w:top w:type="dxa" w:w="80"/>
              <w:left w:type="dxa" w:w="120"/>
              <w:bottom w:type="dxa" w:w="80"/>
              <w:right w:type="dxa" w:w="120"/>
            </w:tcMar>
          </w:tcPr>
          <w:p>
            <w:pPr>
              <w:spacing w:after="40" w:before="40"/>
            </w:pPr>
            <w:r>
              <w:t xml:space="preserve">Every source you intend to use has been named and copied into a scratch file.</w:t>
            </w:r>
          </w:p>
        </w:tc>
        <w:tc>
          <w:tcPr>
            <w:tcW w:type="dxa" w:w="4800"/>
            <w:tcMar>
              <w:top w:type="dxa" w:w="80"/>
              <w:left w:type="dxa" w:w="120"/>
              <w:bottom w:type="dxa" w:w="80"/>
              <w:right w:type="dxa" w:w="120"/>
            </w:tcMar>
          </w:tcPr>
          <w:p>
            <w:pPr>
              <w:spacing w:after="40" w:before="40"/>
            </w:pPr>
            <w:r>
              <w:t xml:space="preserve">You are working from memory, or from the live ticket record rather than a scratch copy.</w:t>
            </w:r>
          </w:p>
        </w:tc>
      </w:tr>
      <w:tr>
        <w:tc>
          <w:tcPr>
            <w:tcW w:type="dxa" w:w="520"/>
            <w:tcMar>
              <w:top w:type="dxa" w:w="80"/>
              <w:left w:type="dxa" w:w="120"/>
              <w:bottom w:type="dxa" w:w="80"/>
              <w:right w:type="dxa" w:w="120"/>
            </w:tcMar>
          </w:tcPr>
          <w:p>
            <w:pPr>
              <w:spacing w:after="40" w:before="40"/>
              <w:jc w:val="center"/>
            </w:pPr>
            <w:r>
              <w:rPr>
                <w:sz w:val="24"/>
                <w:szCs w:val="24"/>
              </w:rPr>
              <w:t xml:space="preserve">☐</w:t>
            </w:r>
          </w:p>
        </w:tc>
        <w:tc>
          <w:tcPr>
            <w:tcW w:type="dxa" w:w="4040"/>
            <w:tcMar>
              <w:top w:type="dxa" w:w="80"/>
              <w:left w:type="dxa" w:w="120"/>
              <w:bottom w:type="dxa" w:w="80"/>
              <w:right w:type="dxa" w:w="120"/>
            </w:tcMar>
          </w:tcPr>
          <w:p>
            <w:pPr>
              <w:spacing w:after="40" w:before="40"/>
            </w:pPr>
            <w:r>
              <w:t xml:space="preserve">The scratch copy has been redacted per the PHI checklist and re-read for identifiers hidden in error strings, filenames, and pasted windows.</w:t>
            </w:r>
          </w:p>
        </w:tc>
        <w:tc>
          <w:tcPr>
            <w:tcW w:type="dxa" w:w="4800"/>
            <w:tcMar>
              <w:top w:type="dxa" w:w="80"/>
              <w:left w:type="dxa" w:w="120"/>
              <w:bottom w:type="dxa" w:w="80"/>
              <w:right w:type="dxa" w:w="120"/>
            </w:tcMar>
          </w:tcPr>
          <w:p>
            <w:pPr>
              <w:spacing w:after="40" w:before="40"/>
            </w:pPr>
            <w:r>
              <w:t xml:space="preserve">Any identifier survives anywhere in the material you plan to paste.</w:t>
            </w:r>
          </w:p>
        </w:tc>
      </w:tr>
    </w:tbl>
    <w:p>
      <w:pPr>
        <w:pStyle w:val="Heading2"/>
      </w:pPr>
      <w:r>
        <w:t xml:space="preserve">1.1 Eligibility across the dataset scenarios</w:t>
      </w:r>
    </w:p>
    <w:p>
      <w:r>
        <w:t xml:space="preserve">The three scenarios produce three different answers. Use this to check your reading before you apply the template to live work.</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3300"/>
        <w:gridCol w:w="4760"/>
      </w:tblGrid>
      <w:tr>
        <w:trPr>
          <w:tblHeader/>
        </w:trPr>
        <w:tc>
          <w:tcPr>
            <w:tcW w:type="dxa" w:w="1300"/>
            <w:shd w:fill="D9E2F3" w:color="auto" w:val="clear"/>
            <w:tcMar>
              <w:top w:type="dxa" w:w="80"/>
              <w:left w:type="dxa" w:w="120"/>
              <w:bottom w:type="dxa" w:w="80"/>
              <w:right w:type="dxa" w:w="120"/>
            </w:tcMar>
          </w:tcPr>
          <w:p>
            <w:pPr>
              <w:spacing w:after="40" w:before="40"/>
            </w:pPr>
            <w:r>
              <w:rPr>
                <w:b/>
                <w:bCs/>
              </w:rPr>
              <w:t xml:space="preserve">Scenario</w:t>
            </w:r>
          </w:p>
        </w:tc>
        <w:tc>
          <w:tcPr>
            <w:tcW w:type="dxa" w:w="3300"/>
            <w:shd w:fill="D9E2F3" w:color="auto" w:val="clear"/>
            <w:tcMar>
              <w:top w:type="dxa" w:w="80"/>
              <w:left w:type="dxa" w:w="120"/>
              <w:bottom w:type="dxa" w:w="80"/>
              <w:right w:type="dxa" w:w="120"/>
            </w:tcMar>
          </w:tcPr>
          <w:p>
            <w:pPr>
              <w:spacing w:after="40" w:before="40"/>
            </w:pPr>
            <w:r>
              <w:rPr>
                <w:b/>
                <w:bCs/>
              </w:rPr>
              <w:t xml:space="preserve">Request</w:t>
            </w:r>
          </w:p>
        </w:tc>
        <w:tc>
          <w:tcPr>
            <w:tcW w:type="dxa" w:w="4760"/>
            <w:shd w:fill="D9E2F3" w:color="auto" w:val="clear"/>
            <w:tcMar>
              <w:top w:type="dxa" w:w="80"/>
              <w:left w:type="dxa" w:w="120"/>
              <w:bottom w:type="dxa" w:w="80"/>
              <w:right w:type="dxa" w:w="120"/>
            </w:tcMar>
          </w:tcPr>
          <w:p>
            <w:pPr>
              <w:spacing w:after="40" w:before="40"/>
            </w:pPr>
            <w:r>
              <w:rPr>
                <w:b/>
                <w:bCs/>
              </w:rPr>
              <w:t xml:space="preserve">Template applies?</w:t>
            </w:r>
          </w:p>
        </w:tc>
      </w:tr>
      <w:tr>
        <w:tc>
          <w:tcPr>
            <w:tcW w:type="dxa" w:w="1300"/>
            <w:tcMar>
              <w:top w:type="dxa" w:w="80"/>
              <w:left w:type="dxa" w:w="120"/>
              <w:bottom w:type="dxa" w:w="80"/>
              <w:right w:type="dxa" w:w="120"/>
            </w:tcMar>
          </w:tcPr>
          <w:p>
            <w:pPr>
              <w:spacing w:after="40" w:before="40"/>
            </w:pPr>
            <w:r>
              <w:rPr>
                <w:b/>
                <w:bCs/>
              </w:rPr>
              <w:t xml:space="preserve">SCN-001</w:t>
            </w:r>
          </w:p>
        </w:tc>
        <w:tc>
          <w:tcPr>
            <w:tcW w:type="dxa" w:w="3300"/>
            <w:tcMar>
              <w:top w:type="dxa" w:w="80"/>
              <w:left w:type="dxa" w:w="120"/>
              <w:bottom w:type="dxa" w:w="80"/>
              <w:right w:type="dxa" w:w="120"/>
            </w:tcMar>
          </w:tcPr>
          <w:p>
            <w:pPr>
              <w:spacing w:after="40" w:before="40"/>
            </w:pPr>
            <w:r>
              <w:t xml:space="preserve">Summarize a 14-comment thread for Tier 2 escalation</w:t>
            </w:r>
          </w:p>
        </w:tc>
        <w:tc>
          <w:tcPr>
            <w:tcW w:type="dxa" w:w="4760"/>
            <w:tcMar>
              <w:top w:type="dxa" w:w="80"/>
              <w:left w:type="dxa" w:w="120"/>
              <w:bottom w:type="dxa" w:w="80"/>
              <w:right w:type="dxa" w:w="120"/>
            </w:tcMar>
          </w:tcPr>
          <w:p>
            <w:pPr>
              <w:spacing w:after="40" w:before="40"/>
            </w:pPr>
            <w:r>
              <w:t xml:space="preserve">Yes — UC-01, after redaction. Identifiers sit inside a pasted error message, so row 4 of the gate is the one that catches people.</w:t>
            </w:r>
          </w:p>
        </w:tc>
      </w:tr>
      <w:tr>
        <w:tc>
          <w:tcPr>
            <w:tcW w:type="dxa" w:w="1300"/>
            <w:tcMar>
              <w:top w:type="dxa" w:w="80"/>
              <w:left w:type="dxa" w:w="120"/>
              <w:bottom w:type="dxa" w:w="80"/>
              <w:right w:type="dxa" w:w="120"/>
            </w:tcMar>
          </w:tcPr>
          <w:p>
            <w:pPr>
              <w:spacing w:after="40" w:before="40"/>
            </w:pPr>
            <w:r>
              <w:rPr>
                <w:b/>
                <w:bCs/>
              </w:rPr>
              <w:t xml:space="preserve">SCN-002</w:t>
            </w:r>
          </w:p>
        </w:tc>
        <w:tc>
          <w:tcPr>
            <w:tcW w:type="dxa" w:w="3300"/>
            <w:tcMar>
              <w:top w:type="dxa" w:w="80"/>
              <w:left w:type="dxa" w:w="120"/>
              <w:bottom w:type="dxa" w:w="80"/>
              <w:right w:type="dxa" w:w="120"/>
            </w:tcMar>
          </w:tcPr>
          <w:p>
            <w:pPr>
              <w:spacing w:after="40" w:before="40"/>
            </w:pPr>
            <w:r>
              <w:t xml:space="preserve">Draft the maintenance notice</w:t>
            </w:r>
          </w:p>
        </w:tc>
        <w:tc>
          <w:tcPr>
            <w:tcW w:type="dxa" w:w="4760"/>
            <w:tcMar>
              <w:top w:type="dxa" w:w="80"/>
              <w:left w:type="dxa" w:w="120"/>
              <w:bottom w:type="dxa" w:w="80"/>
              <w:right w:type="dxa" w:w="120"/>
            </w:tcMar>
          </w:tcPr>
          <w:p>
            <w:pPr>
              <w:spacing w:after="40" w:before="40"/>
            </w:pPr>
            <w:r>
              <w:t xml:space="preserve">Yes — UC-02. No PHI in this ticket, but the gate is still completed.</w:t>
            </w:r>
          </w:p>
        </w:tc>
      </w:tr>
      <w:tr>
        <w:tc>
          <w:tcPr>
            <w:tcW w:type="dxa" w:w="1300"/>
            <w:tcMar>
              <w:top w:type="dxa" w:w="80"/>
              <w:left w:type="dxa" w:w="120"/>
              <w:bottom w:type="dxa" w:w="80"/>
              <w:right w:type="dxa" w:w="120"/>
            </w:tcMar>
          </w:tcPr>
          <w:p>
            <w:pPr>
              <w:spacing w:after="40" w:before="40"/>
            </w:pPr>
            <w:r>
              <w:rPr>
                <w:b/>
                <w:bCs/>
              </w:rPr>
              <w:t xml:space="preserve">SCN-002</w:t>
            </w:r>
          </w:p>
        </w:tc>
        <w:tc>
          <w:tcPr>
            <w:tcW w:type="dxa" w:w="3300"/>
            <w:tcMar>
              <w:top w:type="dxa" w:w="80"/>
              <w:left w:type="dxa" w:w="120"/>
              <w:bottom w:type="dxa" w:w="80"/>
              <w:right w:type="dxa" w:w="120"/>
            </w:tcMar>
          </w:tcPr>
          <w:p>
            <w:pPr>
              <w:spacing w:after="40" w:before="40"/>
            </w:pPr>
            <w:r>
              <w:t xml:space="preserve">Find the offline procedure for archived study files</w:t>
            </w:r>
          </w:p>
        </w:tc>
        <w:tc>
          <w:tcPr>
            <w:tcW w:type="dxa" w:w="4760"/>
            <w:tcMar>
              <w:top w:type="dxa" w:w="80"/>
              <w:left w:type="dxa" w:w="120"/>
              <w:bottom w:type="dxa" w:w="80"/>
              <w:right w:type="dxa" w:w="120"/>
            </w:tcMar>
          </w:tcPr>
          <w:p>
            <w:pPr>
              <w:spacing w:after="40" w:before="40"/>
            </w:pPr>
            <w:r>
              <w:t xml:space="preserve">Yes — UC-03. Cite KB-2214 as the source; the article governs, not the output.</w:t>
            </w:r>
          </w:p>
        </w:tc>
      </w:tr>
      <w:tr>
        <w:tc>
          <w:tcPr>
            <w:tcW w:type="dxa" w:w="1300"/>
            <w:tcMar>
              <w:top w:type="dxa" w:w="80"/>
              <w:left w:type="dxa" w:w="120"/>
              <w:bottom w:type="dxa" w:w="80"/>
              <w:right w:type="dxa" w:w="120"/>
            </w:tcMar>
          </w:tcPr>
          <w:p>
            <w:pPr>
              <w:spacing w:after="40" w:before="40"/>
            </w:pPr>
            <w:r>
              <w:rPr>
                <w:b/>
                <w:bCs/>
              </w:rPr>
              <w:t xml:space="preserve">SCN-002</w:t>
            </w:r>
          </w:p>
        </w:tc>
        <w:tc>
          <w:tcPr>
            <w:tcW w:type="dxa" w:w="3300"/>
            <w:tcMar>
              <w:top w:type="dxa" w:w="80"/>
              <w:left w:type="dxa" w:w="120"/>
              <w:bottom w:type="dxa" w:w="80"/>
              <w:right w:type="dxa" w:w="120"/>
            </w:tcMar>
          </w:tcPr>
          <w:p>
            <w:pPr>
              <w:spacing w:after="40" w:before="40"/>
            </w:pPr>
            <w:r>
              <w:t xml:space="preserve">Add a line assigning fault for the March outage and guaranteeing no data loss</w:t>
            </w:r>
          </w:p>
        </w:tc>
        <w:tc>
          <w:tcPr>
            <w:tcW w:type="dxa" w:w="4760"/>
            <w:tcMar>
              <w:top w:type="dxa" w:w="80"/>
              <w:left w:type="dxa" w:w="120"/>
              <w:bottom w:type="dxa" w:w="80"/>
              <w:right w:type="dxa" w:w="120"/>
            </w:tcMar>
          </w:tcPr>
          <w:p>
            <w:pPr>
              <w:spacing w:after="40" w:before="40"/>
            </w:pPr>
            <w:r>
              <w:t xml:space="preserve">No — NA-02. A statement of cause and an outcome guarantee. Escalate this part; the other two proceed.</w:t>
            </w:r>
          </w:p>
        </w:tc>
      </w:tr>
      <w:tr>
        <w:tc>
          <w:tcPr>
            <w:tcW w:type="dxa" w:w="1300"/>
            <w:tcMar>
              <w:top w:type="dxa" w:w="80"/>
              <w:left w:type="dxa" w:w="120"/>
              <w:bottom w:type="dxa" w:w="80"/>
              <w:right w:type="dxa" w:w="120"/>
            </w:tcMar>
          </w:tcPr>
          <w:p>
            <w:pPr>
              <w:spacing w:after="40" w:before="40"/>
            </w:pPr>
            <w:r>
              <w:rPr>
                <w:b/>
                <w:bCs/>
              </w:rPr>
              <w:t xml:space="preserve">SCN-003</w:t>
            </w:r>
          </w:p>
        </w:tc>
        <w:tc>
          <w:tcPr>
            <w:tcW w:type="dxa" w:w="3300"/>
            <w:tcMar>
              <w:top w:type="dxa" w:w="80"/>
              <w:left w:type="dxa" w:w="120"/>
              <w:bottom w:type="dxa" w:w="80"/>
              <w:right w:type="dxa" w:w="120"/>
            </w:tcMar>
          </w:tcPr>
          <w:p>
            <w:pPr>
              <w:spacing w:after="40" w:before="40"/>
            </w:pPr>
            <w:r>
              <w:t xml:space="preserve">Incident summary, breach determination, letter to the receiving clinic, fax reconfiguration</w:t>
            </w:r>
          </w:p>
        </w:tc>
        <w:tc>
          <w:tcPr>
            <w:tcW w:type="dxa" w:w="4760"/>
            <w:tcMar>
              <w:top w:type="dxa" w:w="80"/>
              <w:left w:type="dxa" w:w="120"/>
              <w:bottom w:type="dxa" w:w="80"/>
              <w:right w:type="dxa" w:w="120"/>
            </w:tcMar>
          </w:tcPr>
          <w:p>
            <w:pPr>
              <w:spacing w:after="40" w:before="40"/>
            </w:pPr>
            <w:r>
              <w:t xml:space="preserve">No — the whole ticket. NA-01 and NA-02 on the first three, NA-03 on the fourth. The template is not used at all.</w:t>
            </w:r>
          </w:p>
        </w:tc>
      </w:tr>
    </w:tbl>
    <w:p>
      <w:pPr>
        <w:spacing w:after="80"/>
      </w:pPr>
    </w:p>
    <w:p>
      <w:r>
        <w:rPr>
          <w:i/>
          <w:iCs/>
        </w:rPr>
        <w:t xml:space="preserve">Note what SCN-002 demonstrates: a single ticket splits across the line. Two parts are eligible and one is not, and the eligible parts do not become ineligible because they arrived in the same email.</w:t>
      </w:r>
    </w:p>
    <w:p>
      <w:r>
        <w:br w:type="page"/>
      </w:r>
    </w:p>
    <w:p>
      <w:pPr>
        <w:pStyle w:val="Heading1"/>
      </w:pPr>
      <w:r>
        <w:t xml:space="preserve">2. The template</w:t>
      </w:r>
    </w:p>
    <w:p>
      <w:r>
        <w:t xml:space="preserve">Fill every bracketed field. An element you cannot fill is a signal to stop and gather more, not to send a thinner prompt.</w:t>
      </w:r>
    </w:p>
    <w:p>
      <w:pPr>
        <w:spacing w:after="80"/>
      </w:pPr>
    </w:p>
    <w:tbl>
      <w:tblPr>
        <w:tblW w:type="dxa" w:w="9360"/>
        <w:tblBorders>
          <w:top w:val="single" w:color="BFBFBF" w:sz="4"/>
          <w:left w:val="single" w:color="BFBFBF" w:sz="4"/>
          <w:bottom w:val="single" w:color="BFBFBF" w:sz="4"/>
          <w:right w:val="single" w:color="BFBFBF" w:sz="4"/>
          <w:insideH w:val="none" w:color="auto" w:sz="0"/>
          <w:insideV w:val="none" w:color="auto" w:sz="0"/>
        </w:tblBorders>
      </w:tblPr>
      <w:tblGrid>
        <w:gridCol w:w="9360"/>
      </w:tblGrid>
      <w:tr>
        <w:tc>
          <w:tcPr>
            <w:tcW w:type="dxa" w:w="9360"/>
            <w:shd w:fill="F2F2F2" w:color="auto" w:val="clear"/>
            <w:tcMar>
              <w:top w:type="dxa" w:w="120"/>
              <w:left w:type="dxa" w:w="160"/>
              <w:bottom w:type="dxa" w:w="120"/>
              <w:right w:type="dxa" w:w="160"/>
            </w:tcMar>
          </w:tcPr>
          <w:p>
            <w:pPr>
              <w:spacing w:after="20"/>
            </w:pPr>
            <w:r>
              <w:rPr>
                <w:rFonts w:ascii="Consolas" w:cs="Consolas" w:eastAsia="Consolas" w:hAnsi="Consolas"/>
                <w:sz w:val="17"/>
                <w:szCs w:val="17"/>
              </w:rPr>
              <w:t xml:space="preserve">ROLE</w:t>
            </w:r>
          </w:p>
          <w:p>
            <w:pPr>
              <w:spacing w:after="20"/>
            </w:pPr>
            <w:r>
              <w:rPr>
                <w:rFonts w:ascii="Consolas" w:cs="Consolas" w:eastAsia="Consolas" w:hAnsi="Consolas"/>
                <w:sz w:val="17"/>
                <w:szCs w:val="17"/>
              </w:rPr>
              <w:t xml:space="preserve">  You are writing for [WHO WILL READ THIS: tier, role, training level].</w:t>
            </w:r>
          </w:p>
          <w:p>
            <w:pPr>
              <w:spacing w:after="20"/>
            </w:pPr>
            <w:r>
              <w:rPr>
                <w:rFonts w:ascii="Consolas" w:cs="Consolas" w:eastAsia="Consolas" w:hAnsi="Consolas"/>
                <w:sz w:val="17"/>
                <w:szCs w:val="17"/>
              </w:rPr>
              <w:t xml:space="preserve">  Assume familiarity with [WHAT THEY ALREADY KNOW].</w:t>
            </w:r>
          </w:p>
          <w:p>
            <w:pPr>
              <w:spacing w:after="20"/>
            </w:pPr>
            <w:r>
              <w:rPr>
                <w:rFonts w:ascii="Consolas" w:cs="Consolas" w:eastAsia="Consolas" w:hAnsi="Consolas"/>
                <w:sz w:val="17"/>
                <w:szCs w:val="17"/>
              </w:rPr>
              <w:t xml:space="preserve">  Do not assume familiarity with [WHAT THEY DO NOT].</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CONTEXT</w:t>
            </w:r>
          </w:p>
          <w:p>
            <w:pPr>
              <w:spacing w:after="20"/>
            </w:pPr>
            <w:r>
              <w:rPr>
                <w:rFonts w:ascii="Consolas" w:cs="Consolas" w:eastAsia="Consolas" w:hAnsi="Consolas"/>
                <w:sz w:val="17"/>
                <w:szCs w:val="17"/>
              </w:rPr>
              <w:t xml:space="preserve">  Symptom / request: [WHAT WAS REPORTED, REDACTED]</w:t>
            </w:r>
          </w:p>
          <w:p>
            <w:pPr>
              <w:spacing w:after="20"/>
            </w:pPr>
            <w:r>
              <w:rPr>
                <w:rFonts w:ascii="Consolas" w:cs="Consolas" w:eastAsia="Consolas" w:hAnsi="Consolas"/>
                <w:sz w:val="17"/>
                <w:szCs w:val="17"/>
              </w:rPr>
              <w:t xml:space="preserve">  Environment: [SYSTEMS, QUEUES, VERSIONS, ERROR CODES]</w:t>
            </w:r>
          </w:p>
          <w:p>
            <w:pPr>
              <w:spacing w:after="20"/>
            </w:pPr>
            <w:r>
              <w:rPr>
                <w:rFonts w:ascii="Consolas" w:cs="Consolas" w:eastAsia="Consolas" w:hAnsi="Consolas"/>
                <w:sz w:val="17"/>
                <w:szCs w:val="17"/>
              </w:rPr>
              <w:t xml:space="preserve">  Already ruled out: [WHAT HAS BEEN TRIED AND FAILED]</w:t>
            </w:r>
          </w:p>
          <w:p>
            <w:pPr>
              <w:spacing w:after="20"/>
            </w:pPr>
            <w:r>
              <w:rPr>
                <w:rFonts w:ascii="Consolas" w:cs="Consolas" w:eastAsia="Consolas" w:hAnsi="Consolas"/>
                <w:sz w:val="17"/>
                <w:szCs w:val="17"/>
              </w:rPr>
              <w:t xml:space="preserve">  Known good: [WHAT WORKS, FOR CONTRAST]</w:t>
            </w:r>
          </w:p>
          <w:p>
            <w:pPr>
              <w:spacing w:after="20"/>
            </w:pPr>
            <w:r>
              <w:rPr>
                <w:rFonts w:ascii="Consolas" w:cs="Consolas" w:eastAsia="Consolas" w:hAnsi="Consolas"/>
                <w:sz w:val="17"/>
                <w:szCs w:val="17"/>
              </w:rPr>
              <w:t xml:space="preserve">  Sources provided: [NAMED SOURCE 1], [NAMED SOURCE 2], [NAMED SOURCE 3].</w:t>
            </w:r>
          </w:p>
          <w:p>
            <w:pPr>
              <w:spacing w:after="20"/>
            </w:pPr>
            <w:r>
              <w:rPr>
                <w:rFonts w:ascii="Consolas" w:cs="Consolas" w:eastAsia="Consolas" w:hAnsi="Consolas"/>
                <w:sz w:val="17"/>
                <w:szCs w:val="17"/>
              </w:rPr>
              <w:t xml:space="preserve">  Use nothing else.</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CONSTRAINTS</w:t>
            </w:r>
          </w:p>
          <w:p>
            <w:pPr>
              <w:spacing w:after="20"/>
            </w:pPr>
            <w:r>
              <w:rPr>
                <w:rFonts w:ascii="Consolas" w:cs="Consolas" w:eastAsia="Consolas" w:hAnsi="Consolas"/>
                <w:sz w:val="17"/>
                <w:szCs w:val="17"/>
              </w:rPr>
              <w:t xml:space="preserve">  - Use only the sources listed above. Do not draw on general knowledge</w:t>
            </w:r>
          </w:p>
          <w:p>
            <w:pPr>
              <w:spacing w:after="20"/>
            </w:pPr>
            <w:r>
              <w:rPr>
                <w:rFonts w:ascii="Consolas" w:cs="Consolas" w:eastAsia="Consolas" w:hAnsi="Consolas"/>
                <w:sz w:val="17"/>
                <w:szCs w:val="17"/>
              </w:rPr>
              <w:t xml:space="preserve">    of similar products.</w:t>
            </w:r>
          </w:p>
          <w:p>
            <w:pPr>
              <w:spacing w:after="20"/>
            </w:pPr>
            <w:r>
              <w:rPr>
                <w:rFonts w:ascii="Consolas" w:cs="Consolas" w:eastAsia="Consolas" w:hAnsi="Consolas"/>
                <w:sz w:val="17"/>
                <w:szCs w:val="17"/>
              </w:rPr>
              <w:t xml:space="preserve">  - Cite the source and section for every [STEP / CLAIM / RECOMMENDATION].</w:t>
            </w:r>
          </w:p>
          <w:p>
            <w:pPr>
              <w:spacing w:after="20"/>
            </w:pPr>
            <w:r>
              <w:rPr>
                <w:rFonts w:ascii="Consolas" w:cs="Consolas" w:eastAsia="Consolas" w:hAnsi="Consolas"/>
                <w:sz w:val="17"/>
                <w:szCs w:val="17"/>
              </w:rPr>
              <w:t xml:space="preserve">  - Do not invent [PATHS, KEYS, SERVICE NAMES, VERSIONS, CONTACTS]. If a</w:t>
            </w:r>
          </w:p>
          <w:p>
            <w:pPr>
              <w:spacing w:after="20"/>
            </w:pPr>
            <w:r>
              <w:rPr>
                <w:rFonts w:ascii="Consolas" w:cs="Consolas" w:eastAsia="Consolas" w:hAnsi="Consolas"/>
                <w:sz w:val="17"/>
                <w:szCs w:val="17"/>
              </w:rPr>
              <w:t xml:space="preserve">    value is needed and not in the sources, write UNKNOWN - VERIFY.</w:t>
            </w:r>
          </w:p>
          <w:p>
            <w:pPr>
              <w:spacing w:after="20"/>
            </w:pPr>
            <w:r>
              <w:rPr>
                <w:rFonts w:ascii="Consolas" w:cs="Consolas" w:eastAsia="Consolas" w:hAnsi="Consolas"/>
                <w:sz w:val="17"/>
                <w:szCs w:val="17"/>
              </w:rPr>
              <w:t xml:space="preserve">  - Every step must be executable by [PERMISSION LEVEL]. Mark anything</w:t>
            </w:r>
          </w:p>
          <w:p>
            <w:pPr>
              <w:spacing w:after="20"/>
            </w:pPr>
            <w:r>
              <w:rPr>
                <w:rFonts w:ascii="Consolas" w:cs="Consolas" w:eastAsia="Consolas" w:hAnsi="Consolas"/>
                <w:sz w:val="17"/>
                <w:szCs w:val="17"/>
              </w:rPr>
              <w:t xml:space="preserve">    requiring more as ESCALATE.</w:t>
            </w:r>
          </w:p>
          <w:p>
            <w:pPr>
              <w:spacing w:after="20"/>
            </w:pPr>
            <w:r>
              <w:rPr>
                <w:rFonts w:ascii="Consolas" w:cs="Consolas" w:eastAsia="Consolas" w:hAnsi="Consolas"/>
                <w:sz w:val="17"/>
                <w:szCs w:val="17"/>
              </w:rPr>
              <w:t xml:space="preserve">  - No clinical guidance, no patient-identifying content, no statement of</w:t>
            </w:r>
          </w:p>
          <w:p>
            <w:pPr>
              <w:spacing w:after="20"/>
            </w:pPr>
            <w:r>
              <w:rPr>
                <w:rFonts w:ascii="Consolas" w:cs="Consolas" w:eastAsia="Consolas" w:hAnsi="Consolas"/>
                <w:sz w:val="17"/>
                <w:szCs w:val="17"/>
              </w:rPr>
              <w:t xml:space="preserve">    cause, fault, or organizational commitment.</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OUTPUT FORMAT</w:t>
            </w:r>
          </w:p>
          <w:p>
            <w:pPr>
              <w:spacing w:after="20"/>
            </w:pPr>
            <w:r>
              <w:rPr>
                <w:rFonts w:ascii="Consolas" w:cs="Consolas" w:eastAsia="Consolas" w:hAnsi="Consolas"/>
                <w:sz w:val="17"/>
                <w:szCs w:val="17"/>
              </w:rPr>
              <w:t xml:space="preserve">  1. [OPENING BLOCK: preconditions, audience, or scope]</w:t>
            </w:r>
          </w:p>
          <w:p>
            <w:pPr>
              <w:spacing w:after="20"/>
            </w:pPr>
            <w:r>
              <w:rPr>
                <w:rFonts w:ascii="Consolas" w:cs="Consolas" w:eastAsia="Consolas" w:hAnsi="Consolas"/>
                <w:sz w:val="17"/>
                <w:szCs w:val="17"/>
              </w:rPr>
              <w:t xml:space="preserve">  2. [BODY STRUCTURE: numbered steps / paragraphs / sections]</w:t>
            </w:r>
          </w:p>
          <w:p>
            <w:pPr>
              <w:spacing w:after="20"/>
            </w:pPr>
            <w:r>
              <w:rPr>
                <w:rFonts w:ascii="Consolas" w:cs="Consolas" w:eastAsia="Consolas" w:hAnsi="Consolas"/>
                <w:sz w:val="17"/>
                <w:szCs w:val="17"/>
              </w:rPr>
              <w:t xml:space="preserve">  3. [CLOSING BLOCK: stop condition, escalation target, or next action]</w:t>
            </w:r>
          </w:p>
          <w:p>
            <w:pPr>
              <w:spacing w:after="20"/>
            </w:pPr>
            <w:r>
              <w:rPr>
                <w:rFonts w:ascii="Consolas" w:cs="Consolas" w:eastAsia="Consolas" w:hAnsi="Consolas"/>
                <w:sz w:val="17"/>
                <w:szCs w:val="17"/>
              </w:rPr>
              <w:t xml:space="preserve">  4. Under [N] words. No preamble, no summary paragraph.</w:t>
            </w:r>
          </w:p>
        </w:tc>
      </w:tr>
    </w:tbl>
    <w:p>
      <w:pPr>
        <w:spacing w:after="120"/>
      </w:pPr>
    </w:p>
    <w:p>
      <w:pPr>
        <w:pStyle w:val="Heading2"/>
      </w:pPr>
      <w:r>
        <w:t xml:space="preserve">2.1 Field notes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7460"/>
      </w:tblGrid>
      <w:tr>
        <w:trPr>
          <w:tblHeader/>
        </w:trPr>
        <w:tc>
          <w:tcPr>
            <w:tcW w:type="dxa" w:w="1900"/>
            <w:shd w:fill="D9E2F3" w:color="auto" w:val="clear"/>
            <w:tcMar>
              <w:top w:type="dxa" w:w="80"/>
              <w:left w:type="dxa" w:w="120"/>
              <w:bottom w:type="dxa" w:w="80"/>
              <w:right w:type="dxa" w:w="120"/>
            </w:tcMar>
          </w:tcPr>
          <w:p>
            <w:pPr>
              <w:spacing w:after="40" w:before="40"/>
            </w:pPr>
            <w:r>
              <w:rPr>
                <w:b/>
                <w:bCs/>
              </w:rPr>
              <w:t xml:space="preserve">Field</w:t>
            </w:r>
          </w:p>
        </w:tc>
        <w:tc>
          <w:tcPr>
            <w:tcW w:type="dxa" w:w="7460"/>
            <w:shd w:fill="D9E2F3" w:color="auto" w:val="clear"/>
            <w:tcMar>
              <w:top w:type="dxa" w:w="80"/>
              <w:left w:type="dxa" w:w="120"/>
              <w:bottom w:type="dxa" w:w="80"/>
              <w:right w:type="dxa" w:w="120"/>
            </w:tcMar>
          </w:tcPr>
          <w:p>
            <w:pPr>
              <w:spacing w:after="40" w:before="40"/>
            </w:pPr>
            <w:r>
              <w:rPr>
                <w:b/>
                <w:bCs/>
              </w:rPr>
              <w:t xml:space="preserve">What makes it strong</w:t>
            </w:r>
          </w:p>
        </w:tc>
      </w:tr>
      <w:tr>
        <w:tc>
          <w:tcPr>
            <w:tcW w:type="dxa" w:w="1900"/>
            <w:tcMar>
              <w:top w:type="dxa" w:w="80"/>
              <w:left w:type="dxa" w:w="120"/>
              <w:bottom w:type="dxa" w:w="80"/>
              <w:right w:type="dxa" w:w="120"/>
            </w:tcMar>
          </w:tcPr>
          <w:p>
            <w:pPr>
              <w:spacing w:after="40" w:before="40"/>
            </w:pPr>
            <w:r>
              <w:rPr>
                <w:b/>
                <w:bCs/>
              </w:rPr>
              <w:t xml:space="preserve">Role</w:t>
            </w:r>
          </w:p>
        </w:tc>
        <w:tc>
          <w:tcPr>
            <w:tcW w:type="dxa" w:w="7460"/>
            <w:tcMar>
              <w:top w:type="dxa" w:w="80"/>
              <w:left w:type="dxa" w:w="120"/>
              <w:bottom w:type="dxa" w:w="80"/>
              <w:right w:type="dxa" w:w="120"/>
            </w:tcMar>
          </w:tcPr>
          <w:p>
            <w:pPr>
              <w:spacing w:after="40" w:before="40"/>
            </w:pPr>
            <w:r>
              <w:t xml:space="preserve">Names a reader, not an expertise level for the model. "A Tier 1 technician with no print-server training" tells the draft what to explain; "you are an expert" tells it nothing.</w:t>
            </w:r>
          </w:p>
        </w:tc>
      </w:tr>
      <w:tr>
        <w:tc>
          <w:tcPr>
            <w:tcW w:type="dxa" w:w="1900"/>
            <w:tcMar>
              <w:top w:type="dxa" w:w="80"/>
              <w:left w:type="dxa" w:w="120"/>
              <w:bottom w:type="dxa" w:w="80"/>
              <w:right w:type="dxa" w:w="120"/>
            </w:tcMar>
          </w:tcPr>
          <w:p>
            <w:pPr>
              <w:spacing w:after="40" w:before="40"/>
            </w:pPr>
            <w:r>
              <w:rPr>
                <w:b/>
                <w:bCs/>
              </w:rPr>
              <w:t xml:space="preserve">Context</w:t>
            </w:r>
          </w:p>
        </w:tc>
        <w:tc>
          <w:tcPr>
            <w:tcW w:type="dxa" w:w="7460"/>
            <w:tcMar>
              <w:top w:type="dxa" w:w="80"/>
              <w:left w:type="dxa" w:w="120"/>
              <w:bottom w:type="dxa" w:w="80"/>
              <w:right w:type="dxa" w:w="120"/>
            </w:tcMar>
          </w:tcPr>
          <w:p>
            <w:pPr>
              <w:spacing w:after="40" w:before="40"/>
            </w:pPr>
            <w:r>
              <w:t xml:space="preserve">Carries the redacted source pack verbatim. Keep technical specifics — queue names, error codes, versions. Drop identifiers. The "already ruled out" line is what stops the draft repeating work.</w:t>
            </w:r>
          </w:p>
        </w:tc>
      </w:tr>
      <w:tr>
        <w:tc>
          <w:tcPr>
            <w:tcW w:type="dxa" w:w="1900"/>
            <w:tcMar>
              <w:top w:type="dxa" w:w="80"/>
              <w:left w:type="dxa" w:w="120"/>
              <w:bottom w:type="dxa" w:w="80"/>
              <w:right w:type="dxa" w:w="120"/>
            </w:tcMar>
          </w:tcPr>
          <w:p>
            <w:pPr>
              <w:spacing w:after="40" w:before="40"/>
            </w:pPr>
            <w:r>
              <w:rPr>
                <w:b/>
                <w:bCs/>
              </w:rPr>
              <w:t xml:space="preserve">Constraints</w:t>
            </w:r>
          </w:p>
        </w:tc>
        <w:tc>
          <w:tcPr>
            <w:tcW w:type="dxa" w:w="7460"/>
            <w:tcMar>
              <w:top w:type="dxa" w:w="80"/>
              <w:left w:type="dxa" w:w="120"/>
              <w:bottom w:type="dxa" w:w="80"/>
              <w:right w:type="dxa" w:w="120"/>
            </w:tcMar>
          </w:tcPr>
          <w:p>
            <w:pPr>
              <w:spacing w:after="40" w:before="40"/>
            </w:pPr>
            <w:r>
              <w:t xml:space="preserve">Every line must be able to fail visibly. The UNKNOWN - VERIFY instruction is the single highest-value line in the template: without it, gaps come back as confident inventions.</w:t>
            </w:r>
          </w:p>
        </w:tc>
      </w:tr>
      <w:tr>
        <w:tc>
          <w:tcPr>
            <w:tcW w:type="dxa" w:w="1900"/>
            <w:tcMar>
              <w:top w:type="dxa" w:w="80"/>
              <w:left w:type="dxa" w:w="120"/>
              <w:bottom w:type="dxa" w:w="80"/>
              <w:right w:type="dxa" w:w="120"/>
            </w:tcMar>
          </w:tcPr>
          <w:p>
            <w:pPr>
              <w:spacing w:after="40" w:before="40"/>
            </w:pPr>
            <w:r>
              <w:rPr>
                <w:b/>
                <w:bCs/>
              </w:rPr>
              <w:t xml:space="preserve">Output format</w:t>
            </w:r>
          </w:p>
        </w:tc>
        <w:tc>
          <w:tcPr>
            <w:tcW w:type="dxa" w:w="7460"/>
            <w:tcMar>
              <w:top w:type="dxa" w:w="80"/>
              <w:left w:type="dxa" w:w="120"/>
              <w:bottom w:type="dxa" w:w="80"/>
              <w:right w:type="dxa" w:w="120"/>
            </w:tcMar>
          </w:tcPr>
          <w:p>
            <w:pPr>
              <w:spacing w:after="40" w:before="40"/>
            </w:pPr>
            <w:r>
              <w:t xml:space="preserve">Fixes the shape the checklist will verify against. A numbered step with an expected result can be dry-run; a paragraph of advice cannot.</w:t>
            </w:r>
          </w:p>
        </w:tc>
      </w:tr>
    </w:tbl>
    <w:p>
      <w:r>
        <w:br w:type="page"/>
      </w:r>
    </w:p>
    <w:p>
      <w:pPr>
        <w:pStyle w:val="Heading1"/>
      </w:pPr>
      <w:r>
        <w:t xml:space="preserve">3. Worked fill: SCN-002, request 1 (UC-02)</w:t>
      </w:r>
    </w:p>
    <w:p>
      <w:r>
        <w:t xml:space="preserve">The SCN-001 diagnostic fill appears in ITS-TRN-014-B. This one shows the same template applied to a communication drafting task, where sources and constraints carry different weight.</w:t>
      </w:r>
    </w:p>
    <w:p>
      <w:pPr>
        <w:spacing w:after="80"/>
      </w:pPr>
    </w:p>
    <w:tbl>
      <w:tblPr>
        <w:tblW w:type="dxa" w:w="9360"/>
        <w:tblBorders>
          <w:top w:val="single" w:color="BFBFBF" w:sz="4"/>
          <w:left w:val="single" w:color="BFBFBF" w:sz="4"/>
          <w:bottom w:val="single" w:color="BFBFBF" w:sz="4"/>
          <w:right w:val="single" w:color="BFBFBF" w:sz="4"/>
          <w:insideH w:val="none" w:color="auto" w:sz="0"/>
          <w:insideV w:val="none" w:color="auto" w:sz="0"/>
        </w:tblBorders>
      </w:tblPr>
      <w:tblGrid>
        <w:gridCol w:w="9360"/>
      </w:tblGrid>
      <w:tr>
        <w:tc>
          <w:tcPr>
            <w:tcW w:type="dxa" w:w="9360"/>
            <w:shd w:fill="F2F2F2" w:color="auto" w:val="clear"/>
            <w:tcMar>
              <w:top w:type="dxa" w:w="120"/>
              <w:left w:type="dxa" w:w="160"/>
              <w:bottom w:type="dxa" w:w="120"/>
              <w:right w:type="dxa" w:w="160"/>
            </w:tcMar>
          </w:tcPr>
          <w:p>
            <w:pPr>
              <w:spacing w:after="20"/>
            </w:pPr>
            <w:r>
              <w:rPr>
                <w:rFonts w:ascii="Consolas" w:cs="Consolas" w:eastAsia="Consolas" w:hAnsi="Consolas"/>
                <w:sz w:val="17"/>
                <w:szCs w:val="17"/>
              </w:rPr>
              <w:t xml:space="preserve">ROLE</w:t>
            </w:r>
          </w:p>
          <w:p>
            <w:pPr>
              <w:spacing w:after="20"/>
            </w:pPr>
            <w:r>
              <w:rPr>
                <w:rFonts w:ascii="Consolas" w:cs="Consolas" w:eastAsia="Consolas" w:hAnsi="Consolas"/>
                <w:sz w:val="17"/>
                <w:szCs w:val="17"/>
              </w:rPr>
              <w:t xml:space="preserve">  You are writing for clinical and administrative staff in a cardiology</w:t>
            </w:r>
          </w:p>
          <w:p>
            <w:pPr>
              <w:spacing w:after="20"/>
            </w:pPr>
            <w:r>
              <w:rPr>
                <w:rFonts w:ascii="Consolas" w:cs="Consolas" w:eastAsia="Consolas" w:hAnsi="Consolas"/>
                <w:sz w:val="17"/>
                <w:szCs w:val="17"/>
              </w:rPr>
              <w:t xml:space="preserve">  department. Assume no technical background. Assume they need to know</w:t>
            </w:r>
          </w:p>
          <w:p>
            <w:pPr>
              <w:spacing w:after="20"/>
            </w:pPr>
            <w:r>
              <w:rPr>
                <w:rFonts w:ascii="Consolas" w:cs="Consolas" w:eastAsia="Consolas" w:hAnsi="Consolas"/>
                <w:sz w:val="17"/>
                <w:szCs w:val="17"/>
              </w:rPr>
              <w:t xml:space="preserve">  what to do differently on Saturday night, not what a firmware update is.</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CONTEXT</w:t>
            </w:r>
          </w:p>
          <w:p>
            <w:pPr>
              <w:spacing w:after="20"/>
            </w:pPr>
            <w:r>
              <w:rPr>
                <w:rFonts w:ascii="Consolas" w:cs="Consolas" w:eastAsia="Consolas" w:hAnsi="Consolas"/>
                <w:sz w:val="17"/>
                <w:szCs w:val="17"/>
              </w:rPr>
              <w:t xml:space="preserve">  Request: notify approximately 140 staff of scheduled shared drive</w:t>
            </w:r>
          </w:p>
          <w:p>
            <w:pPr>
              <w:spacing w:after="20"/>
            </w:pPr>
            <w:r>
              <w:rPr>
                <w:rFonts w:ascii="Consolas" w:cs="Consolas" w:eastAsia="Consolas" w:hAnsi="Consolas"/>
                <w:sz w:val="17"/>
                <w:szCs w:val="17"/>
              </w:rPr>
              <w:t xml:space="preserve">  maintenance before Friday.</w:t>
            </w:r>
          </w:p>
          <w:p>
            <w:pPr>
              <w:spacing w:after="20"/>
            </w:pPr>
            <w:r>
              <w:rPr>
                <w:rFonts w:ascii="Consolas" w:cs="Consolas" w:eastAsia="Consolas" w:hAnsi="Consolas"/>
                <w:sz w:val="17"/>
                <w:szCs w:val="17"/>
              </w:rPr>
              <w:t xml:space="preserve">  Environment: change record CHG0022190. Window Saturday 22:00 to Sunday</w:t>
            </w:r>
          </w:p>
          <w:p>
            <w:pPr>
              <w:spacing w:after="20"/>
            </w:pPr>
            <w:r>
              <w:rPr>
                <w:rFonts w:ascii="Consolas" w:cs="Consolas" w:eastAsia="Consolas" w:hAnsi="Consolas"/>
                <w:sz w:val="17"/>
                <w:szCs w:val="17"/>
              </w:rPr>
              <w:t xml:space="preserve">  04:00. Shared drive unavailable for the full window.</w:t>
            </w:r>
          </w:p>
          <w:p>
            <w:pPr>
              <w:spacing w:after="20"/>
            </w:pPr>
            <w:r>
              <w:rPr>
                <w:rFonts w:ascii="Consolas" w:cs="Consolas" w:eastAsia="Consolas" w:hAnsi="Consolas"/>
                <w:sz w:val="17"/>
                <w:szCs w:val="17"/>
              </w:rPr>
              <w:t xml:space="preserve">  Sources provided: CHG0022190 (approved impact description) and KB-2214</w:t>
            </w:r>
          </w:p>
          <w:p>
            <w:pPr>
              <w:spacing w:after="20"/>
            </w:pPr>
            <w:r>
              <w:rPr>
                <w:rFonts w:ascii="Consolas" w:cs="Consolas" w:eastAsia="Consolas" w:hAnsi="Consolas"/>
                <w:sz w:val="17"/>
                <w:szCs w:val="17"/>
              </w:rPr>
              <w:t xml:space="preserve">  (departmental workarounds). Use nothing else.</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CONSTRAINTS</w:t>
            </w:r>
          </w:p>
          <w:p>
            <w:pPr>
              <w:spacing w:after="20"/>
            </w:pPr>
            <w:r>
              <w:rPr>
                <w:rFonts w:ascii="Consolas" w:cs="Consolas" w:eastAsia="Consolas" w:hAnsi="Consolas"/>
                <w:sz w:val="17"/>
                <w:szCs w:val="17"/>
              </w:rPr>
              <w:t xml:space="preserve">  - Use only the two sources listed. Do not infer additional impact.</w:t>
            </w:r>
          </w:p>
          <w:p>
            <w:pPr>
              <w:spacing w:after="20"/>
            </w:pPr>
            <w:r>
              <w:rPr>
                <w:rFonts w:ascii="Consolas" w:cs="Consolas" w:eastAsia="Consolas" w:hAnsi="Consolas"/>
                <w:sz w:val="17"/>
                <w:szCs w:val="17"/>
              </w:rPr>
              <w:t xml:space="preserve">  - Do not state or imply a cause for any past outage.</w:t>
            </w:r>
          </w:p>
          <w:p>
            <w:pPr>
              <w:spacing w:after="20"/>
            </w:pPr>
            <w:r>
              <w:rPr>
                <w:rFonts w:ascii="Consolas" w:cs="Consolas" w:eastAsia="Consolas" w:hAnsi="Consolas"/>
                <w:sz w:val="17"/>
                <w:szCs w:val="17"/>
              </w:rPr>
              <w:t xml:space="preserve">  - Do not guarantee that no data will be lost, and do not attribute any</w:t>
            </w:r>
          </w:p>
          <w:p>
            <w:pPr>
              <w:spacing w:after="20"/>
            </w:pPr>
            <w:r>
              <w:rPr>
                <w:rFonts w:ascii="Consolas" w:cs="Consolas" w:eastAsia="Consolas" w:hAnsi="Consolas"/>
                <w:sz w:val="17"/>
                <w:szCs w:val="17"/>
              </w:rPr>
              <w:t xml:space="preserve">    prior incident to a vendor or to any team.</w:t>
            </w:r>
          </w:p>
          <w:p>
            <w:pPr>
              <w:spacing w:after="20"/>
            </w:pPr>
            <w:r>
              <w:rPr>
                <w:rFonts w:ascii="Consolas" w:cs="Consolas" w:eastAsia="Consolas" w:hAnsi="Consolas"/>
                <w:sz w:val="17"/>
                <w:szCs w:val="17"/>
              </w:rPr>
              <w:t xml:space="preserve">  - Do not promise a restoration time earlier than the window end.</w:t>
            </w:r>
          </w:p>
          <w:p>
            <w:pPr>
              <w:spacing w:after="20"/>
            </w:pPr>
            <w:r>
              <w:rPr>
                <w:rFonts w:ascii="Consolas" w:cs="Consolas" w:eastAsia="Consolas" w:hAnsi="Consolas"/>
                <w:sz w:val="17"/>
                <w:szCs w:val="17"/>
              </w:rPr>
              <w:t xml:space="preserve">  - Plain language. No technical terms without a plain-language gloss.</w:t>
            </w:r>
          </w:p>
          <w:p>
            <w:pPr>
              <w:spacing w:after="20"/>
            </w:pPr>
            <w:r>
              <w:rPr>
                <w:rFonts w:ascii="Consolas" w:cs="Consolas" w:eastAsia="Consolas" w:hAnsi="Consolas"/>
                <w:sz w:val="17"/>
                <w:szCs w:val="17"/>
              </w:rPr>
              <w:t xml:space="preserve"/>
            </w:r>
          </w:p>
          <w:p>
            <w:pPr>
              <w:spacing w:after="20"/>
            </w:pPr>
            <w:r>
              <w:rPr>
                <w:rFonts w:ascii="Consolas" w:cs="Consolas" w:eastAsia="Consolas" w:hAnsi="Consolas"/>
                <w:sz w:val="17"/>
                <w:szCs w:val="17"/>
              </w:rPr>
              <w:t xml:space="preserve">OUTPUT FORMAT</w:t>
            </w:r>
          </w:p>
          <w:p>
            <w:pPr>
              <w:spacing w:after="20"/>
            </w:pPr>
            <w:r>
              <w:rPr>
                <w:rFonts w:ascii="Consolas" w:cs="Consolas" w:eastAsia="Consolas" w:hAnsi="Consolas"/>
                <w:sz w:val="17"/>
                <w:szCs w:val="17"/>
              </w:rPr>
              <w:t xml:space="preserve">  1. One-sentence summary: what is unavailable and when.</w:t>
            </w:r>
          </w:p>
          <w:p>
            <w:pPr>
              <w:spacing w:after="20"/>
            </w:pPr>
            <w:r>
              <w:rPr>
                <w:rFonts w:ascii="Consolas" w:cs="Consolas" w:eastAsia="Consolas" w:hAnsi="Consolas"/>
                <w:sz w:val="17"/>
                <w:szCs w:val="17"/>
              </w:rPr>
              <w:t xml:space="preserve">  2. What to do instead, drawn from KB-2214.</w:t>
            </w:r>
          </w:p>
          <w:p>
            <w:pPr>
              <w:spacing w:after="20"/>
            </w:pPr>
            <w:r>
              <w:rPr>
                <w:rFonts w:ascii="Consolas" w:cs="Consolas" w:eastAsia="Consolas" w:hAnsi="Consolas"/>
                <w:sz w:val="17"/>
                <w:szCs w:val="17"/>
              </w:rPr>
              <w:t xml:space="preserve">  3. Who to contact if something is still not working Monday morning.</w:t>
            </w:r>
          </w:p>
          <w:p>
            <w:pPr>
              <w:spacing w:after="20"/>
            </w:pPr>
            <w:r>
              <w:rPr>
                <w:rFonts w:ascii="Consolas" w:cs="Consolas" w:eastAsia="Consolas" w:hAnsi="Consolas"/>
                <w:sz w:val="17"/>
                <w:szCs w:val="17"/>
              </w:rPr>
              <w:t xml:space="preserve">  4. Under 200 words. No preamble.</w:t>
            </w:r>
          </w:p>
        </w:tc>
      </w:tr>
    </w:tbl>
    <w:p>
      <w:pPr>
        <w:spacing w:after="100"/>
      </w:pPr>
    </w:p>
    <w:p>
      <w:r>
        <w:rPr>
          <w:i/>
          <w:iCs/>
        </w:rPr>
        <w:t xml:space="preserve">The three prohibitions in the constraints block are the NA-02 boundary written as prompt instructions. They exist because the requester explicitly asked for all three. Refusing the request and then quietly letting the model produce it anyway is the failure this guards against.</w:t>
      </w:r>
    </w:p>
    <w:p>
      <w:pPr>
        <w:spacing w:after="160"/>
      </w:pPr>
    </w:p>
    <w:tbl>
      <w:tblPr>
        <w:tblW w:type="dxa" w:w="9360"/>
        <w:tblBorders>
          <w:top w:val="single" w:color="2E5496" w:sz="8"/>
          <w:left w:val="single" w:color="2E5496" w:sz="8"/>
          <w:bottom w:val="single" w:color="2E5496" w:sz="8"/>
          <w:right w:val="single" w:color="2E5496" w:sz="8"/>
          <w:insideH w:val="none" w:color="auto" w:sz="0"/>
          <w:insideV w:val="none" w:color="auto" w:sz="0"/>
        </w:tblBorders>
      </w:tblPr>
      <w:tblGrid>
        <w:gridCol w:w="9360"/>
      </w:tblGrid>
      <w:tr>
        <w:trPr>
          <w:cantSplit/>
        </w:trPr>
        <w:tc>
          <w:tcPr>
            <w:tcW w:type="dxa" w:w="9360"/>
            <w:shd w:fill="DEEAF6" w:color="auto" w:val="clear"/>
            <w:tcMar>
              <w:top w:type="dxa" w:w="140"/>
              <w:left w:type="dxa" w:w="160"/>
              <w:bottom w:type="dxa" w:w="140"/>
              <w:right w:type="dxa" w:w="160"/>
            </w:tcMar>
          </w:tcPr>
          <w:p>
            <w:pPr>
              <w:spacing w:after="60"/>
            </w:pPr>
            <w:r>
              <w:rPr>
                <w:b/>
                <w:bCs/>
              </w:rPr>
              <w:t xml:space="preserve">When the draft comes back</w:t>
            </w:r>
          </w:p>
          <w:p>
            <w:r>
              <w:rPr>
                <w:sz w:val="19"/>
                <w:szCs w:val="19"/>
              </w:rPr>
              <w:t xml:space="preserve">Save the completed template and the raw, unedited draft together, then switch to the Output Verification Checklist (ITS-TRN-014-D). Do not edit the draft before verifying it — hand-patching hides which weaknesses came from the prompt.</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spacing w:before="120"/>
    </w:pPr>
    <w:r>
      <w:rPr>
        <w:color w:val="595959"/>
        <w:sz w:val="16"/>
        <w:szCs w:val="16"/>
      </w:rPr>
      <w:t xml:space="preserve">ITS-TRN-014-C  |  Internal Use Only  |  Synthetic training material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F3864"/>
      <w:sz w:val="40"/>
      <w:szCs w:val="40"/>
    </w:rPr>
  </w:style>
  <w:style w:type="paragraph" w:styleId="Heading1">
    <w:name w:val="Heading 1"/>
    <w:basedOn w:val="Normal"/>
    <w:next w:val="Normal"/>
    <w:qFormat/>
    <w:pPr>
      <w:pBdr>
        <w:bottom w:val="single" w:color="B4C6E7" w:sz="6" w:space="4"/>
      </w:pBdr>
      <w:spacing w:after="140" w:before="320"/>
    </w:pPr>
    <w:rPr>
      <w:rFonts w:ascii="Calibri" w:cs="Calibri" w:eastAsia="Calibri" w:hAnsi="Calibri"/>
      <w:b/>
      <w:bCs/>
      <w:color w:val="1F3864"/>
      <w:sz w:val="28"/>
      <w:szCs w:val="28"/>
    </w:rPr>
  </w:style>
  <w:style w:type="paragraph" w:styleId="Heading2">
    <w:name w:val="Heading 2"/>
    <w:basedOn w:val="Normal"/>
    <w:next w:val="Normal"/>
    <w:qFormat/>
    <w:pPr>
      <w:spacing w:after="100" w:before="240"/>
    </w:pPr>
    <w:rPr>
      <w:rFonts w:ascii="Calibri" w:cs="Calibri" w:eastAsia="Calibri" w:hAnsi="Calibri"/>
      <w:b/>
      <w:bCs/>
      <w:color w:val="2E5496"/>
      <w:sz w:val="24"/>
      <w:szCs w:val="24"/>
    </w:rPr>
  </w:style>
  <w:style w:type="paragraph" w:styleId="Heading3">
    <w:name w:val="Heading 3"/>
    <w:basedOn w:val="Normal"/>
    <w:next w:val="Normal"/>
    <w:qFormat/>
    <w:pPr>
      <w:spacing w:after="80" w:before="18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RCCOF Prompt Template</dc:title>
  <dc:creator>Northridge Health System ITS</dc:creator>
  <dc:description>Synthetic training job aid built against the Mock Scenario Dataset</dc:description>
  <cp:lastModifiedBy>Un-named</cp:lastModifiedBy>
  <cp:revision>1</cp:revision>
  <dcterms:created xsi:type="dcterms:W3CDTF">2026-08-18T14:50:50.768Z</dcterms:created>
  <dcterms:modified xsi:type="dcterms:W3CDTF">2026-08-18T14:50:50.787Z</dcterms:modified>
</cp:coreProperties>
</file>

<file path=docProps/custom.xml><?xml version="1.0" encoding="utf-8"?>
<Properties xmlns="http://schemas.openxmlformats.org/officeDocument/2006/custom-properties" xmlns:vt="http://schemas.openxmlformats.org/officeDocument/2006/docPropsVTypes"/>
</file>