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>
          <w:rFonts w:ascii="Century Gothic" w:cs="Century Gothic" w:eastAsia="Century Gothic" w:hAnsi="Century Gothic"/>
          <w:sz w:val="44"/>
          <w:szCs w:val="4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3864"/>
          <w:sz w:val="44"/>
          <w:szCs w:val="44"/>
          <w:rtl w:val="0"/>
        </w:rPr>
        <w:t xml:space="preserve">ARCHITECTURE REVIEW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d6e6e"/>
          <w:sz w:val="24"/>
          <w:szCs w:val="24"/>
          <w:rtl w:val="0"/>
        </w:rPr>
        <w:t xml:space="preserve">Azure Well-Architected Framework | Pre-Launch Multicloud AI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6" w:val="single"/>
        </w:pBdr>
        <w:spacing w:after="12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br w:type="textWrapping"/>
        <w:t xml:space="preserve">Prepared by: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[Your Full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[DD Month YYYY]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Organization: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National Retail Corp (Scenario)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System under review: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Multicloud AI Fraud Detection Platform (Ask Retail / StockSense / HRHelper)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Review scope: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Pre-launch WAF assessment ➔ all 5 pillars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Primary cloud: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Azure (East US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Disaster Recovery environment: (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Amazon Web Services)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AWS (us-east-1)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Edge: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Selected inference nodes at retail distribution 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0d6e6e" w:space="0" w:sz="8" w:val="single"/>
        </w:pBdr>
        <w:ind w:left="0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7030a0"/>
          <w:sz w:val="20"/>
          <w:szCs w:val="20"/>
          <w:rtl w:val="0"/>
        </w:rPr>
        <w:t xml:space="preserve">Note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: This template is pre-structured to the LC1 project rubric. Purple text = placeholder ➔ replace every instance before submission. Do not delete section headers or table rows; the AI grader evaluates structure as well as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ffff"/>
          <w:sz w:val="20"/>
          <w:szCs w:val="2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>
          <w:rFonts w:ascii="Century Gothic" w:cs="Century Gothic" w:eastAsia="Century Gothic" w:hAnsi="Century Gothic"/>
          <w:color w:val="595959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Guidance: Target length: half a page (~120–150 words). </w:t>
      </w:r>
    </w:p>
    <w:p w:rsidR="00000000" w:rsidDel="00000000" w:rsidP="00000000" w:rsidRDefault="00000000" w:rsidRPr="00000000" w14:paraId="00000011">
      <w:pPr>
        <w:spacing w:after="60" w:lineRule="auto"/>
        <w:rPr>
          <w:rFonts w:ascii="Century Gothic" w:cs="Century Gothic" w:eastAsia="Century Gothic" w:hAnsi="Century Gothic"/>
          <w:color w:val="595959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Write this last. Must state: scope, top 3 risks, single most important immediate action, and one-line cost or schedule implication for that action.</w:t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[One sentence: what system, which environments, why this review matters now]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 3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[Risk name ➔ Pillar ➔  Severity]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2.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[Risk name ➔  Pillar ➔  Severity]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3.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[Risk name ➔  Pillar ➔  Severity]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Priority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[The single most important fix ➔  must match Rank 1 in Section 3 Roadmap]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Cost / Schedule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[for example, "Estimated implementation: 1 week; expected reduction in Reliability outage risk: High. Graphics Processing Unit (A specialized electronic circuit designed to accelerate computation, commonly used for AI inference and machine learning workloads.) scheduling fix estimated to close 40% budget overrun within Q3."]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Century Gothic" w:cs="Century Gothic" w:eastAsia="Century Gothic" w:hAnsi="Century Gothic"/>
          <w:b w:val="1"/>
          <w:bCs w:val="1"/>
          <w:color w:val="59595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95959"/>
          <w:sz w:val="20"/>
          <w:szCs w:val="20"/>
          <w:rtl w:val="0"/>
        </w:rPr>
        <w:t xml:space="preserve">Guidance</w:t>
      </w: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: Target length: 2–3 pages total across all five pillars.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>
          <w:rFonts w:ascii="Century Gothic" w:cs="Century Gothic" w:eastAsia="Century Gothic" w:hAnsi="Century Gothic"/>
          <w:color w:val="595959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One finding minimum per pillar. All findings must cite specific evidence from the Scenario_Data_Package. </w:t>
      </w:r>
    </w:p>
    <w:p w:rsidR="00000000" w:rsidDel="00000000" w:rsidP="00000000" w:rsidRDefault="00000000" w:rsidRPr="00000000" w14:paraId="00000020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Compliance links (Payment Card Industry Data Security Standard / SOC 2) are required for Security and Data Sovereignty findings; this is a financial services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2070"/>
        <w:gridCol w:w="2610"/>
        <w:tblGridChange w:id="0">
          <w:tblGrid>
            <w:gridCol w:w="4770"/>
            <w:gridCol w:w="2070"/>
            <w:gridCol w:w="261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0d6e6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 1: RELIABILITY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[One specific finding tied to scenario evidence ➔ cite the incident report number, cost figure, or policy gap]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[Exact data point from Scenario_Data_Package.zip ➔  for example, "Incident 2 timeline shows single-region stateful service caused 47 min outage on 14 Jun"]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 ➔  state why]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Impact if Unresolved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[Business + technical consequence in 1–2 sentences]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Diagram Callout 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[for example, Callout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66.84375" w:hRule="atLeast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Remediation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[1–2 sentences ➔ specific action, not generic advice. For example, "Enable zone-redundant deployment for the stateful fraud scoring service using Azure availability zones (East US 2 primary, paired West US 2 standby)."]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Effort Band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[Quick win &lt;2d / Moderate 1–2w / Significant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[Measurable outcome ➔  for example. "Reduce Mean Time to Recovery (or Mean Time to Repair) from &gt;45 min to &lt;5 min within 30 days of fix"]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Compliance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[Payment Card Industry Data Security Standard req / SOC 2 control /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br w:type="textWrapping"/>
        <w:br w:type="textWrapping"/>
      </w:r>
    </w:p>
    <w:tbl>
      <w:tblPr>
        <w:tblStyle w:val="Table3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5"/>
        <w:gridCol w:w="1575"/>
        <w:gridCol w:w="3150"/>
        <w:tblGridChange w:id="0">
          <w:tblGrid>
            <w:gridCol w:w="4725"/>
            <w:gridCol w:w="1575"/>
            <w:gridCol w:w="315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c55a1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 2: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[One specific finding tied to scenario evidence ➔  cite the incident report number, cost figure, or policy gap]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[Exact data point from Scenario_Data_Package.zip ➔  for example, "Incident 2 timeline shows single-region stateful service caused 47 min outage on 14 Jun"]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 ➔  state why]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Impact if Unresolved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[Business + technical consequence in 1–2 sentences]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Diagram Callout 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[for example, Callout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Remediation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[1–2 sentences ➔  specific action, not generic advice. For example, "Enable zone-redundant deployment for the stateful fraud scoring service using Azure availability zones (East US 2 primary, paired West US 2 standby)."]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Effort Band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[Quick win &lt;2d / Moderate 1–2w / Significant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[Measurable outcome ➔  for example, "Reduce Mean Time to Recovery (or Mean Time to Repair) from &gt;45 min to &lt;5 min within 30 days of fix"]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Compliance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[Payment Card Industry Data Security Standard req / SOC 2 control /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1440"/>
        <w:gridCol w:w="3245"/>
        <w:tblGridChange w:id="0">
          <w:tblGrid>
            <w:gridCol w:w="4675"/>
            <w:gridCol w:w="1440"/>
            <w:gridCol w:w="3245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7f600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 3: COST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[One specific finding tied to scenario evidence ➔  cite the incident report number, cost figure, or policy gap]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[Exact data point from Scenario_Data_Package.zip ➔  for example, "Incident 2 timeline shows single-region stateful service caused 47 min outage on 14 Jun"]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 ➔  state why]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Impact if Unresolved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[Business + technical consequence in 1–2 sentences]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Diagram Callout 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[for example, Callout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6.84375" w:hRule="atLeast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Remediation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[1–2 sentences ➔  specific action, not generic advice. For example, "Enable zone-redundant deployment for the stateful fraud scoring service using Azure availability zones (East US 2 primary, paired West US 2 standby)."]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Effort Band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[Quick win &lt;2d / Moderate 1–2w / Significant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[Measurable outcome ➔  for example, "Reduce Mean Time to Recovery (or Mean Time to Repair) from &gt;45 min to &lt;5 min within 30 days of fix"]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Compliance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[Payment Card Industry Data Security Standard req / SOC 2 control /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1440"/>
        <w:gridCol w:w="3210"/>
        <w:tblGridChange w:id="0">
          <w:tblGrid>
            <w:gridCol w:w="4710"/>
            <w:gridCol w:w="1440"/>
            <w:gridCol w:w="321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 4: OPERATIONAL EXCELLENCE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[One specific finding tied to scenario evidence ➔  cite the incident report number, cost figure, or policy gap]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[Exact data point from Scenario_Data_Package.zip ➔  for example, "Incident 2 timeline shows single-region stateful service caused 47 min outage on 14 Jun"]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 ➔  state why]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Impact if Unresolved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[Business + technical consequence in 1–2 sentences]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Diagram Callout 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[for example, Callout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Remediation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[1–2 sentences ➔  specific action, not generic advice. For example, "Enable zone-redundant deployment for the stateful fraud scoring service using Azure availability zones (East US 2 primary, paired West US 2 standby)."]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Effort Band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[Quick win &lt;2d / Moderate 1–2w / Significant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[Measurable outcome ➔  for example, "Reduce Mean Time to Recovery (or Mean Time to Repair) from &gt;45 min to &lt;5 min within 30 days of fix"]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Compliance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[Payment Card Industry Data Security Standard req / SOC 2 control /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1545"/>
        <w:gridCol w:w="3120"/>
        <w:tblGridChange w:id="0">
          <w:tblGrid>
            <w:gridCol w:w="4695"/>
            <w:gridCol w:w="1545"/>
            <w:gridCol w:w="3120"/>
          </w:tblGrid>
        </w:tblGridChange>
      </w:tblGrid>
      <w:tr>
        <w:trPr>
          <w:cantSplit w:val="0"/>
          <w:tblHeader w:val="1"/>
        </w:trPr>
        <w:tc>
          <w:tcPr>
            <w:gridSpan w:val="3"/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PILLAR 5: PERFORMANCE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[One specific finding tied to scenario evidence ➔  cite the incident report number, cost figure, or policy gap]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[Exact data point from Scenario_Data_Package.zip ➔  for example, "Incident 2 timeline shows single-region stateful service caused 47 min outage on 14 Jun"]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[High / Medium / Low ➔  state why]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Impact if Unresolved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[Business + technical consequence in 1–2 sentences]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Diagram Callout #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[for example, Callout 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Remediation Idea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[1–2 sentences ➔  specific action, not generic advice. For example, "Enable zone-redundant deployment for the stateful fraud scoring service using Azure availability zones (East US 2 primary, paired West US 2 standby)."]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Effort Band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[Quick win &lt;2d / Moderate 1–2w / Significant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Success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[Measurable outcome ➔  for example, "Reduce Mean Time to Recovery (or Mean Time to Repair) from &gt;45 min to &lt;5 min within 30 days of fix"]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8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Compliance 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[Payment Card Industry Data Security Standard req / SOC 2 control / none]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ffff"/>
          <w:sz w:val="20"/>
          <w:szCs w:val="20"/>
          <w:rtl w:val="0"/>
        </w:rPr>
        <w:t xml:space="preserve">3. PRIORITIZED REMEDIATION ROADMAP ➔  TOP 5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Guidance: Target length: 1 page. All 5 rows must be traceable to findings in Section 2. Actions must be traceable: a remediation that does not correspond to any WAF finding will not receive credit (per grader instructions). Owner role must be a team role, not a person name: Platform, SecOps, InfraOps, or AppTeam.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545"/>
        <w:gridCol w:w="1185"/>
        <w:gridCol w:w="1425"/>
        <w:gridCol w:w="1665"/>
        <w:gridCol w:w="1185"/>
        <w:gridCol w:w="1755"/>
        <w:tblGridChange w:id="0">
          <w:tblGrid>
            <w:gridCol w:w="570"/>
            <w:gridCol w:w="1545"/>
            <w:gridCol w:w="1185"/>
            <w:gridCol w:w="1425"/>
            <w:gridCol w:w="1665"/>
            <w:gridCol w:w="1185"/>
            <w:gridCol w:w="1755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WAF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[Specific action ➔  match exact wording from WAF finding]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[Platform / SecOps / InfraOps / AppTeam]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[&lt;2d / 1–2w /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 or sprint relative to Q3 launch]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[How team verifies success ➔  1 sentence]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[Specific action ➔  match exact wording from WAF finding]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[Platform / SecOps / InfraOps / AppTeam]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[&lt;2d / 1–2w /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 or sprint relative to Q3 launch]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[How team verifies success ➔  1 sentence]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[Specific action ➔  match exact wording from WAF finding]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[Platform / SecOps / InfraOps / AppTeam]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[&lt;2d / 1–2w /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 or sprint relative to Q3 launch]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[How team verifies success ➔  1 sentence]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[Specific action ➔  match exact wording from WAF finding]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[Platform / SecOps / InfraOps / AppTeam]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[&lt;2d / 1–2w /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 or sprint relative to Q3 launch]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[How team verifies success ➔  1 sentence]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[Specific action ➔  match exact wording from WAF finding]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 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[Platform / SecOps / InfraOps / AppTeam]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[&lt;2d / 1–2w / &gt;2w]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 or sprint relative to Q3 launch]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[How team verifies success ➔  1 sentence]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60" w:before="1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6e6e"/>
          <w:sz w:val="20"/>
          <w:szCs w:val="20"/>
          <w:rtl w:val="0"/>
        </w:rPr>
        <w:t xml:space="preserve">Prioritization Rationale: Impact vs.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Guidance: Place each action's rank number in the correct quadrant below. Actions in "High Impact / Low Effort" must appear at Rank 1–2 in the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3720"/>
        <w:gridCol w:w="3600"/>
        <w:tblGridChange w:id="0">
          <w:tblGrid>
            <w:gridCol w:w="2040"/>
            <w:gridCol w:w="3720"/>
            <w:gridCol w:w="360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LOW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HIGH EFFORT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HIGH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efd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spacing w:after="2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Do First (Rank 1–2)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20"/>
                <w:szCs w:val="20"/>
                <w:rtl w:val="0"/>
              </w:rPr>
              <w:t xml:space="preserve">High impact, quick to implement ➔ must not be left below Rank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2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Plan (Rank 3–4)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20"/>
                <w:szCs w:val="20"/>
                <w:rtl w:val="0"/>
              </w:rPr>
              <w:t xml:space="preserve">Worth the effort ➔ schedule for sprint after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LOW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1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2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Consider (Rank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20"/>
                <w:szCs w:val="20"/>
                <w:rtl w:val="0"/>
              </w:rPr>
              <w:t xml:space="preserve">Quick but marginal ➔ only if capacity allows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2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Defer / Drop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595959"/>
                <w:sz w:val="20"/>
                <w:szCs w:val="20"/>
                <w:rtl w:val="0"/>
              </w:rPr>
              <w:t xml:space="preserve">Do not include in top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Prioritization narrative (2–3 sentences for Prompt 3):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[Write here the rationale for why Rank 1 was chosen over others. Reference business impact, effort, and Q3 launch constraint. This text goes verbatim into the Prompt 3 text box ➔ it must be consistent with the Rank 1 action in the roadmap above.]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ffff"/>
          <w:sz w:val="20"/>
          <w:szCs w:val="20"/>
          <w:rtl w:val="0"/>
        </w:rPr>
        <w:t xml:space="preserve">4. ANNOTATED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>
          <w:rFonts w:ascii="Century Gothic" w:cs="Century Gothic" w:eastAsia="Century Gothic" w:hAnsi="Century Gothic"/>
          <w:color w:val="595959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595959"/>
          <w:sz w:val="20"/>
          <w:szCs w:val="20"/>
          <w:rtl w:val="0"/>
        </w:rPr>
        <w:t xml:space="preserve">Guidance</w:t>
      </w: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DB">
      <w:pPr>
        <w:spacing w:after="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color w:val="595959"/>
          <w:sz w:val="20"/>
          <w:szCs w:val="20"/>
          <w:rtl w:val="0"/>
        </w:rPr>
        <w:t xml:space="preserve">Target: 1 page. Insert your annotated version of Baseline_Architecture_Diagram.svg here as a PNG or embed the file reference. Callout numbers on the diagram must match the "Diagram Callout #" fields in Section 2. Include the legend below. Export diagram at 300 DPI minimum; text must be legible at A4 / US Letter print size. </w:t>
      </w: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595959"/>
          <w:sz w:val="20"/>
          <w:szCs w:val="20"/>
          <w:rtl w:val="0"/>
        </w:rPr>
        <w:t xml:space="preserve">An example has been shared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60" w:before="1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6e6e"/>
          <w:sz w:val="20"/>
          <w:szCs w:val="20"/>
          <w:rtl w:val="0"/>
        </w:rPr>
        <w:t xml:space="preserve">Diagram Legend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-209547</wp:posOffset>
            </wp:positionH>
            <wp:positionV relativeFrom="paragraph">
              <wp:posOffset>66675</wp:posOffset>
            </wp:positionV>
            <wp:extent cx="6418580" cy="545846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8580" cy="5458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5"/>
        <w:gridCol w:w="1440"/>
        <w:gridCol w:w="1350"/>
        <w:gridCol w:w="1620"/>
        <w:gridCol w:w="1440"/>
        <w:gridCol w:w="2345"/>
        <w:tblGridChange w:id="0">
          <w:tblGrid>
            <w:gridCol w:w="1165"/>
            <w:gridCol w:w="1440"/>
            <w:gridCol w:w="1350"/>
            <w:gridCol w:w="1620"/>
            <w:gridCol w:w="1440"/>
            <w:gridCol w:w="234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ee0000"/>
                <w:sz w:val="20"/>
                <w:szCs w:val="20"/>
                <w:rtl w:val="0"/>
              </w:rPr>
              <w:t xml:space="preserve">Red callout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High severity</w:t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bf8f00"/>
                <w:sz w:val="20"/>
                <w:szCs w:val="20"/>
                <w:rtl w:val="0"/>
              </w:rPr>
              <w:t xml:space="preserve">Amber callout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Medium severity</w:t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Blue callout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Low severity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Quick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&lt;2 days effort</w:t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1–2 weeks effort</w:t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Significant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&gt;2 weeks effort</w:t>
            </w:r>
          </w:p>
        </w:tc>
      </w:tr>
    </w:tbl>
    <w:p w:rsidR="00000000" w:rsidDel="00000000" w:rsidP="00000000" w:rsidRDefault="00000000" w:rsidRPr="00000000" w14:paraId="000000E9">
      <w:pPr>
        <w:pStyle w:val="Heading3"/>
        <w:spacing w:after="60" w:before="1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6e6e"/>
          <w:sz w:val="20"/>
          <w:szCs w:val="20"/>
          <w:rtl w:val="0"/>
        </w:rPr>
        <w:t xml:space="preserve">Appendix A: Incident Report Summaries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5"/>
        <w:gridCol w:w="930"/>
        <w:gridCol w:w="2415"/>
        <w:gridCol w:w="2700"/>
        <w:gridCol w:w="2160"/>
        <w:tblGridChange w:id="0">
          <w:tblGrid>
            <w:gridCol w:w="1155"/>
            <w:gridCol w:w="930"/>
            <w:gridCol w:w="2415"/>
            <w:gridCol w:w="27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Suspected 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WAF Pillar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INC-001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[Brief symptom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[Root cause note from report]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INC-002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[Brief symptom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[Root cause note from report]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INC-003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[Brief symptom description]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[Root cause note from report]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[Pillar]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60" w:before="1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6e6e"/>
          <w:sz w:val="20"/>
          <w:szCs w:val="20"/>
          <w:rtl w:val="0"/>
        </w:rPr>
        <w:t xml:space="preserve">Appendix B: Graphics Processing Unit (A specialized electronic circuit designed to accelerate computation, commonly used for AI inference and machine learning workloads.) Cost Snapshot</w:t>
      </w:r>
      <w:r w:rsidDel="00000000" w:rsidR="00000000" w:rsidRPr="00000000">
        <w:rPr>
          <w:rtl w:val="0"/>
        </w:rPr>
      </w:r>
    </w:p>
    <w:tbl>
      <w:tblPr>
        <w:tblStyle w:val="Table1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75"/>
        <w:gridCol w:w="3600"/>
        <w:tblGridChange w:id="0">
          <w:tblGrid>
            <w:gridCol w:w="2880"/>
            <w:gridCol w:w="2875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[Period from scenario data]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[Budget $]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7030a0"/>
                <w:sz w:val="20"/>
                <w:szCs w:val="20"/>
                <w:rtl w:val="0"/>
              </w:rPr>
              <w:t xml:space="preserve">[Actual $ ➔ ~40% overrun]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spacing w:after="60" w:before="1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d6e6e"/>
          <w:sz w:val="20"/>
          <w:szCs w:val="20"/>
          <w:rtl w:val="0"/>
        </w:rPr>
        <w:t xml:space="preserve">Appendix C: Policy / Configuration Status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[Summarise key gaps from policy_config_status in Scenario_Data_Package.zip ➔ for example, missing network segmentation rules, encryption settings not enforced, region restrictions absent. Reference specific policy names where available.]</w:t>
      </w:r>
    </w:p>
    <w:p w:rsidR="00000000" w:rsidDel="00000000" w:rsidP="00000000" w:rsidRDefault="00000000" w:rsidRPr="00000000" w14:paraId="00000108">
      <w:pPr>
        <w:pBdr>
          <w:bottom w:color="1f3864" w:space="4" w:sz="6" w:val="single"/>
        </w:pBdr>
        <w:spacing w:after="12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60" w:lineRule="auto"/>
        <w:rPr>
          <w:rFonts w:ascii="Century Gothic" w:cs="Century Gothic" w:eastAsia="Century Gothic" w:hAnsi="Century Gothic"/>
          <w:b w:val="1"/>
          <w:bCs w:val="1"/>
          <w:color w:val="7030a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7030a0"/>
          <w:sz w:val="20"/>
          <w:szCs w:val="20"/>
          <w:rtl w:val="0"/>
        </w:rPr>
        <w:t xml:space="preserve">Template aligned to: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Azure Well-Architected Framework 2026 (learn.microsoft.com/en-us/azure/well-architected)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Azure Well-Architected Review assessment (learn.microsoft.com/en-us/assessments/azure-architecture-review)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Azure compliance ➔ </w:t>
      </w:r>
      <w:r w:rsidDel="00000000" w:rsidR="00000000" w:rsidRPr="00000000">
        <w:rPr>
          <w:rFonts w:ascii="Century Gothic" w:cs="Century Gothic" w:eastAsia="Century Gothic" w:hAnsi="Century Gothic"/>
          <w:color w:val="7030a0"/>
          <w:sz w:val="20"/>
          <w:szCs w:val="20"/>
          <w:rtl w:val="0"/>
        </w:rPr>
        <w:t xml:space="preserve">Payment Card Industry Data Security Standard</w:t>
      </w: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 &amp; SOC 2 Type II (learn.microsoft.com/en-us/azure/compliance).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Effort bands (Quick win / Moderate / Significant) are course-defined;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hanging="360"/>
        <w:jc w:val="left"/>
        <w:rPr>
          <w:rFonts w:ascii="Century Gothic" w:cs="Century Gothic" w:eastAsia="Century Gothic" w:hAnsi="Century Gothic"/>
          <w:i w:val="0"/>
          <w:iCs w:val="0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i w:val="0"/>
          <w:iCs w:val="0"/>
          <w:smallCaps w:val="0"/>
          <w:strike w:val="0"/>
          <w:color w:val="7030a0"/>
          <w:sz w:val="20"/>
          <w:szCs w:val="20"/>
          <w:u w:val="none"/>
          <w:shd w:fill="auto" w:val="clear"/>
          <w:vertAlign w:val="baseline"/>
          <w:rtl w:val="0"/>
        </w:rPr>
        <w:t xml:space="preserve">Azure Advisor uses High/Medium/Low impact categories.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529" w:top="783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7030a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04040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rCnMjMtUDbLOKa5R6BW9fJ7C3w==">CgMxLjA4AHIhMVY1NV9jRWF6aVlOd0NEd1l3SndkcXc3S0FPcThaX25Q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