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smallCaps w:val="1"/>
          <w:color w:val="999999"/>
          <w:sz w:val="18"/>
          <w:szCs w:val="18"/>
          <w:rtl w:val="0"/>
        </w:rPr>
        <w:t xml:space="preserve">COURSE REFERENCE DOCUMENT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1f3864"/>
          <w:sz w:val="40"/>
          <w:szCs w:val="40"/>
          <w:rtl w:val="0"/>
        </w:rPr>
        <w:t xml:space="preserve">Azure Well-Architected Framework</w:t>
      </w:r>
      <w:r w:rsidDel="00000000" w:rsidR="00000000" w:rsidRPr="00000000">
        <w:rPr>
          <w:rtl w:val="0"/>
        </w:rPr>
      </w:r>
    </w:p>
    <w:p w:rsidR="00000000" w:rsidDel="00000000" w:rsidP="00000000" w:rsidRDefault="00000000" w:rsidRPr="00000000" w14:paraId="00000003">
      <w:pPr>
        <w:spacing w:after="80" w:lineRule="auto"/>
        <w:rPr>
          <w:b w:val="1"/>
          <w:bCs w:val="1"/>
        </w:rPr>
      </w:pPr>
      <w:r w:rsidDel="00000000" w:rsidR="00000000" w:rsidRPr="00000000">
        <w:rPr>
          <w:b w:val="1"/>
          <w:bCs w:val="1"/>
          <w:color w:val="2e7d7b"/>
          <w:sz w:val="26"/>
          <w:szCs w:val="26"/>
          <w:rtl w:val="0"/>
        </w:rPr>
        <w:t xml:space="preserve">Quick-Reference Summary for LC 1 Project Module</w:t>
      </w:r>
      <w:r w:rsidDel="00000000" w:rsidR="00000000" w:rsidRPr="00000000">
        <w:rPr>
          <w:rtl w:val="0"/>
        </w:rPr>
      </w:r>
    </w:p>
    <w:p w:rsidR="00000000" w:rsidDel="00000000" w:rsidP="00000000" w:rsidRDefault="00000000" w:rsidRPr="00000000" w14:paraId="00000004">
      <w:pPr>
        <w:pBdr>
          <w:bottom w:color="d9d9d9" w:space="0" w:sz="6" w:val="single"/>
        </w:pBdr>
        <w:spacing w:after="120" w:lineRule="auto"/>
        <w:rPr/>
      </w:pPr>
      <w:r w:rsidDel="00000000" w:rsidR="00000000" w:rsidRPr="00000000">
        <w:rPr>
          <w:rtl w:val="0"/>
        </w:rPr>
      </w:r>
    </w:p>
    <w:p w:rsidR="00000000" w:rsidDel="00000000" w:rsidP="00000000" w:rsidRDefault="00000000" w:rsidRPr="00000000" w14:paraId="00000005">
      <w:pPr>
        <w:pStyle w:val="Heading1"/>
        <w:spacing w:after="120" w:before="280" w:lineRule="auto"/>
        <w:rPr/>
      </w:pPr>
      <w:r w:rsidDel="00000000" w:rsidR="00000000" w:rsidRPr="00000000">
        <w:rPr>
          <w:rtl w:val="0"/>
        </w:rPr>
        <w:t xml:space="preserve">1. What Is the Azure Well-Architected Framework?</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The Azure Well-Architected Framework (WAF) is a set of design principles and best practices published by Microsoft for evaluating and improving Azure workloads. It is workload-centric: you apply it to one specific system at a time, not to an entire tenant or subscription. The framework is structured across five pillars of architectural excellence. Each pillar provides design principles, review checklists, and key design strategies.</w:t>
      </w:r>
    </w:p>
    <w:p w:rsidR="00000000" w:rsidDel="00000000" w:rsidP="00000000" w:rsidRDefault="00000000" w:rsidRPr="00000000" w14:paraId="00000007">
      <w:pPr>
        <w:spacing w:after="120" w:lineRule="auto"/>
        <w:rPr/>
      </w:pPr>
      <w:r w:rsidDel="00000000" w:rsidR="00000000" w:rsidRPr="00000000">
        <w:rPr>
          <w:color w:val="bf8f00"/>
          <w:sz w:val="18"/>
          <w:szCs w:val="18"/>
          <w:rtl w:val="0"/>
        </w:rPr>
        <w:t xml:space="preserve">This course uses the WAF as the primary review lens. The WAF is centered on Azure. For the project scenario, apply WAF principles across all deployment environments (Azure primary, AWS DR, edge) as a unified academic lens. In a real engagement, AWS infrastructure would also be reviewed against AWS's own Well-Architected Framework.</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r>
    </w:p>
    <w:p w:rsidR="00000000" w:rsidDel="00000000" w:rsidP="00000000" w:rsidRDefault="00000000" w:rsidRPr="00000000" w14:paraId="00000009">
      <w:pPr>
        <w:spacing w:after="100" w:before="200" w:lineRule="auto"/>
        <w:rPr/>
      </w:pPr>
      <w:r w:rsidDel="00000000" w:rsidR="00000000" w:rsidRPr="00000000">
        <w:rPr>
          <w:b w:val="1"/>
          <w:bCs w:val="1"/>
          <w:color w:val="2e7d7b"/>
          <w:sz w:val="24"/>
          <w:szCs w:val="24"/>
          <w:rtl w:val="0"/>
        </w:rPr>
        <w:t xml:space="preserve">Five-Pillar Overview Matrix</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5"/>
        <w:gridCol w:w="1170"/>
        <w:gridCol w:w="1620"/>
        <w:gridCol w:w="1710"/>
        <w:gridCol w:w="1980"/>
        <w:gridCol w:w="1805"/>
        <w:tblGridChange w:id="0">
          <w:tblGrid>
            <w:gridCol w:w="1075"/>
            <w:gridCol w:w="1170"/>
            <w:gridCol w:w="1620"/>
            <w:gridCol w:w="1710"/>
            <w:gridCol w:w="1980"/>
            <w:gridCol w:w="1805"/>
          </w:tblGrid>
        </w:tblGridChange>
      </w:tblGrid>
      <w:tr>
        <w:trPr>
          <w:cantSplit w:val="0"/>
          <w:tblHeader w:val="0"/>
        </w:trPr>
        <w:tc>
          <w:tcPr>
            <w:shd w:fill="d9d9d9" w:val="clear"/>
            <w:tcMar>
              <w:top w:w="80.0" w:type="dxa"/>
              <w:left w:w="60.0" w:type="dxa"/>
              <w:bottom w:w="80.0" w:type="dxa"/>
              <w:right w:w="60.0" w:type="dxa"/>
            </w:tcMar>
          </w:tcPr>
          <w:p w:rsidR="00000000" w:rsidDel="00000000" w:rsidP="00000000" w:rsidRDefault="00000000" w:rsidRPr="00000000" w14:paraId="0000000A">
            <w:pPr>
              <w:rPr/>
            </w:pPr>
            <w:r w:rsidDel="00000000" w:rsidR="00000000" w:rsidRPr="00000000">
              <w:rPr>
                <w:b w:val="1"/>
                <w:bCs w:val="1"/>
                <w:color w:val="363636"/>
                <w:sz w:val="16"/>
                <w:szCs w:val="16"/>
                <w:rtl w:val="0"/>
              </w:rPr>
              <w:t xml:space="preserve">Pillar →</w:t>
            </w:r>
            <w:r w:rsidDel="00000000" w:rsidR="00000000" w:rsidRPr="00000000">
              <w:rPr>
                <w:rtl w:val="0"/>
              </w:rPr>
            </w:r>
          </w:p>
        </w:tc>
        <w:tc>
          <w:tcPr>
            <w:shd w:fill="1f5c99" w:val="clear"/>
            <w:tcMar>
              <w:top w:w="80.0" w:type="dxa"/>
              <w:left w:w="60.0" w:type="dxa"/>
              <w:bottom w:w="80.0" w:type="dxa"/>
              <w:right w:w="60.0" w:type="dxa"/>
            </w:tcMar>
          </w:tcPr>
          <w:p w:rsidR="00000000" w:rsidDel="00000000" w:rsidP="00000000" w:rsidRDefault="00000000" w:rsidRPr="00000000" w14:paraId="0000000B">
            <w:pPr>
              <w:jc w:val="center"/>
              <w:rPr/>
            </w:pPr>
            <w:r w:rsidDel="00000000" w:rsidR="00000000" w:rsidRPr="00000000">
              <w:rPr>
                <w:b w:val="1"/>
                <w:bCs w:val="1"/>
                <w:color w:val="ffffff"/>
                <w:sz w:val="17"/>
                <w:szCs w:val="17"/>
                <w:rtl w:val="0"/>
              </w:rPr>
              <w:t xml:space="preserve">Reliability</w:t>
            </w:r>
            <w:r w:rsidDel="00000000" w:rsidR="00000000" w:rsidRPr="00000000">
              <w:rPr>
                <w:rtl w:val="0"/>
              </w:rPr>
            </w:r>
          </w:p>
        </w:tc>
        <w:tc>
          <w:tcPr>
            <w:shd w:fill="1e7145" w:val="clear"/>
            <w:tcMar>
              <w:top w:w="80.0" w:type="dxa"/>
              <w:left w:w="60.0" w:type="dxa"/>
              <w:bottom w:w="80.0" w:type="dxa"/>
              <w:right w:w="60.0" w:type="dxa"/>
            </w:tcMar>
          </w:tcPr>
          <w:p w:rsidR="00000000" w:rsidDel="00000000" w:rsidP="00000000" w:rsidRDefault="00000000" w:rsidRPr="00000000" w14:paraId="0000000C">
            <w:pPr>
              <w:jc w:val="center"/>
              <w:rPr/>
            </w:pPr>
            <w:r w:rsidDel="00000000" w:rsidR="00000000" w:rsidRPr="00000000">
              <w:rPr>
                <w:b w:val="1"/>
                <w:bCs w:val="1"/>
                <w:color w:val="ffffff"/>
                <w:sz w:val="17"/>
                <w:szCs w:val="17"/>
                <w:rtl w:val="0"/>
              </w:rPr>
              <w:t xml:space="preserve">Security</w:t>
            </w:r>
            <w:r w:rsidDel="00000000" w:rsidR="00000000" w:rsidRPr="00000000">
              <w:rPr>
                <w:rtl w:val="0"/>
              </w:rPr>
            </w:r>
          </w:p>
        </w:tc>
        <w:tc>
          <w:tcPr>
            <w:shd w:fill="7b3f00" w:val="clear"/>
            <w:tcMar>
              <w:top w:w="80.0" w:type="dxa"/>
              <w:left w:w="60.0" w:type="dxa"/>
              <w:bottom w:w="80.0" w:type="dxa"/>
              <w:right w:w="60.0" w:type="dxa"/>
            </w:tcMar>
          </w:tcPr>
          <w:p w:rsidR="00000000" w:rsidDel="00000000" w:rsidP="00000000" w:rsidRDefault="00000000" w:rsidRPr="00000000" w14:paraId="0000000D">
            <w:pPr>
              <w:jc w:val="center"/>
              <w:rPr/>
            </w:pPr>
            <w:r w:rsidDel="00000000" w:rsidR="00000000" w:rsidRPr="00000000">
              <w:rPr>
                <w:b w:val="1"/>
                <w:bCs w:val="1"/>
                <w:color w:val="ffffff"/>
                <w:sz w:val="17"/>
                <w:szCs w:val="17"/>
                <w:rtl w:val="0"/>
              </w:rPr>
              <w:t xml:space="preserve">Cost Optimization</w:t>
            </w:r>
            <w:r w:rsidDel="00000000" w:rsidR="00000000" w:rsidRPr="00000000">
              <w:rPr>
                <w:rtl w:val="0"/>
              </w:rPr>
            </w:r>
          </w:p>
        </w:tc>
        <w:tc>
          <w:tcPr>
            <w:shd w:fill="4b0082" w:val="clear"/>
            <w:tcMar>
              <w:top w:w="80.0" w:type="dxa"/>
              <w:left w:w="60.0" w:type="dxa"/>
              <w:bottom w:w="80.0" w:type="dxa"/>
              <w:right w:w="60.0" w:type="dxa"/>
            </w:tcMar>
          </w:tcPr>
          <w:p w:rsidR="00000000" w:rsidDel="00000000" w:rsidP="00000000" w:rsidRDefault="00000000" w:rsidRPr="00000000" w14:paraId="0000000E">
            <w:pPr>
              <w:jc w:val="center"/>
              <w:rPr/>
            </w:pPr>
            <w:r w:rsidDel="00000000" w:rsidR="00000000" w:rsidRPr="00000000">
              <w:rPr>
                <w:b w:val="1"/>
                <w:bCs w:val="1"/>
                <w:color w:val="ffffff"/>
                <w:sz w:val="17"/>
                <w:szCs w:val="17"/>
                <w:rtl w:val="0"/>
              </w:rPr>
              <w:t xml:space="preserve">Operational Excellence</w:t>
            </w:r>
            <w:r w:rsidDel="00000000" w:rsidR="00000000" w:rsidRPr="00000000">
              <w:rPr>
                <w:rtl w:val="0"/>
              </w:rPr>
            </w:r>
          </w:p>
        </w:tc>
        <w:tc>
          <w:tcPr>
            <w:shd w:fill="8b0000" w:val="clear"/>
            <w:tcMar>
              <w:top w:w="80.0" w:type="dxa"/>
              <w:left w:w="60.0" w:type="dxa"/>
              <w:bottom w:w="80.0" w:type="dxa"/>
              <w:right w:w="60.0" w:type="dxa"/>
            </w:tcMar>
          </w:tcPr>
          <w:p w:rsidR="00000000" w:rsidDel="00000000" w:rsidP="00000000" w:rsidRDefault="00000000" w:rsidRPr="00000000" w14:paraId="0000000F">
            <w:pPr>
              <w:jc w:val="center"/>
              <w:rPr/>
            </w:pPr>
            <w:r w:rsidDel="00000000" w:rsidR="00000000" w:rsidRPr="00000000">
              <w:rPr>
                <w:b w:val="1"/>
                <w:bCs w:val="1"/>
                <w:color w:val="ffffff"/>
                <w:sz w:val="17"/>
                <w:szCs w:val="17"/>
                <w:rtl w:val="0"/>
              </w:rPr>
              <w:t xml:space="preserve">Performance Efficiency</w:t>
            </w:r>
            <w:r w:rsidDel="00000000" w:rsidR="00000000" w:rsidRPr="00000000">
              <w:rPr>
                <w:rtl w:val="0"/>
              </w:rPr>
            </w:r>
          </w:p>
        </w:tc>
      </w:tr>
      <w:tr>
        <w:trPr>
          <w:cantSplit w:val="0"/>
          <w:tblHeader w:val="0"/>
        </w:trPr>
        <w:tc>
          <w:tcPr>
            <w:shd w:fill="ebebeb" w:val="clear"/>
            <w:tcMar>
              <w:top w:w="60.0" w:type="dxa"/>
              <w:left w:w="60.0" w:type="dxa"/>
              <w:bottom w:w="60.0" w:type="dxa"/>
              <w:right w:w="60.0" w:type="dxa"/>
            </w:tcMar>
          </w:tcPr>
          <w:p w:rsidR="00000000" w:rsidDel="00000000" w:rsidP="00000000" w:rsidRDefault="00000000" w:rsidRPr="00000000" w14:paraId="00000010">
            <w:pPr>
              <w:rPr/>
            </w:pPr>
            <w:r w:rsidDel="00000000" w:rsidR="00000000" w:rsidRPr="00000000">
              <w:rPr>
                <w:b w:val="1"/>
                <w:bCs w:val="1"/>
                <w:color w:val="363636"/>
                <w:sz w:val="16"/>
                <w:szCs w:val="16"/>
                <w:rtl w:val="0"/>
              </w:rPr>
              <w:t xml:space="preserve">Core Goal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1">
            <w:pPr>
              <w:rPr/>
            </w:pPr>
            <w:r w:rsidDel="00000000" w:rsidR="00000000" w:rsidRPr="00000000">
              <w:rPr>
                <w:sz w:val="16"/>
                <w:szCs w:val="16"/>
                <w:rtl w:val="0"/>
              </w:rPr>
              <w:t xml:space="preserve">Recover from failures; meet RTO/RPO</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2">
            <w:pPr>
              <w:rPr/>
            </w:pPr>
            <w:r w:rsidDel="00000000" w:rsidR="00000000" w:rsidRPr="00000000">
              <w:rPr>
                <w:sz w:val="16"/>
                <w:szCs w:val="16"/>
                <w:rtl w:val="0"/>
              </w:rPr>
              <w:t xml:space="preserve">Protect confidentiality, integrity, availability</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3">
            <w:pPr>
              <w:rPr/>
            </w:pPr>
            <w:r w:rsidDel="00000000" w:rsidR="00000000" w:rsidRPr="00000000">
              <w:rPr>
                <w:sz w:val="16"/>
                <w:szCs w:val="16"/>
                <w:rtl w:val="0"/>
              </w:rPr>
              <w:t xml:space="preserve">Eliminate waste; maximize value per dollar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4">
            <w:pPr>
              <w:rPr/>
            </w:pPr>
            <w:r w:rsidDel="00000000" w:rsidR="00000000" w:rsidRPr="00000000">
              <w:rPr>
                <w:sz w:val="16"/>
                <w:szCs w:val="16"/>
                <w:rtl w:val="0"/>
              </w:rPr>
              <w:t xml:space="preserve">Streamline operations; safe deployments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5">
            <w:pPr>
              <w:rPr/>
            </w:pPr>
            <w:r w:rsidDel="00000000" w:rsidR="00000000" w:rsidRPr="00000000">
              <w:rPr>
                <w:sz w:val="16"/>
                <w:szCs w:val="16"/>
                <w:rtl w:val="0"/>
              </w:rPr>
              <w:t xml:space="preserve">Scale horizontally; test early and often</w:t>
            </w:r>
            <w:r w:rsidDel="00000000" w:rsidR="00000000" w:rsidRPr="00000000">
              <w:rPr>
                <w:rtl w:val="0"/>
              </w:rPr>
            </w:r>
          </w:p>
        </w:tc>
      </w:tr>
      <w:tr>
        <w:trPr>
          <w:cantSplit w:val="0"/>
          <w:tblHeader w:val="0"/>
        </w:trPr>
        <w:tc>
          <w:tcPr>
            <w:shd w:fill="ebebeb" w:val="clear"/>
            <w:tcMar>
              <w:top w:w="60.0" w:type="dxa"/>
              <w:left w:w="60.0" w:type="dxa"/>
              <w:bottom w:w="60.0" w:type="dxa"/>
              <w:right w:w="60.0" w:type="dxa"/>
            </w:tcMar>
          </w:tcPr>
          <w:p w:rsidR="00000000" w:rsidDel="00000000" w:rsidP="00000000" w:rsidRDefault="00000000" w:rsidRPr="00000000" w14:paraId="00000016">
            <w:pPr>
              <w:rPr/>
            </w:pPr>
            <w:r w:rsidDel="00000000" w:rsidR="00000000" w:rsidRPr="00000000">
              <w:rPr>
                <w:b w:val="1"/>
                <w:bCs w:val="1"/>
                <w:color w:val="363636"/>
                <w:sz w:val="16"/>
                <w:szCs w:val="16"/>
                <w:rtl w:val="0"/>
              </w:rPr>
              <w:t xml:space="preserve">Key Question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7">
            <w:pPr>
              <w:rPr/>
            </w:pPr>
            <w:r w:rsidDel="00000000" w:rsidR="00000000" w:rsidRPr="00000000">
              <w:rPr>
                <w:sz w:val="16"/>
                <w:szCs w:val="16"/>
                <w:rtl w:val="0"/>
              </w:rPr>
              <w:t xml:space="preserve">Will it recover?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8">
            <w:pPr>
              <w:rPr/>
            </w:pPr>
            <w:r w:rsidDel="00000000" w:rsidR="00000000" w:rsidRPr="00000000">
              <w:rPr>
                <w:sz w:val="16"/>
                <w:szCs w:val="16"/>
                <w:rtl w:val="0"/>
              </w:rPr>
              <w:t xml:space="preserve">Is it protected?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9">
            <w:pPr>
              <w:rPr/>
            </w:pPr>
            <w:r w:rsidDel="00000000" w:rsidR="00000000" w:rsidRPr="00000000">
              <w:rPr>
                <w:sz w:val="16"/>
                <w:szCs w:val="16"/>
                <w:rtl w:val="0"/>
              </w:rPr>
              <w:t xml:space="preserve">Is it worth the spend?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A">
            <w:pPr>
              <w:rPr/>
            </w:pPr>
            <w:r w:rsidDel="00000000" w:rsidR="00000000" w:rsidRPr="00000000">
              <w:rPr>
                <w:sz w:val="16"/>
                <w:szCs w:val="16"/>
                <w:rtl w:val="0"/>
              </w:rPr>
              <w:t xml:space="preserve">Can it be operated?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B">
            <w:pPr>
              <w:rPr/>
            </w:pPr>
            <w:r w:rsidDel="00000000" w:rsidR="00000000" w:rsidRPr="00000000">
              <w:rPr>
                <w:sz w:val="16"/>
                <w:szCs w:val="16"/>
                <w:rtl w:val="0"/>
              </w:rPr>
              <w:t xml:space="preserve">Will it scale?</w:t>
            </w:r>
            <w:r w:rsidDel="00000000" w:rsidR="00000000" w:rsidRPr="00000000">
              <w:rPr>
                <w:rtl w:val="0"/>
              </w:rPr>
            </w:r>
          </w:p>
        </w:tc>
      </w:tr>
      <w:tr>
        <w:trPr>
          <w:cantSplit w:val="0"/>
          <w:tblHeader w:val="0"/>
        </w:trPr>
        <w:tc>
          <w:tcPr>
            <w:shd w:fill="ebebeb" w:val="clear"/>
            <w:tcMar>
              <w:top w:w="60.0" w:type="dxa"/>
              <w:left w:w="60.0" w:type="dxa"/>
              <w:bottom w:w="60.0" w:type="dxa"/>
              <w:right w:w="60.0" w:type="dxa"/>
            </w:tcMar>
          </w:tcPr>
          <w:p w:rsidR="00000000" w:rsidDel="00000000" w:rsidP="00000000" w:rsidRDefault="00000000" w:rsidRPr="00000000" w14:paraId="0000001C">
            <w:pPr>
              <w:rPr/>
            </w:pPr>
            <w:r w:rsidDel="00000000" w:rsidR="00000000" w:rsidRPr="00000000">
              <w:rPr>
                <w:b w:val="1"/>
                <w:bCs w:val="1"/>
                <w:color w:val="363636"/>
                <w:sz w:val="16"/>
                <w:szCs w:val="16"/>
                <w:rtl w:val="0"/>
              </w:rPr>
              <w:t xml:space="preserve">Primary Azure Tools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D">
            <w:pPr>
              <w:rPr/>
            </w:pPr>
            <w:r w:rsidDel="00000000" w:rsidR="00000000" w:rsidRPr="00000000">
              <w:rPr>
                <w:sz w:val="16"/>
                <w:szCs w:val="16"/>
                <w:rtl w:val="0"/>
              </w:rPr>
              <w:t xml:space="preserve">Azure Monitor, Chaos Studio, Traffic Manager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E">
            <w:pPr>
              <w:rPr/>
            </w:pPr>
            <w:r w:rsidDel="00000000" w:rsidR="00000000" w:rsidRPr="00000000">
              <w:rPr>
                <w:sz w:val="16"/>
                <w:szCs w:val="16"/>
                <w:rtl w:val="0"/>
              </w:rPr>
              <w:t xml:space="preserve">Microsoft Defender for Cloud, Entra ID, Key Vault</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F">
            <w:pPr>
              <w:rPr/>
            </w:pPr>
            <w:r w:rsidDel="00000000" w:rsidR="00000000" w:rsidRPr="00000000">
              <w:rPr>
                <w:sz w:val="16"/>
                <w:szCs w:val="16"/>
                <w:rtl w:val="0"/>
              </w:rPr>
              <w:t xml:space="preserve">Azure Cost Management, Advisor, Spot VMs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0">
            <w:pPr>
              <w:rPr/>
            </w:pPr>
            <w:r w:rsidDel="00000000" w:rsidR="00000000" w:rsidRPr="00000000">
              <w:rPr>
                <w:sz w:val="16"/>
                <w:szCs w:val="16"/>
                <w:rtl w:val="0"/>
              </w:rPr>
              <w:t xml:space="preserve">Azure DevOps, GitHub Actions, Application Insights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1">
            <w:pPr>
              <w:rPr/>
            </w:pPr>
            <w:r w:rsidDel="00000000" w:rsidR="00000000" w:rsidRPr="00000000">
              <w:rPr>
                <w:sz w:val="16"/>
                <w:szCs w:val="16"/>
                <w:rtl w:val="0"/>
              </w:rPr>
              <w:t xml:space="preserve">AKS HPA/KEDA, Azure Load Testing, CDN</w:t>
            </w:r>
            <w:r w:rsidDel="00000000" w:rsidR="00000000" w:rsidRPr="00000000">
              <w:rPr>
                <w:rtl w:val="0"/>
              </w:rPr>
            </w:r>
          </w:p>
        </w:tc>
      </w:tr>
    </w:tbl>
    <w:p w:rsidR="00000000" w:rsidDel="00000000" w:rsidP="00000000" w:rsidRDefault="00000000" w:rsidRPr="00000000" w14:paraId="00000022">
      <w:pPr>
        <w:pBdr>
          <w:bottom w:color="d9d9d9" w:space="0" w:sz="6" w:val="single"/>
        </w:pBdr>
        <w:spacing w:after="120" w:lineRule="auto"/>
        <w:rPr/>
      </w:pPr>
      <w:r w:rsidDel="00000000" w:rsidR="00000000" w:rsidRPr="00000000">
        <w:rPr>
          <w:rtl w:val="0"/>
        </w:rPr>
      </w:r>
    </w:p>
    <w:p w:rsidR="00000000" w:rsidDel="00000000" w:rsidP="00000000" w:rsidRDefault="00000000" w:rsidRPr="00000000" w14:paraId="00000023">
      <w:pPr>
        <w:pStyle w:val="Heading1"/>
        <w:spacing w:after="120" w:before="280" w:lineRule="auto"/>
        <w:rPr/>
      </w:pPr>
      <w:r w:rsidDel="00000000" w:rsidR="00000000" w:rsidRPr="00000000">
        <w:rPr>
          <w:rtl w:val="0"/>
        </w:rPr>
        <w:t xml:space="preserve">2. The Five Pillars — Design Principles and Failure Signals</w:t>
      </w:r>
      <w:r w:rsidDel="00000000" w:rsidR="00000000" w:rsidRPr="00000000">
        <w:rPr>
          <w:rtl w:val="0"/>
        </w:rPr>
      </w:r>
    </w:p>
    <w:p w:rsidR="00000000" w:rsidDel="00000000" w:rsidP="00000000" w:rsidRDefault="00000000" w:rsidRPr="00000000" w14:paraId="00000024">
      <w:pPr>
        <w:spacing w:after="100" w:before="200" w:lineRule="auto"/>
        <w:rPr/>
      </w:pPr>
      <w:r w:rsidDel="00000000" w:rsidR="00000000" w:rsidRPr="00000000">
        <w:rPr>
          <w:b w:val="1"/>
          <w:bCs w:val="1"/>
          <w:color w:val="1f5c99"/>
          <w:sz w:val="24"/>
          <w:szCs w:val="24"/>
          <w:rtl w:val="0"/>
        </w:rPr>
        <w:t xml:space="preserve">Pillar 1 — Reliability</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tl w:val="0"/>
        </w:rPr>
        <w:t xml:space="preserve">Goal: Design workloads to recover from failures and continue to operate. Traditional approaches relied on preventing failure. Cloud-native reliability focuses on minimizing impact — delivering high availability and rapid recovery.</w:t>
      </w:r>
    </w:p>
    <w:p w:rsidR="00000000" w:rsidDel="00000000" w:rsidP="00000000" w:rsidRDefault="00000000" w:rsidRPr="00000000" w14:paraId="00000026">
      <w:pPr>
        <w:spacing w:after="80" w:before="160" w:lineRule="auto"/>
        <w:rPr/>
      </w:pPr>
      <w:r w:rsidDel="00000000" w:rsidR="00000000" w:rsidRPr="00000000">
        <w:rPr>
          <w:b w:val="1"/>
          <w:bCs w:val="1"/>
          <w:color w:val="1f3864"/>
          <w:sz w:val="22"/>
          <w:szCs w:val="22"/>
          <w:rtl w:val="0"/>
        </w:rPr>
        <w:t xml:space="preserve">Core Design Principles (Microsoft Learn, 2026)</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for business requirements — define availability and recovery targets (RTO, RPO) before designing redundancy.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for resilience — assume failure will happen; build redundancy at every layer.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for recovery — establish tested, documented recovery procedures, not ad-hoc responses.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for operations — use health modelling and monitoring to detect degradation before customers do.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Keep it simple — avoid unnecessary complexity that creates new failure modes.</w:t>
      </w:r>
    </w:p>
    <w:p w:rsidR="00000000" w:rsidDel="00000000" w:rsidP="00000000" w:rsidRDefault="00000000" w:rsidRPr="00000000" w14:paraId="0000002C">
      <w:pPr>
        <w:spacing w:after="80" w:before="160" w:lineRule="auto"/>
        <w:rPr/>
      </w:pPr>
      <w:r w:rsidDel="00000000" w:rsidR="00000000" w:rsidRPr="00000000">
        <w:rPr>
          <w:b w:val="1"/>
          <w:bCs w:val="1"/>
          <w:color w:val="1f3864"/>
          <w:sz w:val="22"/>
          <w:szCs w:val="22"/>
          <w:rtl w:val="0"/>
        </w:rPr>
        <w:t xml:space="preserve">Common Failure Signals in Architecture Reviews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Single region deployment of stateful services with no failover target.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RTO/RPO not defined or not tested — DR exists on paper only.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health probes or circuit breakers on downstream dependencies.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Manual recovery procedures that have not been rehearsed.</w:t>
      </w:r>
    </w:p>
    <w:p w:rsidR="00000000" w:rsidDel="00000000" w:rsidP="00000000" w:rsidRDefault="00000000" w:rsidRPr="00000000" w14:paraId="00000031">
      <w:pPr>
        <w:spacing w:after="80" w:before="160" w:lineRule="auto"/>
        <w:rPr/>
      </w:pPr>
      <w:r w:rsidDel="00000000" w:rsidR="00000000" w:rsidRPr="00000000">
        <w:rPr>
          <w:b w:val="1"/>
          <w:bCs w:val="1"/>
          <w:color w:val="1f3864"/>
          <w:sz w:val="22"/>
          <w:szCs w:val="22"/>
          <w:rtl w:val="0"/>
        </w:rPr>
        <w:t xml:space="preserve">Primary Azure Tools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Monitor + Application Insights — health signals and alerting.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Chaos Studio — deliberate failure injection for resilience testing.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Traffic Manager / Azure Front Door — cross-region failover and routing.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Site Recovery — VM and workload replication for DR.</w:t>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00" w:before="200" w:lineRule="auto"/>
        <w:rPr/>
      </w:pPr>
      <w:r w:rsidDel="00000000" w:rsidR="00000000" w:rsidRPr="00000000">
        <w:rPr>
          <w:b w:val="1"/>
          <w:bCs w:val="1"/>
          <w:color w:val="1e7145"/>
          <w:sz w:val="24"/>
          <w:szCs w:val="24"/>
          <w:rtl w:val="0"/>
        </w:rPr>
        <w:t xml:space="preserve">Pillar 2 — Security</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t xml:space="preserve">Goal: Protect confidentiality, integrity, and availability of workloads and data. Security is a core pillar — not an afterthought added at the end of a project.</w:t>
      </w:r>
    </w:p>
    <w:p w:rsidR="00000000" w:rsidDel="00000000" w:rsidP="00000000" w:rsidRDefault="00000000" w:rsidRPr="00000000" w14:paraId="00000039">
      <w:pPr>
        <w:spacing w:after="80" w:before="160" w:lineRule="auto"/>
        <w:rPr/>
      </w:pPr>
      <w:r w:rsidDel="00000000" w:rsidR="00000000" w:rsidRPr="00000000">
        <w:rPr>
          <w:b w:val="1"/>
          <w:bCs w:val="1"/>
          <w:color w:val="1f3864"/>
          <w:sz w:val="22"/>
          <w:szCs w:val="22"/>
          <w:rtl w:val="0"/>
        </w:rPr>
        <w:t xml:space="preserve">Core Design Principles (Microsoft Learn, 2026)</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your security readiness — identify threats and define a security baseline before deployment.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to protect confidentiality — classify data; apply encryption at rest and in transit.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to protect integrity — validate inputs; enforce least-privilege access.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to protect availability — protect against DDoS, unauthorised access, and service disruption.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Sustain and evolve your security posture — treat security as a continuous process, not a one-time gate.</w:t>
      </w:r>
    </w:p>
    <w:p w:rsidR="00000000" w:rsidDel="00000000" w:rsidP="00000000" w:rsidRDefault="00000000" w:rsidRPr="00000000" w14:paraId="0000003F">
      <w:pPr>
        <w:spacing w:after="80" w:before="160" w:lineRule="auto"/>
        <w:rPr/>
      </w:pPr>
      <w:r w:rsidDel="00000000" w:rsidR="00000000" w:rsidRPr="00000000">
        <w:rPr>
          <w:b w:val="1"/>
          <w:bCs w:val="1"/>
          <w:color w:val="1f3864"/>
          <w:sz w:val="22"/>
          <w:szCs w:val="22"/>
          <w:rtl w:val="0"/>
        </w:rPr>
        <w:t xml:space="preserve">Common Failure Signals in Architecture Reviews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Secrets or API keys stored in application code or environment variables without Key Vault.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Network segmentation missing — all services on the same virtual network with no boundary controls.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identity-based access control — using shared keys instead of managed identity.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PII or sensitive data crossing environment boundaries without explicit data classification policy.</w:t>
      </w:r>
    </w:p>
    <w:p w:rsidR="00000000" w:rsidDel="00000000" w:rsidP="00000000" w:rsidRDefault="00000000" w:rsidRPr="00000000" w14:paraId="00000044">
      <w:pPr>
        <w:spacing w:after="100" w:lineRule="auto"/>
        <w:rPr/>
      </w:pPr>
      <w:r w:rsidDel="00000000" w:rsidR="00000000" w:rsidRPr="00000000">
        <w:rPr>
          <w:color w:val="bf8f00"/>
          <w:sz w:val="18"/>
          <w:szCs w:val="18"/>
          <w:rtl w:val="0"/>
        </w:rPr>
        <w:t xml:space="preserve">For financial services workloads (this project's scenario), the Security pillar must be grounded in applicable compliance frameworks. Azure supports PCI DSS Level 1 and SOC 2 Type II certifications. Findings related to payment data, fraud decisioning data, or employee HR data should reference the relevant compliance requirement, not just a generic 'encryption' recommendation.</w:t>
      </w:r>
      <w:r w:rsidDel="00000000" w:rsidR="00000000" w:rsidRPr="00000000">
        <w:rPr>
          <w:rtl w:val="0"/>
        </w:rPr>
      </w:r>
    </w:p>
    <w:p w:rsidR="00000000" w:rsidDel="00000000" w:rsidP="00000000" w:rsidRDefault="00000000" w:rsidRPr="00000000" w14:paraId="00000045">
      <w:pPr>
        <w:spacing w:after="80" w:before="160" w:lineRule="auto"/>
        <w:rPr/>
      </w:pPr>
      <w:r w:rsidDel="00000000" w:rsidR="00000000" w:rsidRPr="00000000">
        <w:rPr>
          <w:b w:val="1"/>
          <w:bCs w:val="1"/>
          <w:color w:val="1f3864"/>
          <w:sz w:val="22"/>
          <w:szCs w:val="22"/>
          <w:rtl w:val="0"/>
        </w:rPr>
        <w:t xml:space="preserve">Primary Azure Tools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Microsoft Defender for Cloud — multicloud posture management and threat protection.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Microsoft Entra ID — identity and access management, including managed identity for workload authentication.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Key Vault — centralised secrets, keys, and certificate management.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Policy — guardrails enforced at deployment time.</w:t>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100" w:before="200" w:lineRule="auto"/>
        <w:rPr/>
      </w:pPr>
      <w:r w:rsidDel="00000000" w:rsidR="00000000" w:rsidRPr="00000000">
        <w:rPr>
          <w:b w:val="1"/>
          <w:bCs w:val="1"/>
          <w:color w:val="7b4f00"/>
          <w:sz w:val="24"/>
          <w:szCs w:val="24"/>
          <w:rtl w:val="0"/>
        </w:rPr>
        <w:t xml:space="preserve">Pillar 3 — Cost Optimization</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t xml:space="preserve">Goal: Eliminate unnecessary spend and maximise the value delivered per dollar of cloud investment. Cost optimisation is not about cutting corners — it is about making intentional architectural choices aligned with workload requirements.</w:t>
      </w:r>
    </w:p>
    <w:p w:rsidR="00000000" w:rsidDel="00000000" w:rsidP="00000000" w:rsidRDefault="00000000" w:rsidRPr="00000000" w14:paraId="0000004D">
      <w:pPr>
        <w:spacing w:after="80" w:before="160" w:lineRule="auto"/>
        <w:rPr/>
      </w:pPr>
      <w:r w:rsidDel="00000000" w:rsidR="00000000" w:rsidRPr="00000000">
        <w:rPr>
          <w:b w:val="1"/>
          <w:bCs w:val="1"/>
          <w:color w:val="1f3864"/>
          <w:sz w:val="22"/>
          <w:szCs w:val="22"/>
          <w:rtl w:val="0"/>
        </w:rPr>
        <w:t xml:space="preserve">Core Design Principles (Microsoft Learn, 2026)</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 cost-management discipline — tag all resources; allocate costs to application owners.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with a cost-efficiency mindset — match resource type and size to actual workload requirements.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Optimise over time — cloud pricing and workload patterns change; review regularly.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Maximise the use of the rate you pay — use Reserved Instances for stable baseline workloads; use Spot/low-priority for interruptible workloads.</w:t>
      </w:r>
    </w:p>
    <w:p w:rsidR="00000000" w:rsidDel="00000000" w:rsidP="00000000" w:rsidRDefault="00000000" w:rsidRPr="00000000" w14:paraId="00000052">
      <w:pPr>
        <w:spacing w:after="80" w:before="160" w:lineRule="auto"/>
        <w:rPr/>
      </w:pPr>
      <w:r w:rsidDel="00000000" w:rsidR="00000000" w:rsidRPr="00000000">
        <w:rPr>
          <w:b w:val="1"/>
          <w:bCs w:val="1"/>
          <w:color w:val="1f3864"/>
          <w:sz w:val="22"/>
          <w:szCs w:val="22"/>
          <w:rtl w:val="0"/>
        </w:rPr>
        <w:t xml:space="preserve">GPU Cost Signals (directly applicable to this project)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GPU instances running 24/7 at low utilisation — the most common cost overrun pattern for AI inference workloads.</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Fix: scale-to-zero (Container Apps with GPU workload profile; minReplicas: 0) or AKS with HPA/KEDA. Source: learn.microsoft.com/en-us/startups/build/ai/ai-cost-optimization (May 2026).</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Wrong GPU class for the inference task — A100/H100 used for workloads that a T4 or L4 can serve at lower cost.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cost allocation by application — shared GPU clusters where no team can trace their spend.</w:t>
      </w:r>
    </w:p>
    <w:p w:rsidR="00000000" w:rsidDel="00000000" w:rsidP="00000000" w:rsidRDefault="00000000" w:rsidRPr="00000000" w14:paraId="00000057">
      <w:pPr>
        <w:spacing w:after="100" w:lineRule="auto"/>
        <w:ind w:left="360" w:firstLine="0"/>
        <w:rPr/>
      </w:pPr>
      <w:r w:rsidDel="00000000" w:rsidR="00000000" w:rsidRPr="00000000">
        <w:rPr>
          <w:color w:val="bf8f00"/>
          <w:sz w:val="18"/>
          <w:szCs w:val="18"/>
          <w:rtl w:val="0"/>
        </w:rPr>
        <w:t xml:space="preserve">Microsoft Azure Machine Learning compute supports automatic scaling of GPU resources for both training and inference (confirmed: learn.microsoft.com/en-us/startups/build/enterprise-readiness/cost-optimization, April 2026). Autoscaling and scheduling changes typically deliver 20–35% GPU cost reduction and are implementable within one quarter for a mid-sized platform team.</w:t>
      </w:r>
      <w:r w:rsidDel="00000000" w:rsidR="00000000" w:rsidRPr="00000000">
        <w:rPr>
          <w:rtl w:val="0"/>
        </w:rPr>
      </w:r>
    </w:p>
    <w:p w:rsidR="00000000" w:rsidDel="00000000" w:rsidP="00000000" w:rsidRDefault="00000000" w:rsidRPr="00000000" w14:paraId="00000058">
      <w:pPr>
        <w:spacing w:after="80" w:before="160" w:lineRule="auto"/>
        <w:rPr/>
      </w:pPr>
      <w:r w:rsidDel="00000000" w:rsidR="00000000" w:rsidRPr="00000000">
        <w:rPr>
          <w:b w:val="1"/>
          <w:bCs w:val="1"/>
          <w:color w:val="1f3864"/>
          <w:sz w:val="22"/>
          <w:szCs w:val="22"/>
          <w:rtl w:val="0"/>
        </w:rPr>
        <w:t xml:space="preserve">Primary Azure Tools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Cost Management + Billing — spend tracking, budget alerts, cost allocation.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Advisor — automated rightsizing and cost recommendations.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Spot VMs / Low-Priority Compute — up to 90% discount for interruptible workloads.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Reserved Instances — 1–3 year commitments for stable baseline capacity.</w:t>
      </w:r>
    </w:p>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spacing w:after="100" w:before="200" w:lineRule="auto"/>
        <w:rPr/>
      </w:pPr>
      <w:r w:rsidDel="00000000" w:rsidR="00000000" w:rsidRPr="00000000">
        <w:rPr>
          <w:b w:val="1"/>
          <w:bCs w:val="1"/>
          <w:color w:val="4b0082"/>
          <w:sz w:val="24"/>
          <w:szCs w:val="24"/>
          <w:rtl w:val="0"/>
        </w:rPr>
        <w:t xml:space="preserve">Pillar 4 — Operational Excellence</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t xml:space="preserve">Goal: Streamline operations using standards, comprehensive monitoring, and safe deployment practices. This pillar covers the practices that keep a workload running reliably in production over time.</w:t>
      </w:r>
    </w:p>
    <w:p w:rsidR="00000000" w:rsidDel="00000000" w:rsidP="00000000" w:rsidRDefault="00000000" w:rsidRPr="00000000" w14:paraId="00000060">
      <w:pPr>
        <w:spacing w:after="80" w:before="160" w:lineRule="auto"/>
        <w:rPr/>
      </w:pPr>
      <w:r w:rsidDel="00000000" w:rsidR="00000000" w:rsidRPr="00000000">
        <w:rPr>
          <w:b w:val="1"/>
          <w:bCs w:val="1"/>
          <w:color w:val="1f3864"/>
          <w:sz w:val="22"/>
          <w:szCs w:val="22"/>
          <w:rtl w:val="0"/>
        </w:rPr>
        <w:t xml:space="preserve">Core Design Principles (Microsoft Learn, 2026)</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Embrace DevOps culture — automate deployments; reduce manual steps that introduce variance.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Evolve operations with observability — build structured health signals before you need them.</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Deploy with confidence — use safe deployment practices (canary, blue/green, feature flags) to validate before full rollout.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Automate for efficiency — treat operational tasks as code; version and test them.</w:t>
      </w:r>
    </w:p>
    <w:p w:rsidR="00000000" w:rsidDel="00000000" w:rsidP="00000000" w:rsidRDefault="00000000" w:rsidRPr="00000000" w14:paraId="00000065">
      <w:pPr>
        <w:spacing w:after="80" w:before="160" w:lineRule="auto"/>
        <w:rPr/>
      </w:pPr>
      <w:r w:rsidDel="00000000" w:rsidR="00000000" w:rsidRPr="00000000">
        <w:rPr>
          <w:b w:val="1"/>
          <w:bCs w:val="1"/>
          <w:color w:val="1f3864"/>
          <w:sz w:val="22"/>
          <w:szCs w:val="22"/>
          <w:rtl w:val="0"/>
        </w:rPr>
        <w:t xml:space="preserve">Common Failure Signals in Architecture Reviews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runbooks for known failure scenarios — teams respond to incidents without documented procedures.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blameless post-incident review process — the same incidents recur because root causes are not captured and actioned. (Microsoft WAF term: 'blameless postmortem', not 'RCA'.)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Deployments are manual or partially automated — human error in production changes is a leading cause of incidents.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Observability gaps — latency, error rate, and saturation are not tracked per service; only infra-level metrics are monitored.</w:t>
      </w:r>
    </w:p>
    <w:p w:rsidR="00000000" w:rsidDel="00000000" w:rsidP="00000000" w:rsidRDefault="00000000" w:rsidRPr="00000000" w14:paraId="0000006A">
      <w:pPr>
        <w:spacing w:after="80" w:before="160" w:lineRule="auto"/>
        <w:rPr/>
      </w:pPr>
      <w:r w:rsidDel="00000000" w:rsidR="00000000" w:rsidRPr="00000000">
        <w:rPr>
          <w:b w:val="1"/>
          <w:bCs w:val="1"/>
          <w:color w:val="1f3864"/>
          <w:sz w:val="22"/>
          <w:szCs w:val="22"/>
          <w:rtl w:val="0"/>
        </w:rPr>
        <w:t xml:space="preserve">Primary Azure Tools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DevOps / GitHub Actions — CI/CD pipelines with automated gates.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Application Insights — distributed tracing, dependency maps, failure analytics.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Monitor Workbooks — custom dashboards for operational health.</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Automation — scheduled runbook execution and drift remediation.</w:t>
      </w:r>
    </w:p>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spacing w:after="100" w:before="200" w:lineRule="auto"/>
        <w:rPr/>
      </w:pPr>
      <w:r w:rsidDel="00000000" w:rsidR="00000000" w:rsidRPr="00000000">
        <w:rPr>
          <w:b w:val="1"/>
          <w:bCs w:val="1"/>
          <w:color w:val="8b0000"/>
          <w:sz w:val="24"/>
          <w:szCs w:val="24"/>
          <w:rtl w:val="0"/>
        </w:rPr>
        <w:t xml:space="preserve">Pillar 5 — Performance Efficiency</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tl w:val="0"/>
        </w:rPr>
        <w:t xml:space="preserve">Goal: Adjust to changes in workload demand through horizontal scaling, testing early and often, and monitoring the health of the solution. This pillar ensures the workload can meet its performance targets as usage patterns change.</w:t>
      </w:r>
    </w:p>
    <w:p w:rsidR="00000000" w:rsidDel="00000000" w:rsidP="00000000" w:rsidRDefault="00000000" w:rsidRPr="00000000" w14:paraId="00000072">
      <w:pPr>
        <w:spacing w:after="80" w:before="160" w:lineRule="auto"/>
        <w:rPr/>
      </w:pPr>
      <w:r w:rsidDel="00000000" w:rsidR="00000000" w:rsidRPr="00000000">
        <w:rPr>
          <w:b w:val="1"/>
          <w:bCs w:val="1"/>
          <w:color w:val="1f3864"/>
          <w:sz w:val="22"/>
          <w:szCs w:val="22"/>
          <w:rtl w:val="0"/>
        </w:rPr>
        <w:t xml:space="preserve">Core Design Principles (Microsoft Learn, 2026)</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Negotiate performance requirements — define p95/p99 latency targets and throughput baselines before sizing infrastructure.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to meet capacity requirements — choose scaling strategies (horizontal, vertical, partition-based) appropriate to the workload pattern.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Achieve and sustain performance — establish a performance baseline and test against it continuously.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 efficiency through optimisation — identify bottlenecks before adding compute.</w:t>
      </w:r>
    </w:p>
    <w:p w:rsidR="00000000" w:rsidDel="00000000" w:rsidP="00000000" w:rsidRDefault="00000000" w:rsidRPr="00000000" w14:paraId="00000077">
      <w:pPr>
        <w:spacing w:after="80" w:before="160" w:lineRule="auto"/>
        <w:rPr/>
      </w:pPr>
      <w:r w:rsidDel="00000000" w:rsidR="00000000" w:rsidRPr="00000000">
        <w:rPr>
          <w:b w:val="1"/>
          <w:bCs w:val="1"/>
          <w:color w:val="1f3864"/>
          <w:sz w:val="22"/>
          <w:szCs w:val="22"/>
          <w:rtl w:val="0"/>
        </w:rPr>
        <w:t xml:space="preserve">Common Failure Signals in Architecture Reviews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Oversized GPU nodes for batch inference — provisioned for peak training load even when only serving batch requests at off-peak times.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load testing before launch — performance targets are assumed, not verified.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Synchronous chains of microservices under variable load — no back-pressure or queue-based decoupling.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Latency SLAs defined but not monitored — p95 target exists in a document, not in an alert rule.</w:t>
      </w:r>
    </w:p>
    <w:p w:rsidR="00000000" w:rsidDel="00000000" w:rsidP="00000000" w:rsidRDefault="00000000" w:rsidRPr="00000000" w14:paraId="0000007C">
      <w:pPr>
        <w:spacing w:after="80" w:before="160" w:lineRule="auto"/>
        <w:rPr/>
      </w:pPr>
      <w:r w:rsidDel="00000000" w:rsidR="00000000" w:rsidRPr="00000000">
        <w:rPr>
          <w:b w:val="1"/>
          <w:bCs w:val="1"/>
          <w:color w:val="1f3864"/>
          <w:sz w:val="22"/>
          <w:szCs w:val="22"/>
          <w:rtl w:val="0"/>
        </w:rPr>
        <w:t xml:space="preserve">Primary Azure Tools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Load Testing — managed load testing at scale against any HTTP endpoint.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AKS Horizontal Pod Autoscaler (HPA) + KEDA — demand-based scaling for containerised AI inference.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CDN / Azure Front Door — edge caching to reduce latency for customer-facing endpoints.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Monitor metrics and alerts — continuous performance tracking against defined thresholds.</w:t>
      </w:r>
    </w:p>
    <w:p w:rsidR="00000000" w:rsidDel="00000000" w:rsidP="00000000" w:rsidRDefault="00000000" w:rsidRPr="00000000" w14:paraId="00000081">
      <w:pPr>
        <w:pBdr>
          <w:bottom w:color="d9d9d9" w:space="0" w:sz="6" w:val="single"/>
        </w:pBdr>
        <w:spacing w:after="120" w:lineRule="auto"/>
        <w:rPr/>
      </w:pPr>
      <w:r w:rsidDel="00000000" w:rsidR="00000000" w:rsidRPr="00000000">
        <w:rPr>
          <w:rtl w:val="0"/>
        </w:rPr>
      </w:r>
    </w:p>
    <w:p w:rsidR="00000000" w:rsidDel="00000000" w:rsidP="00000000" w:rsidRDefault="00000000" w:rsidRPr="00000000" w14:paraId="00000082">
      <w:pPr>
        <w:pStyle w:val="Heading1"/>
        <w:spacing w:after="120" w:before="280" w:lineRule="auto"/>
        <w:rPr/>
      </w:pPr>
      <w:r w:rsidDel="00000000" w:rsidR="00000000" w:rsidRPr="00000000">
        <w:rPr>
          <w:rtl w:val="0"/>
        </w:rPr>
        <w:t xml:space="preserve">3. How the WAF Review Process Works</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tl w:val="0"/>
        </w:rPr>
        <w:t xml:space="preserve">The Azure Well-Architected Review is a self-assessment tool available at no charge at:</w:t>
      </w:r>
    </w:p>
    <w:p w:rsidR="00000000" w:rsidDel="00000000" w:rsidP="00000000" w:rsidRDefault="00000000" w:rsidRPr="00000000" w14:paraId="00000084">
      <w:pPr>
        <w:spacing w:after="100" w:lineRule="auto"/>
        <w:rPr/>
      </w:pPr>
      <w:r w:rsidDel="00000000" w:rsidR="00000000" w:rsidRPr="00000000">
        <w:rPr>
          <w:color w:val="2e7d7b"/>
          <w:u w:val="single"/>
          <w:rtl w:val="0"/>
        </w:rPr>
        <w:t xml:space="preserve">learn.microsoft.com/en-us/assessments/azure-architecture-review/</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t xml:space="preserve">The Core Well-Architected Review consists of approximately 60 questions aligned to the five pillar checklists. It can optionally pull in Azure Advisor recommendations for a specific subscription or resource group.</w:t>
      </w:r>
    </w:p>
    <w:p w:rsidR="00000000" w:rsidDel="00000000" w:rsidP="00000000" w:rsidRDefault="00000000" w:rsidRPr="00000000" w14:paraId="00000086">
      <w:pPr>
        <w:spacing w:after="80" w:before="160" w:lineRule="auto"/>
        <w:rPr/>
      </w:pPr>
      <w:r w:rsidDel="00000000" w:rsidR="00000000" w:rsidRPr="00000000">
        <w:rPr>
          <w:b w:val="1"/>
          <w:bCs w:val="1"/>
          <w:color w:val="1f3864"/>
          <w:sz w:val="22"/>
          <w:szCs w:val="22"/>
          <w:rtl w:val="0"/>
        </w:rPr>
        <w:t xml:space="preserve">Review Output Structure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Findings per pillar — prioritised list of architectural gaps with supporting rationale.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Remediation recommendations — linked to Azure documentation and best-practice guidance.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Exportable CSV — recommendations can be imported into Azure DevOps or GitHub as work items.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Milestone tracking — repeat assessments can be compared over time to measure improvement.</w:t>
      </w:r>
    </w:p>
    <w:p w:rsidR="00000000" w:rsidDel="00000000" w:rsidP="00000000" w:rsidRDefault="00000000" w:rsidRPr="00000000" w14:paraId="0000008B">
      <w:pPr>
        <w:spacing w:after="80" w:before="160" w:lineRule="auto"/>
        <w:rPr/>
      </w:pPr>
      <w:r w:rsidDel="00000000" w:rsidR="00000000" w:rsidRPr="00000000">
        <w:rPr>
          <w:b w:val="1"/>
          <w:bCs w:val="1"/>
          <w:color w:val="1f3864"/>
          <w:sz w:val="22"/>
          <w:szCs w:val="22"/>
          <w:rtl w:val="0"/>
        </w:rPr>
        <w:t xml:space="preserve">For This Project (Simulated Review)</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t xml:space="preserve">You are conducting a simulated architecture review — not using the live tool — based on scenario evidence provided. Use the five-pillar structure above to organise your findings. Each finding must be tied to specific evidence from the scenario (incident reports, cost snapshot, policy status report).</w:t>
      </w:r>
    </w:p>
    <w:p w:rsidR="00000000" w:rsidDel="00000000" w:rsidP="00000000" w:rsidRDefault="00000000" w:rsidRPr="00000000" w14:paraId="0000008D">
      <w:pPr>
        <w:spacing w:after="100" w:lineRule="auto"/>
        <w:rPr/>
      </w:pPr>
      <w:r w:rsidDel="00000000" w:rsidR="00000000" w:rsidRPr="00000000">
        <w:rPr>
          <w:color w:val="bf8f00"/>
          <w:sz w:val="18"/>
          <w:szCs w:val="18"/>
          <w:rtl w:val="0"/>
        </w:rPr>
        <w:t xml:space="preserve"> Select 'Core Well-Architected Review' when using the live tool — the platform hosts multiple sub-assessments for specific workload types (IoT, SAP, ML). Only the Core review covers all five pillars.</w:t>
      </w:r>
      <w:r w:rsidDel="00000000" w:rsidR="00000000" w:rsidRPr="00000000">
        <w:rPr>
          <w:rtl w:val="0"/>
        </w:rPr>
      </w:r>
    </w:p>
    <w:p w:rsidR="00000000" w:rsidDel="00000000" w:rsidP="00000000" w:rsidRDefault="00000000" w:rsidRPr="00000000" w14:paraId="0000008E">
      <w:pPr>
        <w:pBdr>
          <w:bottom w:color="d9d9d9" w:space="0" w:sz="6" w:val="single"/>
        </w:pBdr>
        <w:spacing w:after="120" w:lineRule="auto"/>
        <w:rPr/>
      </w:pPr>
      <w:r w:rsidDel="00000000" w:rsidR="00000000" w:rsidRPr="00000000">
        <w:rPr>
          <w:rtl w:val="0"/>
        </w:rPr>
      </w:r>
    </w:p>
    <w:p w:rsidR="00000000" w:rsidDel="00000000" w:rsidP="00000000" w:rsidRDefault="00000000" w:rsidRPr="00000000" w14:paraId="0000008F">
      <w:pPr>
        <w:pStyle w:val="Heading1"/>
        <w:spacing w:after="120" w:before="280" w:lineRule="auto"/>
        <w:rPr/>
      </w:pPr>
      <w:r w:rsidDel="00000000" w:rsidR="00000000" w:rsidRPr="00000000">
        <w:rPr>
          <w:rtl w:val="0"/>
        </w:rPr>
        <w:t xml:space="preserve">4. Severity, Confidence, and Effort Bands</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tl w:val="0"/>
        </w:rPr>
        <w:t xml:space="preserve">Use the following definitions consistently across all five WAF pillar findings and your prioritised remediation roadmap.</w:t>
      </w:r>
    </w:p>
    <w:p w:rsidR="00000000" w:rsidDel="00000000" w:rsidP="00000000" w:rsidRDefault="00000000" w:rsidRPr="00000000" w14:paraId="00000091">
      <w:pPr>
        <w:spacing w:after="80" w:before="160" w:lineRule="auto"/>
        <w:rPr/>
      </w:pPr>
      <w:r w:rsidDel="00000000" w:rsidR="00000000" w:rsidRPr="00000000">
        <w:rPr>
          <w:b w:val="1"/>
          <w:bCs w:val="1"/>
          <w:color w:val="1f3864"/>
          <w:sz w:val="22"/>
          <w:szCs w:val="22"/>
          <w:rtl w:val="0"/>
        </w:rPr>
        <w:t xml:space="preserve">Severity (impact if not fixed)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High — directly threatens launch readiness, regulatory compliance, or customer-facing availability.</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Medium — creates operational risk or cost exposure; manageable short-term but must be addressed before scale.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Low — best-practice gap with limited immediate consequence; acceptable to defer with documented rationale.</w:t>
      </w:r>
    </w:p>
    <w:p w:rsidR="00000000" w:rsidDel="00000000" w:rsidP="00000000" w:rsidRDefault="00000000" w:rsidRPr="00000000" w14:paraId="00000095">
      <w:pPr>
        <w:spacing w:after="80" w:before="160" w:lineRule="auto"/>
        <w:rPr/>
      </w:pPr>
      <w:r w:rsidDel="00000000" w:rsidR="00000000" w:rsidRPr="00000000">
        <w:rPr>
          <w:b w:val="1"/>
          <w:bCs w:val="1"/>
          <w:color w:val="1f3864"/>
          <w:sz w:val="22"/>
          <w:szCs w:val="22"/>
          <w:rtl w:val="0"/>
        </w:rPr>
        <w:t xml:space="preserve">Confidence (quality of evidence)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High — supported by specific evidence in the scenario (incident timeline, cost figure, policy document).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Medium — inferred from partial evidence or architectural pattern; stated assumption.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Low — reasonable professional judgment with no direct scenario evidence; flagged as assumption.</w:t>
      </w:r>
    </w:p>
    <w:p w:rsidR="00000000" w:rsidDel="00000000" w:rsidP="00000000" w:rsidRDefault="00000000" w:rsidRPr="00000000" w14:paraId="00000099">
      <w:pPr>
        <w:spacing w:after="80" w:before="160" w:lineRule="auto"/>
        <w:rPr/>
      </w:pPr>
      <w:r w:rsidDel="00000000" w:rsidR="00000000" w:rsidRPr="00000000">
        <w:rPr>
          <w:b w:val="1"/>
          <w:bCs w:val="1"/>
          <w:color w:val="1f3864"/>
          <w:sz w:val="22"/>
          <w:szCs w:val="22"/>
          <w:rtl w:val="0"/>
        </w:rPr>
        <w:t xml:space="preserve">Effort Bands (course-defined — not Microsoft WAF categories)</w:t>
      </w:r>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color w:val="bf8f00"/>
          <w:sz w:val="18"/>
          <w:szCs w:val="18"/>
          <w:rtl w:val="0"/>
        </w:rPr>
        <w:t xml:space="preserve">Azure Advisor uses High/Medium/Low impact labels, not time-based effort bands. The three bands below are defined for this course to support prioritisation decisions. In a real WAF engagement, effort estimates are team-specific and should be agreed with the platform owner.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e7145" w:val="clear"/>
            <w:tcMar>
              <w:top w:w="80.0" w:type="dxa"/>
              <w:left w:w="80.0" w:type="dxa"/>
              <w:bottom w:w="80.0" w:type="dxa"/>
              <w:right w:w="80.0" w:type="dxa"/>
            </w:tcMar>
          </w:tcPr>
          <w:p w:rsidR="00000000" w:rsidDel="00000000" w:rsidP="00000000" w:rsidRDefault="00000000" w:rsidRPr="00000000" w14:paraId="0000009B">
            <w:pPr>
              <w:jc w:val="center"/>
              <w:rPr/>
            </w:pPr>
            <w:r w:rsidDel="00000000" w:rsidR="00000000" w:rsidRPr="00000000">
              <w:rPr>
                <w:b w:val="1"/>
                <w:bCs w:val="1"/>
                <w:color w:val="ffffff"/>
                <w:sz w:val="18"/>
                <w:szCs w:val="18"/>
                <w:rtl w:val="0"/>
              </w:rPr>
              <w:t xml:space="preserve">Quick Win</w:t>
            </w:r>
            <w:r w:rsidDel="00000000" w:rsidR="00000000" w:rsidRPr="00000000">
              <w:rPr>
                <w:rtl w:val="0"/>
              </w:rPr>
            </w:r>
          </w:p>
        </w:tc>
        <w:tc>
          <w:tcPr>
            <w:shd w:fill="7b6000" w:val="clear"/>
            <w:tcMar>
              <w:top w:w="80.0" w:type="dxa"/>
              <w:left w:w="80.0" w:type="dxa"/>
              <w:bottom w:w="80.0" w:type="dxa"/>
              <w:right w:w="80.0" w:type="dxa"/>
            </w:tcMar>
          </w:tcPr>
          <w:p w:rsidR="00000000" w:rsidDel="00000000" w:rsidP="00000000" w:rsidRDefault="00000000" w:rsidRPr="00000000" w14:paraId="0000009C">
            <w:pPr>
              <w:jc w:val="center"/>
              <w:rPr/>
            </w:pPr>
            <w:r w:rsidDel="00000000" w:rsidR="00000000" w:rsidRPr="00000000">
              <w:rPr>
                <w:b w:val="1"/>
                <w:bCs w:val="1"/>
                <w:color w:val="ffffff"/>
                <w:sz w:val="18"/>
                <w:szCs w:val="18"/>
                <w:rtl w:val="0"/>
              </w:rPr>
              <w:t xml:space="preserve">Moderate</w:t>
            </w:r>
            <w:r w:rsidDel="00000000" w:rsidR="00000000" w:rsidRPr="00000000">
              <w:rPr>
                <w:rtl w:val="0"/>
              </w:rPr>
            </w:r>
          </w:p>
        </w:tc>
        <w:tc>
          <w:tcPr>
            <w:shd w:fill="8b1a1a" w:val="clear"/>
            <w:tcMar>
              <w:top w:w="80.0" w:type="dxa"/>
              <w:left w:w="80.0" w:type="dxa"/>
              <w:bottom w:w="80.0" w:type="dxa"/>
              <w:right w:w="80.0" w:type="dxa"/>
            </w:tcMar>
          </w:tcPr>
          <w:p w:rsidR="00000000" w:rsidDel="00000000" w:rsidP="00000000" w:rsidRDefault="00000000" w:rsidRPr="00000000" w14:paraId="0000009D">
            <w:pPr>
              <w:jc w:val="center"/>
              <w:rPr/>
            </w:pPr>
            <w:r w:rsidDel="00000000" w:rsidR="00000000" w:rsidRPr="00000000">
              <w:rPr>
                <w:b w:val="1"/>
                <w:bCs w:val="1"/>
                <w:color w:val="ffffff"/>
                <w:sz w:val="18"/>
                <w:szCs w:val="18"/>
                <w:rtl w:val="0"/>
              </w:rPr>
              <w:t xml:space="preserve">Significant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E">
            <w:pPr>
              <w:jc w:val="center"/>
              <w:rPr/>
            </w:pPr>
            <w:r w:rsidDel="00000000" w:rsidR="00000000" w:rsidRPr="00000000">
              <w:rPr>
                <w:sz w:val="18"/>
                <w:szCs w:val="18"/>
                <w:rtl w:val="0"/>
              </w:rPr>
              <w:t xml:space="preserve">&lt; 2 days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F">
            <w:pPr>
              <w:jc w:val="center"/>
              <w:rPr/>
            </w:pPr>
            <w:r w:rsidDel="00000000" w:rsidR="00000000" w:rsidRPr="00000000">
              <w:rPr>
                <w:sz w:val="18"/>
                <w:szCs w:val="18"/>
                <w:rtl w:val="0"/>
              </w:rPr>
              <w:t xml:space="preserve">1 – 2 weeks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0">
            <w:pPr>
              <w:jc w:val="center"/>
              <w:rPr/>
            </w:pPr>
            <w:r w:rsidDel="00000000" w:rsidR="00000000" w:rsidRPr="00000000">
              <w:rPr>
                <w:sz w:val="18"/>
                <w:szCs w:val="18"/>
                <w:rtl w:val="0"/>
              </w:rPr>
              <w:t xml:space="preserve">&gt; 2 weeks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1">
            <w:pPr>
              <w:jc w:val="center"/>
              <w:rPr/>
            </w:pPr>
            <w:r w:rsidDel="00000000" w:rsidR="00000000" w:rsidRPr="00000000">
              <w:rPr>
                <w:sz w:val="18"/>
                <w:szCs w:val="18"/>
                <w:rtl w:val="0"/>
              </w:rPr>
              <w:t xml:space="preserve">Low complexity; single team; no downtime risk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2">
            <w:pPr>
              <w:jc w:val="center"/>
              <w:rPr/>
            </w:pPr>
            <w:r w:rsidDel="00000000" w:rsidR="00000000" w:rsidRPr="00000000">
              <w:rPr>
                <w:sz w:val="18"/>
                <w:szCs w:val="18"/>
                <w:rtl w:val="0"/>
              </w:rPr>
              <w:t xml:space="preserve">Cross-team coordination; testing required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3">
            <w:pPr>
              <w:jc w:val="center"/>
              <w:rPr/>
            </w:pPr>
            <w:r w:rsidDel="00000000" w:rsidR="00000000" w:rsidRPr="00000000">
              <w:rPr>
                <w:sz w:val="18"/>
                <w:szCs w:val="18"/>
                <w:rtl w:val="0"/>
              </w:rPr>
              <w:t xml:space="preserve">Architecture change; requires release planning</w:t>
            </w:r>
            <w:r w:rsidDel="00000000" w:rsidR="00000000" w:rsidRPr="00000000">
              <w:rPr>
                <w:rtl w:val="0"/>
              </w:rPr>
            </w:r>
          </w:p>
        </w:tc>
      </w:tr>
    </w:tbl>
    <w:p w:rsidR="00000000" w:rsidDel="00000000" w:rsidP="00000000" w:rsidRDefault="00000000" w:rsidRPr="00000000" w14:paraId="000000A4">
      <w:pPr>
        <w:pBdr>
          <w:bottom w:color="d9d9d9" w:space="0" w:sz="6" w:val="single"/>
        </w:pBdr>
        <w:spacing w:after="120" w:lineRule="auto"/>
        <w:rPr/>
      </w:pPr>
      <w:r w:rsidDel="00000000" w:rsidR="00000000" w:rsidRPr="00000000">
        <w:rPr>
          <w:rtl w:val="0"/>
        </w:rPr>
      </w:r>
    </w:p>
    <w:p w:rsidR="00000000" w:rsidDel="00000000" w:rsidP="00000000" w:rsidRDefault="00000000" w:rsidRPr="00000000" w14:paraId="000000A5">
      <w:pPr>
        <w:pStyle w:val="Heading1"/>
        <w:spacing w:after="120" w:before="280" w:lineRule="auto"/>
        <w:rPr/>
      </w:pPr>
      <w:r w:rsidDel="00000000" w:rsidR="00000000" w:rsidRPr="00000000">
        <w:rPr>
          <w:rtl w:val="0"/>
        </w:rPr>
        <w:t xml:space="preserve">5. WAF Scope in a Multicloud Scenario</w:t>
      </w:r>
      <w:r w:rsidDel="00000000" w:rsidR="00000000" w:rsidRPr="00000000">
        <w:rPr>
          <w:b w:val="1"/>
          <w:bCs w:val="1"/>
          <w:color w:val="1f3864"/>
          <w:sz w:val="28"/>
          <w:szCs w:val="28"/>
          <w:rtl w:val="0"/>
        </w:rPr>
        <w:t xml:space="preserve">5. WAF Scope in a Multicloud Scenario</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t xml:space="preserve">The Azure Well-Architected Framework documentation states explicitly: 'This guidance is centered on Azure.' For the project scenario (Azure primary + AWS DR + edge inference nodes), the following applies:</w:t>
      </w:r>
    </w:p>
    <w:p w:rsidR="00000000" w:rsidDel="00000000" w:rsidP="00000000" w:rsidRDefault="00000000" w:rsidRPr="00000000" w14:paraId="000000A7">
      <w:pPr>
        <w:spacing w:after="80" w:lineRule="auto"/>
        <w:rPr/>
      </w:pPr>
      <w:r w:rsidDel="00000000" w:rsidR="00000000" w:rsidRPr="00000000">
        <w:rPr>
          <w:b w:val="1"/>
          <w:bCs w:val="1"/>
          <w:rtl w:val="0"/>
        </w:rPr>
        <w:t xml:space="preserve">Azure-hosted components</w:t>
      </w:r>
      <w:r w:rsidDel="00000000" w:rsidR="00000000" w:rsidRPr="00000000">
        <w:rPr>
          <w:rtl w:val="0"/>
        </w:rPr>
        <w:t xml:space="preserve"> — apply WAF principles with full authority. All five pillars, all checklist items, and all Azure tool recommendations apply directly.</w:t>
      </w:r>
    </w:p>
    <w:p w:rsidR="00000000" w:rsidDel="00000000" w:rsidP="00000000" w:rsidRDefault="00000000" w:rsidRPr="00000000" w14:paraId="000000A8">
      <w:pPr>
        <w:spacing w:after="80" w:lineRule="auto"/>
        <w:rPr/>
      </w:pPr>
      <w:r w:rsidDel="00000000" w:rsidR="00000000" w:rsidRPr="00000000">
        <w:rPr>
          <w:b w:val="1"/>
          <w:bCs w:val="1"/>
          <w:rtl w:val="0"/>
        </w:rPr>
        <w:t xml:space="preserve">AWS DR environment</w:t>
      </w:r>
      <w:r w:rsidDel="00000000" w:rsidR="00000000" w:rsidRPr="00000000">
        <w:rPr>
          <w:rtl w:val="0"/>
        </w:rPr>
        <w:t xml:space="preserve"> — apply WAF principles as an analytical lens for this project. In a real engagement, AWS components would be assessed separately using the AWS Well-Architected Framework. Note any AWS-specific finding as 'principle applies; AWS-native tooling differs.'</w:t>
      </w:r>
    </w:p>
    <w:p w:rsidR="00000000" w:rsidDel="00000000" w:rsidP="00000000" w:rsidRDefault="00000000" w:rsidRPr="00000000" w14:paraId="000000A9">
      <w:pPr>
        <w:spacing w:after="80" w:lineRule="auto"/>
        <w:rPr/>
      </w:pPr>
      <w:r w:rsidDel="00000000" w:rsidR="00000000" w:rsidRPr="00000000">
        <w:rPr>
          <w:b w:val="1"/>
          <w:bCs w:val="1"/>
          <w:rtl w:val="0"/>
        </w:rPr>
        <w:t xml:space="preserve">Edge inference nodes</w:t>
      </w:r>
      <w:r w:rsidDel="00000000" w:rsidR="00000000" w:rsidRPr="00000000">
        <w:rPr>
          <w:rtl w:val="0"/>
        </w:rPr>
        <w:t xml:space="preserve"> — apply Reliability (latency, failure isolation) and Performance Efficiency pillars. Operational Excellence applies where edge nodes are managed via Azure Arc-enabled services.</w:t>
      </w:r>
    </w:p>
    <w:p w:rsidR="00000000" w:rsidDel="00000000" w:rsidP="00000000" w:rsidRDefault="00000000" w:rsidRPr="00000000" w14:paraId="000000AA">
      <w:pPr>
        <w:spacing w:after="100" w:lineRule="auto"/>
        <w:rPr/>
      </w:pPr>
      <w:r w:rsidDel="00000000" w:rsidR="00000000" w:rsidRPr="00000000">
        <w:rPr>
          <w:color w:val="bf8f00"/>
          <w:sz w:val="18"/>
          <w:szCs w:val="18"/>
          <w:rtl w:val="0"/>
        </w:rPr>
        <w:t xml:space="preserve"> Microsoft's recommended approach for unified multicloud governance is Azure Arc. By onboarding AWS EC2 and edge nodes into Azure Resource Manager via Azure Arc, organisations can enforce Azure Policy, Azure Monitor, and Microsoft Defender for Cloud across non-Azure environments. Flagging 'no Azure Arc enrollment' under Operational Excellence is a valid and current finding for this scenario. Source: learn.microsoft.com/en-us/azure/cloud-adoption-framework/scenarios/hybrid (updated July 2026).</w:t>
      </w:r>
      <w:r w:rsidDel="00000000" w:rsidR="00000000" w:rsidRPr="00000000">
        <w:rPr>
          <w:rtl w:val="0"/>
        </w:rPr>
      </w:r>
    </w:p>
    <w:p w:rsidR="00000000" w:rsidDel="00000000" w:rsidP="00000000" w:rsidRDefault="00000000" w:rsidRPr="00000000" w14:paraId="000000AB">
      <w:pPr>
        <w:pStyle w:val="Heading1"/>
        <w:spacing w:after="120" w:before="280" w:lineRule="auto"/>
        <w:rPr/>
      </w:pPr>
      <w:r w:rsidDel="00000000" w:rsidR="00000000" w:rsidRPr="00000000">
        <w:rPr>
          <w:rtl w:val="0"/>
        </w:rPr>
        <w:t xml:space="preserve">6. Quick-Reference — Scenario Evidence Map</w:t>
      </w:r>
      <w:r w:rsidDel="00000000" w:rsidR="00000000" w:rsidRPr="00000000">
        <w:rPr>
          <w:b w:val="1"/>
          <w:bCs w:val="1"/>
          <w:color w:val="1f3864"/>
          <w:sz w:val="28"/>
          <w:szCs w:val="28"/>
          <w:rtl w:val="0"/>
        </w:rPr>
        <w:t xml:space="preserve">6. Quick-Reference — Scenario Evidence Map</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tl w:val="0"/>
        </w:rPr>
        <w:t xml:space="preserve">Use this table to map the three pieces of scenario evidence to the most relevant WAF pillars. Each evidence item should inform at least one pillar finding.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160"/>
        <w:gridCol w:w="4320"/>
        <w:tblGridChange w:id="0">
          <w:tblGrid>
            <w:gridCol w:w="2880"/>
            <w:gridCol w:w="2160"/>
            <w:gridCol w:w="432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1"/>
                <w:bCs w:val="1"/>
                <w:color w:val="ffffff"/>
                <w:sz w:val="18"/>
                <w:szCs w:val="18"/>
                <w:rtl w:val="0"/>
              </w:rPr>
              <w:t xml:space="preserve">Scenario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color w:val="ffffff"/>
                <w:sz w:val="18"/>
                <w:szCs w:val="18"/>
                <w:rtl w:val="0"/>
              </w:rPr>
              <w:t xml:space="preserve">Primary Pillar(s)</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1"/>
                <w:bCs w:val="1"/>
                <w:color w:val="ffffff"/>
                <w:sz w:val="18"/>
                <w:szCs w:val="18"/>
                <w:rtl w:val="0"/>
              </w:rPr>
              <w:t xml:space="preserve">Example Finding Direction</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sz w:val="18"/>
                <w:szCs w:val="18"/>
                <w:rtl w:val="0"/>
              </w:rPr>
              <w:t xml:space="preserve">Three pilot outages (partial root-cause notes)</w:t>
            </w:r>
            <w:r w:rsidDel="00000000" w:rsidR="00000000" w:rsidRPr="00000000">
              <w:rPr>
                <w:rtl w:val="0"/>
              </w:rPr>
            </w:r>
          </w:p>
        </w:tc>
        <w:tc>
          <w:tcPr>
            <w:shd w:fill="f2f2f2"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sz w:val="18"/>
                <w:szCs w:val="18"/>
                <w:rtl w:val="0"/>
              </w:rPr>
              <w:t xml:space="preserve">Reliability, Operational Excellence</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sz w:val="18"/>
                <w:szCs w:val="18"/>
                <w:rtl w:val="0"/>
              </w:rPr>
              <w:t xml:space="preserve">Single-region stateful dependency, missing runbooks or blameless postmortem process</w:t>
            </w:r>
            <w:r w:rsidDel="00000000" w:rsidR="00000000" w:rsidRPr="00000000">
              <w:rPr>
                <w:rtl w:val="0"/>
              </w:rPr>
            </w:r>
          </w:p>
        </w:tc>
      </w:tr>
      <w:tr>
        <w:trPr>
          <w:cantSplit w:val="0"/>
          <w:tblHeader w:val="0"/>
        </w:trPr>
        <w:tc>
          <w:tcPr>
            <w:shd w:fill="f2f2f2"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sz w:val="18"/>
                <w:szCs w:val="18"/>
                <w:rtl w:val="0"/>
              </w:rPr>
              <w:t xml:space="preserve">GPU cost overrun ~40% vs budget</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sz w:val="18"/>
                <w:szCs w:val="18"/>
                <w:rtl w:val="0"/>
              </w:rPr>
              <w:t xml:space="preserve">Cost Optimization, Performance Efficiency</w:t>
            </w:r>
            <w:r w:rsidDel="00000000" w:rsidR="00000000" w:rsidRPr="00000000">
              <w:rPr>
                <w:rtl w:val="0"/>
              </w:rPr>
            </w:r>
          </w:p>
        </w:tc>
        <w:tc>
          <w:tcPr>
            <w:shd w:fill="f2f2f2"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sz w:val="18"/>
                <w:szCs w:val="18"/>
                <w:rtl w:val="0"/>
              </w:rPr>
              <w:t xml:space="preserve">GPU instances running 24/7 without autoscaling or scheduling; oversized class for inference task</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sz w:val="18"/>
                <w:szCs w:val="18"/>
                <w:rtl w:val="0"/>
              </w:rPr>
              <w:t xml:space="preserve">Policy and configuration status report (gaps identified)</w:t>
            </w:r>
            <w:r w:rsidDel="00000000" w:rsidR="00000000" w:rsidRPr="00000000">
              <w:rPr>
                <w:rtl w:val="0"/>
              </w:rPr>
            </w:r>
          </w:p>
        </w:tc>
        <w:tc>
          <w:tcPr>
            <w:shd w:fill="f2f2f2"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sz w:val="18"/>
                <w:szCs w:val="18"/>
                <w:rtl w:val="0"/>
              </w:rPr>
              <w:t xml:space="preserve">Security, Operational Excellence</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sz w:val="18"/>
                <w:szCs w:val="18"/>
                <w:rtl w:val="0"/>
              </w:rPr>
              <w:t xml:space="preserve">Missing encryption or network segmentation config; no Azure Policy enforcement; PCI DSS / SOC 2 gap</w:t>
            </w:r>
            <w:r w:rsidDel="00000000" w:rsidR="00000000" w:rsidRPr="00000000">
              <w:rPr>
                <w:rtl w:val="0"/>
              </w:rPr>
            </w:r>
          </w:p>
        </w:tc>
      </w:tr>
    </w:tbl>
    <w:p w:rsidR="00000000" w:rsidDel="00000000" w:rsidP="00000000" w:rsidRDefault="00000000" w:rsidRPr="00000000" w14:paraId="000000B9">
      <w:pPr>
        <w:pBdr>
          <w:bottom w:color="d9d9d9" w:space="0" w:sz="6" w:val="single"/>
        </w:pBdr>
        <w:spacing w:after="120" w:lineRule="auto"/>
        <w:rPr/>
      </w:pP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b w:val="1"/>
          <w:bCs w:val="1"/>
          <w:color w:val="1f3864"/>
          <w:sz w:val="18"/>
          <w:szCs w:val="18"/>
          <w:rtl w:val="0"/>
        </w:rPr>
        <w:t xml:space="preserve">Source and Currency</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color w:val="666666"/>
          <w:sz w:val="17"/>
          <w:szCs w:val="17"/>
          <w:rtl w:val="0"/>
        </w:rPr>
        <w:t xml:space="preserve">All framework content is sourced from Microsoft Learn (learn.microsoft.com/en-us/azure/well-architected/) and the Azure Architecture Center. Content reflects the 5-pillar WAF structure current as of 2026. Microsoft restructured the WAF to its current five pillars in 2023; the prior version contained additional pillars that have since been retired or folded into the five current pillars.</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color w:val="666666"/>
          <w:sz w:val="17"/>
          <w:szCs w:val="17"/>
          <w:rtl w:val="0"/>
        </w:rPr>
        <w:t xml:space="preserve">This document is a course reference summary. It does not replace the full Microsoft Learn documentation, which should be consulted for complete guidance and the most current tool configurations.</w:t>
      </w:r>
      <w:r w:rsidDel="00000000" w:rsidR="00000000" w:rsidRPr="00000000">
        <w:rPr>
          <w:rtl w:val="0"/>
        </w:rPr>
      </w:r>
    </w:p>
    <w:sectPr>
      <w:pgSz w:h="15840" w:w="12240" w:orient="portrait"/>
      <w:pgMar w:bottom="1440" w:top="109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j2ZeNXRyn+mw2c9a22r+iqKWg==">CgMxLjA4AHIhMVNjTlFzZ2JDX0MxekZFU0FsMi1hVFJHLUcxRkZMVTBF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