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rFonts w:ascii="Century Gothic" w:cs="Century Gothic" w:eastAsia="Century Gothic" w:hAnsi="Century Gothic"/>
          <w:sz w:val="44"/>
          <w:szCs w:val="44"/>
        </w:rPr>
      </w:pPr>
      <w:r>
        <w:rPr>
          <w:b/>
          <w:color w:val="1F3864"/>
          <w:sz w:val="44"/>
        </w:rPr>
        <w:t>ARCHITECTURE REVIEW BRIEF</w:t>
      </w:r>
    </w:p>
    <w:p w:rsidR="00000000" w:rsidDel="00000000" w:rsidP="00000000" w:rsidRDefault="00000000" w:rsidRPr="00000000" w14:paraId="00000002">
      <w:pPr>
        <w:spacing w:after="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d6e6e"/>
          <w:sz w:val="24"/>
          <w:szCs w:val="24"/>
          <w:rtl w:val="0"/>
        </w:rPr>
        <w:t xml:space="preserve">Azure Well-Architected Framework | Pre-Launch Multicloud AI Review</w:t>
      </w:r>
      <w:r w:rsidDel="00000000" w:rsidR="00000000" w:rsidRPr="00000000">
        <w:rPr>
          <w:rtl w:val="0"/>
        </w:rPr>
      </w:r>
    </w:p>
    <w:p w:rsidR="00000000" w:rsidDel="00000000" w:rsidP="00000000" w:rsidRDefault="00000000" w:rsidRPr="00000000" w14:paraId="00000003">
      <w:pPr>
        <w:pBdr>
          <w:bottom w:color="1f3864" w:space="4" w:sz="6" w:val="single"/>
        </w:pBdr>
        <w:spacing w:after="0" w:lineRule="exact" w:before="0" w:line="100"/>
        <w:rPr>
          <w:rFonts w:ascii="Century Gothic" w:cs="Century Gothic" w:eastAsia="Century Gothic" w:hAnsi="Century Gothic"/>
          <w:sz w:val="20"/>
          <w:szCs w:val="20"/>
        </w:rPr>
      </w:pPr>
      <w:r w:rsidDel="00000000" w:rsidR="00000000" w:rsidRPr="00000000">
        <w:rPr>
          <w:rtl w:val="0"/>
          <w:sz w:val="8"/>
        </w:rPr>
      </w:r>
    </w:p>
    <w:p w:rsidR="00000000" w:rsidDel="00000000" w:rsidP="00000000" w:rsidRDefault="00000000" w:rsidRPr="00000000" w14:paraId="00000004">
      <w:pPr>
        <w:spacing w:after="60" w:lineRule="auto"/>
        <w:rPr>
          <w:rFonts w:ascii="Century Gothic" w:cs="Century Gothic" w:eastAsia="Century Gothic" w:hAnsi="Century Gothic"/>
          <w:sz w:val="20"/>
          <w:szCs w:val="20"/>
        </w:rPr>
      </w:pPr>
      <w:r>
        <w:rPr>
          <w:b/>
          <w:color w:val="000000"/>
          <w:sz w:val="20"/>
        </w:rPr>
        <w:br/>
        <w:t xml:space="preserve">Prepared by: </w:t>
      </w:r>
      <w:r>
        <w:rPr>
          <w:color w:val="7030A0"/>
          <w:sz w:val="20"/>
        </w:rPr>
        <w:t>[Your Full Name]</w:t>
      </w:r>
    </w:p>
    <w:p w:rsidR="00000000" w:rsidDel="00000000" w:rsidP="00000000" w:rsidRDefault="00000000" w:rsidRPr="00000000" w14:paraId="00000005">
      <w:pPr>
        <w:spacing w:after="60" w:lineRule="auto"/>
        <w:rPr>
          <w:rFonts w:ascii="Century Gothic" w:cs="Century Gothic" w:eastAsia="Century Gothic" w:hAnsi="Century Gothic"/>
          <w:sz w:val="20"/>
          <w:szCs w:val="20"/>
        </w:rPr>
      </w:pPr>
      <w:r>
        <w:rPr>
          <w:b/>
          <w:color w:val="000000"/>
          <w:sz w:val="20"/>
        </w:rPr>
        <w:t xml:space="preserve">Date: </w:t>
      </w:r>
      <w:r>
        <w:rPr>
          <w:color w:val="000000"/>
          <w:sz w:val="20"/>
        </w:rPr>
        <w:t>10 October 2026 (evidence as of 20 April 2026 policy report)</w:t>
      </w:r>
    </w:p>
    <w:p w:rsidR="00000000" w:rsidDel="00000000" w:rsidP="00000000" w:rsidRDefault="00000000" w:rsidRPr="00000000" w14:paraId="00000006">
      <w:pPr>
        <w:spacing w:after="60" w:lineRule="auto"/>
        <w:rPr>
          <w:rFonts w:ascii="Century Gothic" w:cs="Century Gothic" w:eastAsia="Century Gothic" w:hAnsi="Century Gothic"/>
          <w:sz w:val="20"/>
          <w:szCs w:val="20"/>
        </w:rPr>
      </w:pPr>
      <w:r>
        <w:rPr>
          <w:b/>
          <w:color w:val="000000"/>
          <w:sz w:val="20"/>
        </w:rPr>
        <w:t xml:space="preserve">Organization: </w:t>
      </w:r>
      <w:r>
        <w:rPr>
          <w:color w:val="000000"/>
          <w:sz w:val="20"/>
        </w:rPr>
        <w:t>National Retail Corp (Scenario)</w:t>
      </w:r>
    </w:p>
    <w:p w:rsidR="00000000" w:rsidDel="00000000" w:rsidP="00000000" w:rsidRDefault="00000000" w:rsidRPr="00000000" w14:paraId="00000007">
      <w:pPr>
        <w:spacing w:after="60" w:lineRule="auto"/>
        <w:rPr>
          <w:rFonts w:ascii="Century Gothic" w:cs="Century Gothic" w:eastAsia="Century Gothic" w:hAnsi="Century Gothic"/>
          <w:sz w:val="20"/>
          <w:szCs w:val="20"/>
        </w:rPr>
      </w:pPr>
      <w:r>
        <w:rPr>
          <w:b/>
          <w:color w:val="000000"/>
          <w:sz w:val="20"/>
        </w:rPr>
        <w:t xml:space="preserve">System under review: </w:t>
      </w:r>
      <w:r>
        <w:rPr>
          <w:color w:val="000000"/>
          <w:sz w:val="20"/>
        </w:rPr>
        <w:t>Multicloud AI Fraud Detection Platform (FraudScore-API, FraudScore-Inference, edge inference nodes)</w:t>
      </w:r>
    </w:p>
    <w:p w:rsidR="00000000" w:rsidDel="00000000" w:rsidP="00000000" w:rsidRDefault="00000000" w:rsidRPr="00000000" w14:paraId="00000008">
      <w:pPr>
        <w:spacing w:after="60" w:lineRule="auto"/>
        <w:rPr>
          <w:rFonts w:ascii="Century Gothic" w:cs="Century Gothic" w:eastAsia="Century Gothic" w:hAnsi="Century Gothic"/>
          <w:sz w:val="20"/>
          <w:szCs w:val="20"/>
        </w:rPr>
      </w:pPr>
      <w:r>
        <w:rPr>
          <w:b/>
          <w:color w:val="000000"/>
          <w:sz w:val="20"/>
        </w:rPr>
        <w:t xml:space="preserve">Review scope: </w:t>
      </w:r>
      <w:r>
        <w:rPr>
          <w:color w:val="000000"/>
          <w:sz w:val="20"/>
        </w:rPr>
        <w:t>Pre-launch WAF assessment ➔ all 5 pillars; evidence = Scenario_Data_Package (3 pilot incident reports, Q1 2026 GPU cost snapshot, policy/configuration status)</w:t>
      </w:r>
    </w:p>
    <w:p w:rsidR="00000000" w:rsidDel="00000000" w:rsidP="00000000" w:rsidRDefault="00000000" w:rsidRPr="00000000" w14:paraId="00000009">
      <w:pPr>
        <w:spacing w:after="60" w:lineRule="auto"/>
        <w:rPr>
          <w:rFonts w:ascii="Century Gothic" w:cs="Century Gothic" w:eastAsia="Century Gothic" w:hAnsi="Century Gothic"/>
          <w:sz w:val="20"/>
          <w:szCs w:val="20"/>
        </w:rPr>
      </w:pPr>
      <w:r>
        <w:rPr>
          <w:b/>
          <w:color w:val="000000"/>
          <w:sz w:val="20"/>
        </w:rPr>
        <w:t xml:space="preserve">Primary cloud: </w:t>
      </w:r>
      <w:r>
        <w:rPr>
          <w:color w:val="000000"/>
          <w:sz w:val="20"/>
        </w:rPr>
        <w:t>Azure (East US 2)</w:t>
      </w:r>
    </w:p>
    <w:p w:rsidR="00000000" w:rsidDel="00000000" w:rsidP="00000000" w:rsidRDefault="00000000" w:rsidRPr="00000000" w14:paraId="0000000A">
      <w:pPr>
        <w:spacing w:after="60" w:lineRule="auto"/>
        <w:rPr>
          <w:rFonts w:ascii="Century Gothic" w:cs="Century Gothic" w:eastAsia="Century Gothic" w:hAnsi="Century Gothic"/>
          <w:sz w:val="20"/>
          <w:szCs w:val="20"/>
        </w:rPr>
      </w:pPr>
      <w:r>
        <w:rPr>
          <w:b/>
          <w:color w:val="000000"/>
          <w:sz w:val="20"/>
        </w:rPr>
        <w:t xml:space="preserve">Disaster Recovery environment: </w:t>
      </w:r>
      <w:r>
        <w:rPr>
          <w:color w:val="000000"/>
          <w:sz w:val="20"/>
        </w:rPr>
        <w:t>Amazon Web Services (AWS) ap-southeast-1, Singapore, per Policy_Configuration_Status (Legal sign-off on this region pending; the template header listed us-east-1)</w:t>
      </w:r>
    </w:p>
    <w:p w:rsidR="00000000" w:rsidDel="00000000" w:rsidP="00000000" w:rsidRDefault="00000000" w:rsidRPr="00000000" w14:paraId="0000000B">
      <w:pPr>
        <w:spacing w:after="60" w:lineRule="auto"/>
        <w:rPr>
          <w:rFonts w:ascii="Century Gothic" w:cs="Century Gothic" w:eastAsia="Century Gothic" w:hAnsi="Century Gothic"/>
          <w:sz w:val="20"/>
          <w:szCs w:val="20"/>
        </w:rPr>
      </w:pPr>
      <w:r>
        <w:rPr>
          <w:b/>
          <w:color w:val="000000"/>
          <w:sz w:val="20"/>
        </w:rPr>
        <w:t xml:space="preserve">Edge: </w:t>
      </w:r>
      <w:r>
        <w:rPr>
          <w:color w:val="000000"/>
          <w:sz w:val="20"/>
        </w:rPr>
        <w:t>Three inference nodes — Denver CO, Atlanta GA, Phoenix AZ</w:t>
      </w:r>
    </w:p>
    <w:p w:rsidR="00000000" w:rsidDel="00000000" w:rsidP="00000000" w:rsidRDefault="00000000" w:rsidRPr="00000000" w14:paraId="0000000C">
      <w:pPr>
        <w:spacing w:after="0" w:before="0" w:line="100" w:lineRule="exact"/>
        <w:rPr>
          <w:rFonts w:ascii="Century Gothic" w:cs="Century Gothic" w:eastAsia="Century Gothic" w:hAnsi="Century Gothic"/>
          <w:sz w:val="20"/>
          <w:szCs w:val="20"/>
        </w:rPr>
      </w:pPr>
      <w:r w:rsidDel="00000000" w:rsidR="00000000" w:rsidRPr="00000000">
        <w:rPr>
          <w:rtl w:val="0"/>
          <w:sz w:val="8"/>
        </w:rPr>
      </w:r>
    </w:p>
    <w:p w:rsidR="00000000" w:rsidDel="00000000" w:rsidP="00000000" w:rsidRDefault="00000000" w:rsidRPr="00000000" w14:paraId="0000000F">
      <w:pPr>
        <w:keepNext/>
        <w:shd w:val="clear" w:color="auto" w:fill="1F3864"/>
        <w:spacing w:before="120" w:after="80"/>
        <w:rPr>
          <w:rFonts w:ascii="Century Gothic" w:cs="Century Gothic" w:eastAsia="Century Gothic" w:hAnsi="Century Gothic"/>
          <w:sz w:val="20"/>
          <w:szCs w:val="20"/>
        </w:rPr>
      </w:pPr>
      <w:r>
        <w:rPr>
          <w:b/>
          <w:color w:val="FFFFFF"/>
          <w:sz w:val="21"/>
        </w:rPr>
        <w:t xml:space="preserve"> 1. EXECUTIVE SUMMARY</w:t>
      </w:r>
    </w:p>
    <w:tbl>
      <w:tblPr>
        <w:tblStyle w:val="Table1"/>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8030"/>
        <w:tblGridChange w:id="0">
          <w:tblGrid>
            <w:gridCol w:w="2160"/>
            <w:gridCol w:w="7200"/>
          </w:tblGrid>
        </w:tblGridChange>
      </w:tblGrid>
      <w:tr>
        <w:trPr>
          <w:cantSplit w:val="0"/>
          <w:tblHeader w:val="0"/>
        </w:trPr>
        <w:tc>
          <w:tcPr>
            <w:tcW w:w="1900" w:type="dxa"/>
            <w:shd w:fill="f2f2f2" w:val="clear"/>
            <w:tcMar>
              <w:top w:w="60.0" w:type="dxa"/>
              <w:left w:w="80.0" w:type="dxa"/>
              <w:bottom w:w="60.0" w:type="dxa"/>
              <w:right w:w="80.0" w:type="dxa"/>
            </w:tcMar>
          </w:tcPr>
          <w:p w:rsidR="00000000" w:rsidDel="00000000" w:rsidP="00000000" w:rsidRDefault="00000000" w:rsidRPr="00000000" w14:paraId="00000013">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Scope</w:t>
            </w:r>
            <w:r w:rsidDel="00000000" w:rsidR="00000000" w:rsidRPr="00000000">
              <w:rPr>
                <w:sz w:val="18"/>
                <w:rtl w:val="0"/>
              </w:rPr>
            </w:r>
          </w:p>
        </w:tc>
        <w:tc>
          <w:tcPr>
            <w:tcW w:w="8030" w:type="dxa"/>
            <w:shd w:fill="ffffff" w:val="clear"/>
            <w:tcMar>
              <w:top w:w="60.0" w:type="dxa"/>
              <w:left w:w="80.0" w:type="dxa"/>
              <w:bottom w:w="60.0" w:type="dxa"/>
              <w:right w:w="80.0" w:type="dxa"/>
            </w:tcMar>
          </w:tcPr>
          <w:p w:rsidR="00000000" w:rsidDel="00000000" w:rsidP="00000000" w:rsidRDefault="00000000" w:rsidRPr="00000000" w14:paraId="00000014">
            <w:pPr>
              <w:rPr>
                <w:rFonts w:ascii="Century Gothic" w:cs="Century Gothic" w:eastAsia="Century Gothic" w:hAnsi="Century Gothic"/>
                <w:sz w:val="20"/>
                <w:szCs w:val="20"/>
              </w:rPr>
            </w:pPr>
            <w:r>
              <w:rPr>
                <w:color w:val="000000"/>
                <w:sz w:val="18"/>
              </w:rPr>
              <w:t>Pre-launch review of the multicloud AI fraud-detection platform (Azure East US 2, AWS DR, three edge nodes) against all five Azure WAF pillars, using three pilot outages, the Q1 GPU cost snapshot and the 20 Apr 2026 policy report, ahead of the fixed Q3 launch.</w:t>
            </w:r>
          </w:p>
        </w:tc>
      </w:tr>
      <w:tr>
        <w:trPr>
          <w:cantSplit w:val="0"/>
          <w:tblHeader w:val="0"/>
        </w:trPr>
        <w:tc>
          <w:tcPr>
            <w:tcW w:w="1900" w:type="dxa"/>
            <w:shd w:fill="f2f2f2" w:val="clear"/>
            <w:tcMar>
              <w:top w:w="60.0" w:type="dxa"/>
              <w:left w:w="80.0" w:type="dxa"/>
              <w:bottom w:w="60.0" w:type="dxa"/>
              <w:right w:w="80.0" w:type="dxa"/>
            </w:tcMar>
          </w:tcPr>
          <w:p w:rsidR="00000000" w:rsidDel="00000000" w:rsidP="00000000" w:rsidRDefault="00000000" w:rsidRPr="00000000" w14:paraId="0000001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Top 3 Risks</w:t>
            </w:r>
            <w:r w:rsidDel="00000000" w:rsidR="00000000" w:rsidRPr="00000000">
              <w:rPr>
                <w:sz w:val="18"/>
                <w:rtl w:val="0"/>
              </w:rPr>
            </w:r>
          </w:p>
        </w:tc>
        <w:tc>
          <w:tcPr>
            <w:tcW w:w="8030" w:type="dxa"/>
            <w:shd w:fill="ffffff" w:val="clear"/>
            <w:tcMar>
              <w:top w:w="60.0" w:type="dxa"/>
              <w:left w:w="80.0" w:type="dxa"/>
              <w:bottom w:w="60.0" w:type="dxa"/>
              <w:right w:w="80.0" w:type="dxa"/>
            </w:tcMar>
          </w:tcPr>
          <w:p w:rsidR="00000000" w:rsidDel="00000000" w:rsidP="00000000" w:rsidRDefault="00000000" w:rsidRPr="00000000" w14:paraId="00000016">
            <w:pPr>
              <w:spacing w:after="40" w:lineRule="auto"/>
              <w:rPr>
                <w:rFonts w:ascii="Century Gothic" w:cs="Century Gothic" w:eastAsia="Century Gothic" w:hAnsi="Century Gothic"/>
                <w:sz w:val="20"/>
                <w:szCs w:val="20"/>
              </w:rPr>
            </w:pPr>
            <w:r>
              <w:rPr>
                <w:b/>
                <w:color w:val="000000"/>
                <w:sz w:val="18"/>
              </w:rPr>
              <w:t xml:space="preserve">1. </w:t>
            </w:r>
            <w:r>
              <w:rPr>
                <w:color w:val="000000"/>
                <w:sz w:val="18"/>
              </w:rPr>
              <w:t>Write-capable storage SAS token hard-coded in Git ➔ Security ➔ High</w:t>
            </w:r>
          </w:p>
          <w:p w:rsidR="00000000" w:rsidDel="00000000" w:rsidP="00000000" w:rsidRDefault="00000000" w:rsidRPr="00000000" w14:paraId="00000017">
            <w:pPr>
              <w:spacing w:after="40" w:lineRule="auto"/>
              <w:rPr>
                <w:rFonts w:ascii="Century Gothic" w:cs="Century Gothic" w:eastAsia="Century Gothic" w:hAnsi="Century Gothic"/>
                <w:sz w:val="20"/>
                <w:szCs w:val="20"/>
              </w:rPr>
            </w:pPr>
            <w:r>
              <w:rPr>
                <w:b/>
                <w:color w:val="000000"/>
                <w:sz w:val="18"/>
              </w:rPr>
              <w:t xml:space="preserve">2. </w:t>
            </w:r>
            <w:r>
              <w:rPr>
                <w:color w:val="000000"/>
                <w:sz w:val="18"/>
              </w:rPr>
              <w:t>DR failover is manual and the Singapore DR region lacks Legal sign-off ➔ Reliability ➔ High</w:t>
            </w:r>
          </w:p>
          <w:p w:rsidR="00000000" w:rsidDel="00000000" w:rsidP="00000000" w:rsidRDefault="00000000" w:rsidRPr="00000000" w14:paraId="00000018">
            <w:pPr>
              <w:rPr>
                <w:rFonts w:ascii="Century Gothic" w:cs="Century Gothic" w:eastAsia="Century Gothic" w:hAnsi="Century Gothic"/>
                <w:sz w:val="20"/>
                <w:szCs w:val="20"/>
              </w:rPr>
            </w:pPr>
            <w:r>
              <w:rPr>
                <w:b/>
                <w:color w:val="000000"/>
                <w:sz w:val="18"/>
              </w:rPr>
              <w:t xml:space="preserve">3. </w:t>
            </w:r>
            <w:r>
              <w:rPr>
                <w:color w:val="000000"/>
                <w:sz w:val="18"/>
              </w:rPr>
              <w:t>AWS DR security groups open to the internet (SSH, 443) ➔ Security ➔ High</w:t>
            </w:r>
          </w:p>
        </w:tc>
      </w:tr>
      <w:tr>
        <w:trPr>
          <w:cantSplit w:val="0"/>
          <w:tblHeader w:val="0"/>
        </w:trPr>
        <w:tc>
          <w:tcPr>
            <w:tcW w:w="1900" w:type="dxa"/>
            <w:shd w:fill="f2f2f2" w:val="clear"/>
            <w:tcMar>
              <w:top w:w="60.0" w:type="dxa"/>
              <w:left w:w="80.0" w:type="dxa"/>
              <w:bottom w:w="60.0" w:type="dxa"/>
              <w:right w:w="80.0" w:type="dxa"/>
            </w:tcMar>
          </w:tcPr>
          <w:p w:rsidR="00000000" w:rsidDel="00000000" w:rsidP="00000000" w:rsidRDefault="00000000" w:rsidRPr="00000000" w14:paraId="00000019">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Priority Action</w:t>
            </w:r>
            <w:r w:rsidDel="00000000" w:rsidR="00000000" w:rsidRPr="00000000">
              <w:rPr>
                <w:sz w:val="18"/>
                <w:rtl w:val="0"/>
              </w:rPr>
            </w:r>
          </w:p>
        </w:tc>
        <w:tc>
          <w:tcPr>
            <w:tcW w:w="8030" w:type="dxa"/>
            <w:shd w:fill="ffffff" w:val="clear"/>
            <w:tcMar>
              <w:top w:w="60.0" w:type="dxa"/>
              <w:left w:w="80.0" w:type="dxa"/>
              <w:bottom w:w="60.0" w:type="dxa"/>
              <w:right w:w="80.0" w:type="dxa"/>
            </w:tcMar>
          </w:tcPr>
          <w:p w:rsidR="00000000" w:rsidDel="00000000" w:rsidP="00000000" w:rsidRDefault="00000000" w:rsidRPr="00000000" w14:paraId="0000001A">
            <w:pPr>
              <w:rPr>
                <w:rFonts w:ascii="Century Gothic" w:cs="Century Gothic" w:eastAsia="Century Gothic" w:hAnsi="Century Gothic"/>
                <w:sz w:val="20"/>
                <w:szCs w:val="20"/>
              </w:rPr>
            </w:pPr>
            <w:r>
              <w:rPr>
                <w:color w:val="000000"/>
                <w:sz w:val="18"/>
              </w:rPr>
              <w:t>Rotate the exposed SAS token now and replace it with Managed Identity + RBAC on the fraud-models storage account (SecOps; Rank 1).</w:t>
            </w:r>
          </w:p>
        </w:tc>
      </w:tr>
      <w:tr>
        <w:trPr>
          <w:cantSplit w:val="0"/>
          <w:tblHeader w:val="0"/>
        </w:trPr>
        <w:tc>
          <w:tcPr>
            <w:tcW w:w="1900" w:type="dxa"/>
            <w:shd w:fill="f2f2f2" w:val="clear"/>
            <w:tcMar>
              <w:top w:w="60.0" w:type="dxa"/>
              <w:left w:w="80.0" w:type="dxa"/>
              <w:bottom w:w="60.0" w:type="dxa"/>
              <w:right w:w="80.0" w:type="dxa"/>
            </w:tcMar>
          </w:tcPr>
          <w:p w:rsidR="00000000" w:rsidDel="00000000" w:rsidP="00000000" w:rsidRDefault="00000000" w:rsidRPr="00000000" w14:paraId="0000001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Cost / Schedule Impact</w:t>
            </w:r>
            <w:r w:rsidDel="00000000" w:rsidR="00000000" w:rsidRPr="00000000">
              <w:rPr>
                <w:sz w:val="18"/>
                <w:rtl w:val="0"/>
              </w:rPr>
            </w:r>
          </w:p>
        </w:tc>
        <w:tc>
          <w:tcPr>
            <w:tcW w:w="8030" w:type="dxa"/>
            <w:shd w:fill="ffffff" w:val="clear"/>
            <w:tcMar>
              <w:top w:w="60.0" w:type="dxa"/>
              <w:left w:w="80.0" w:type="dxa"/>
              <w:bottom w:w="60.0" w:type="dxa"/>
              <w:right w:w="80.0" w:type="dxa"/>
            </w:tcMar>
          </w:tcPr>
          <w:p w:rsidR="00000000" w:rsidDel="00000000" w:rsidP="00000000" w:rsidRDefault="00000000" w:rsidRPr="00000000" w14:paraId="0000001C">
            <w:pPr>
              <w:rPr>
                <w:rFonts w:ascii="Century Gothic" w:cs="Century Gothic" w:eastAsia="Century Gothic" w:hAnsi="Century Gothic"/>
                <w:sz w:val="20"/>
                <w:szCs w:val="20"/>
              </w:rPr>
            </w:pPr>
            <w:r>
              <w:rPr>
                <w:color w:val="000000"/>
                <w:sz w:val="18"/>
              </w:rPr>
              <w:t>Rank 1 needs ~2–3 engineer-days and no platform freeze. The Top 5 fit the 4-engineer team and ≤4-week freeze limit, except a 4–6-week DR re-region if Legal rejects Singapore. Rank 5 saves an estimated $18K–$22K/quarter against the $34,421 Q1 overrun.</w:t>
            </w:r>
          </w:p>
        </w:tc>
      </w:tr>
    </w:tbl>
    <w:p w:rsidR="00000000" w:rsidDel="00000000" w:rsidP="00000000" w:rsidRDefault="00000000" w:rsidRPr="00000000" w14:paraId="0000001D">
      <w:pPr>
        <w:spacing w:after="0" w:before="0" w:line="100" w:lineRule="exact"/>
        <w:rPr>
          <w:rFonts w:ascii="Century Gothic" w:cs="Century Gothic" w:eastAsia="Century Gothic" w:hAnsi="Century Gothic"/>
          <w:b w:val="1"/>
          <w:bCs w:val="1"/>
          <w:color w:val="595959"/>
          <w:sz w:val="20"/>
          <w:szCs w:val="20"/>
        </w:rPr>
      </w:pPr>
      <w:r w:rsidDel="00000000" w:rsidR="00000000" w:rsidRPr="00000000">
        <w:rPr>
          <w:rtl w:val="0"/>
          <w:sz w:val="8"/>
        </w:rPr>
      </w:r>
    </w:p>
    <w:p w:rsidR="00000000" w:rsidDel="00000000" w:rsidP="00000000" w:rsidRDefault="00000000" w:rsidRPr="00000000" w14:paraId="00000099">
      <w:pPr>
        <w:keepNext/>
        <w:shd w:val="clear" w:color="auto" w:fill="1F3864"/>
        <w:spacing w:before="120" w:after="80"/>
        <w:rPr>
          <w:rFonts w:ascii="Century Gothic" w:cs="Century Gothic" w:eastAsia="Century Gothic" w:hAnsi="Century Gothic"/>
          <w:sz w:val="20"/>
          <w:szCs w:val="20"/>
        </w:rPr>
      </w:pPr>
      <w:r>
        <w:rPr>
          <w:b/>
          <w:color w:val="FFFFFF"/>
          <w:sz w:val="21"/>
        </w:rPr>
        <w:t xml:space="preserve"> 2. WAF FINDINGS BY PILLAR</w:t>
      </w:r>
    </w:p>
    <w:p w:rsidR="00000000" w:rsidDel="00000000" w:rsidP="00000000" w:rsidRDefault="00000000" w:rsidRPr="00000000" w14:paraId="0000001D">
      <w:pPr>
        <w:spacing w:after="0" w:before="0" w:line="100" w:lineRule="exact"/>
        <w:rPr>
          <w:rFonts w:ascii="Century Gothic" w:cs="Century Gothic" w:eastAsia="Century Gothic" w:hAnsi="Century Gothic"/>
          <w:b w:val="1"/>
          <w:bCs w:val="1"/>
          <w:color w:val="595959"/>
          <w:sz w:val="20"/>
          <w:szCs w:val="20"/>
        </w:rPr>
      </w:pPr>
      <w:r w:rsidDel="00000000" w:rsidR="00000000" w:rsidRPr="00000000">
        <w:rPr>
          <w:rtl w:val="0"/>
          <w:sz w:val="8"/>
        </w:rPr>
      </w:r>
    </w:p>
    <w:tbl>
      <w:tblPr>
        <w:tblStyle w:val="Table2"/>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1500"/>
        <w:gridCol w:w="3430"/>
        <w:tblGridChange w:id="0">
          <w:tblGrid>
            <w:gridCol w:w="4770"/>
            <w:gridCol w:w="2070"/>
            <w:gridCol w:w="2610"/>
          </w:tblGrid>
        </w:tblGridChange>
      </w:tblGrid>
      <w:tr>
        <w:trPr>
          <w:cantSplit w:val="0"/>
          <w:tblHeader w:val="1"/>
          <w:cantSplit/>
        </w:trPr>
        <w:tc>
          <w:tcPr>
            <w:tcW w:w="9930" w:type="dxa"/>
            <w:gridSpan w:val="3"/>
            <w:shd w:fill="0d6e6e" w:val="clear"/>
            <w:tcMar>
              <w:top w:w="60.0" w:type="dxa"/>
              <w:left w:w="100.0" w:type="dxa"/>
              <w:bottom w:w="60.0" w:type="dxa"/>
              <w:right w:w="100.0" w:type="dxa"/>
            </w:tcMar>
          </w:tcPr>
          <w:p w:rsidR="00000000" w:rsidDel="00000000" w:rsidP="00000000" w:rsidRDefault="00000000" w:rsidRPr="00000000" w14:paraId="00000022">
            <w:pPr>
              <w:keepNext/>
              <w:rPr>
                <w:rFonts w:ascii="Century Gothic" w:cs="Century Gothic" w:eastAsia="Century Gothic" w:hAnsi="Century Gothic"/>
                <w:sz w:val="20"/>
                <w:szCs w:val="20"/>
              </w:rPr>
            </w:pPr>
            <w:r>
              <w:rPr>
                <w:b/>
                <w:color w:val="FFFFFF"/>
                <w:sz w:val="19"/>
              </w:rPr>
              <w:t>PILLAR 1: RELIABILITY — FINDING 1</w:t>
            </w:r>
          </w:p>
        </w:tc>
      </w:tr>
      <w:tr>
        <w:trPr>
          <w:cantSplit w:val="0"/>
          <w:tblHeader w:val="0"/>
          <w:cantSplit/>
        </w:trPr>
        <w:tc>
          <w:tcPr>
            <w:tcW w:w="5000" w:type="dxa"/>
            <w:shd w:fill="f2f2f2" w:val="clear"/>
            <w:tcMar>
              <w:top w:w="60.0" w:type="dxa"/>
              <w:left w:w="80.0" w:type="dxa"/>
              <w:bottom w:w="60.0" w:type="dxa"/>
              <w:right w:w="80.0" w:type="dxa"/>
            </w:tcMar>
          </w:tcPr>
          <w:p w:rsidR="00000000" w:rsidDel="00000000" w:rsidP="00000000" w:rsidRDefault="00000000" w:rsidRPr="00000000" w14:paraId="00000025">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Finding</w:t>
            </w:r>
            <w:r w:rsidDel="00000000" w:rsidR="00000000" w:rsidRPr="00000000">
              <w:rPr>
                <w:sz w:val="17"/>
                <w:rtl w:val="0"/>
              </w:rPr>
            </w:r>
          </w:p>
          <w:p w:rsidR="00000000" w:rsidDel="00000000" w:rsidP="00000000" w:rsidRDefault="00000000" w:rsidRPr="00000000" w14:paraId="00000026">
            <w:pPr>
              <w:keepNext/>
              <w:spacing w:after="40" w:lineRule="auto" w:before="0"/>
              <w:rPr>
                <w:rFonts w:ascii="Century Gothic" w:cs="Century Gothic" w:eastAsia="Century Gothic" w:hAnsi="Century Gothic"/>
                <w:sz w:val="20"/>
                <w:szCs w:val="20"/>
              </w:rPr>
            </w:pPr>
            <w:r>
              <w:rPr>
                <w:color w:val="000000"/>
                <w:sz w:val="16"/>
              </w:rPr>
              <w:t>Recovery depends on manual action: no automated DR failover (AWS DR was healthy but unused in INC-001), no automated edge-model drift detection (INC-003), and the Singapore DR region has no Legal sign-off (Gap 5).</w:t>
            </w:r>
          </w:p>
          <w:p w:rsidR="00000000" w:rsidDel="00000000" w:rsidP="00000000" w:rsidRDefault="00000000" w:rsidRPr="00000000" w14:paraId="00000027">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Evidence</w:t>
            </w:r>
            <w:r w:rsidDel="00000000" w:rsidR="00000000" w:rsidRPr="00000000">
              <w:rPr>
                <w:sz w:val="17"/>
                <w:rtl w:val="0"/>
              </w:rPr>
            </w:r>
          </w:p>
          <w:p w:rsidR="00000000" w:rsidDel="00000000" w:rsidP="00000000" w:rsidRDefault="00000000" w:rsidRPr="00000000" w14:paraId="00000028">
            <w:pPr>
              <w:keepNext/>
              <w:spacing w:after="40" w:lineRule="auto" w:before="0"/>
              <w:rPr>
                <w:rFonts w:ascii="Century Gothic" w:cs="Century Gothic" w:eastAsia="Century Gothic" w:hAnsi="Century Gothic"/>
                <w:sz w:val="20"/>
                <w:szCs w:val="20"/>
              </w:rPr>
            </w:pPr>
            <w:r>
              <w:rPr>
                <w:color w:val="000000"/>
                <w:sz w:val="16"/>
              </w:rPr>
              <w:t>INC-001 (12 Mar): 23-min outage, 100% of scoring requests dropped (~3,400 txns; 3 over $50,000 unscored). AWS DR healthy at 14:31, but failover needed Tech Lead approval (not on call); no failover policy, owner unassigned. INC-003 (18 Apr): sync script returned exit 0 on failure; edge nodes ran stale v2.1.3 for 7 h undetected, ~103 false positives. Gap 5: Legal sign-off on Singapore DR pending at 20 Apr; re-region = 4–6 weeks. Baseline diagram also shows single-region Redis — no incident evidence (unvalidated).</w:t>
            </w:r>
          </w:p>
        </w:tc>
        <w:tc>
          <w:tcPr>
            <w:tcW w:w="1500" w:type="dxa"/>
            <w:shd w:fill="ffffff" w:val="clear"/>
            <w:tcMar>
              <w:top w:w="60.0" w:type="dxa"/>
              <w:left w:w="80.0" w:type="dxa"/>
              <w:bottom w:w="60.0" w:type="dxa"/>
              <w:right w:w="80.0" w:type="dxa"/>
            </w:tcMar>
          </w:tcPr>
          <w:p w:rsidR="00000000" w:rsidDel="00000000" w:rsidP="00000000" w:rsidRDefault="00000000" w:rsidRPr="00000000" w14:paraId="00000029">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Severity</w:t>
            </w:r>
            <w:r w:rsidDel="00000000" w:rsidR="00000000" w:rsidRPr="00000000">
              <w:rPr>
                <w:sz w:val="17"/>
                <w:rtl w:val="0"/>
              </w:rPr>
            </w:r>
          </w:p>
          <w:p w:rsidR="00000000" w:rsidDel="00000000" w:rsidP="00000000" w:rsidRDefault="00000000" w:rsidRPr="00000000" w14:paraId="0000002A">
            <w:pPr>
              <w:keepNext/>
              <w:spacing w:after="40" w:lineRule="auto" w:before="0"/>
              <w:rPr>
                <w:rFonts w:ascii="Century Gothic" w:cs="Century Gothic" w:eastAsia="Century Gothic" w:hAnsi="Century Gothic"/>
                <w:sz w:val="20"/>
                <w:szCs w:val="20"/>
              </w:rPr>
            </w:pPr>
            <w:r>
              <w:rPr>
                <w:color w:val="000000"/>
                <w:sz w:val="16"/>
              </w:rPr>
              <w:t>High</w:t>
            </w:r>
          </w:p>
          <w:p w:rsidR="00000000" w:rsidDel="00000000" w:rsidP="00000000" w:rsidRDefault="00000000" w:rsidRPr="00000000" w14:paraId="0000002B">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Confidence</w:t>
            </w:r>
            <w:r w:rsidDel="00000000" w:rsidR="00000000" w:rsidRPr="00000000">
              <w:rPr>
                <w:sz w:val="17"/>
                <w:rtl w:val="0"/>
              </w:rPr>
            </w:r>
          </w:p>
          <w:p w:rsidR="00000000" w:rsidDel="00000000" w:rsidP="00000000" w:rsidRDefault="00000000" w:rsidRPr="00000000" w14:paraId="0000002C">
            <w:pPr>
              <w:keepNext/>
              <w:spacing w:after="40" w:lineRule="auto" w:before="0"/>
              <w:rPr>
                <w:rFonts w:ascii="Century Gothic" w:cs="Century Gothic" w:eastAsia="Century Gothic" w:hAnsi="Century Gothic"/>
                <w:sz w:val="20"/>
                <w:szCs w:val="20"/>
              </w:rPr>
            </w:pPr>
            <w:r>
              <w:rPr>
                <w:color w:val="000000"/>
                <w:sz w:val="16"/>
              </w:rPr>
              <w:t>High — direct incident timelines (Redis point is diagram-only: Medium).</w:t>
            </w:r>
          </w:p>
        </w:tc>
        <w:tc>
          <w:tcPr>
            <w:tcW w:w="3430" w:type="dxa"/>
            <w:shd w:fill="f2f2f2" w:val="clear"/>
            <w:tcMar>
              <w:top w:w="60.0" w:type="dxa"/>
              <w:left w:w="80.0" w:type="dxa"/>
              <w:bottom w:w="60.0" w:type="dxa"/>
              <w:right w:w="80.0" w:type="dxa"/>
            </w:tcMar>
          </w:tcPr>
          <w:p w:rsidR="00000000" w:rsidDel="00000000" w:rsidP="00000000" w:rsidRDefault="00000000" w:rsidRPr="00000000" w14:paraId="0000002D">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Impact if Unresolved</w:t>
            </w:r>
            <w:r w:rsidDel="00000000" w:rsidR="00000000" w:rsidRPr="00000000">
              <w:rPr>
                <w:sz w:val="17"/>
                <w:rtl w:val="0"/>
              </w:rPr>
            </w:r>
          </w:p>
          <w:p w:rsidR="00000000" w:rsidDel="00000000" w:rsidP="00000000" w:rsidRDefault="00000000" w:rsidRPr="00000000" w14:paraId="0000002E">
            <w:pPr>
              <w:keepNext/>
              <w:spacing w:after="40" w:lineRule="auto" w:before="0"/>
              <w:rPr>
                <w:rFonts w:ascii="Century Gothic" w:cs="Century Gothic" w:eastAsia="Century Gothic" w:hAnsi="Century Gothic"/>
                <w:sz w:val="20"/>
                <w:szCs w:val="20"/>
              </w:rPr>
            </w:pPr>
            <w:r>
              <w:rPr>
                <w:color w:val="000000"/>
                <w:sz w:val="16"/>
              </w:rPr>
              <w:t>A repeat leaves fraud scoring dark until an approver is found, and a Singapore failover could itself breach residency rules; stale edge models cause silent false-positive spikes.</w:t>
            </w:r>
          </w:p>
          <w:p w:rsidR="00000000" w:rsidDel="00000000" w:rsidP="00000000" w:rsidRDefault="00000000" w:rsidRPr="00000000" w14:paraId="0000002F">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Diagram Callout #</w:t>
            </w:r>
            <w:r w:rsidDel="00000000" w:rsidR="00000000" w:rsidRPr="00000000">
              <w:rPr>
                <w:sz w:val="17"/>
                <w:rtl w:val="0"/>
              </w:rPr>
            </w:r>
          </w:p>
          <w:p w:rsidR="00000000" w:rsidDel="00000000" w:rsidP="00000000" w:rsidRDefault="00000000" w:rsidRPr="00000000" w14:paraId="00000030">
            <w:pPr>
              <w:keepNext/>
              <w:spacing w:after="40" w:lineRule="auto" w:before="0"/>
              <w:rPr>
                <w:rFonts w:ascii="Century Gothic" w:cs="Century Gothic" w:eastAsia="Century Gothic" w:hAnsi="Century Gothic"/>
                <w:sz w:val="20"/>
                <w:szCs w:val="20"/>
              </w:rPr>
            </w:pPr>
            <w:r>
              <w:rPr>
                <w:color w:val="000000"/>
                <w:sz w:val="16"/>
              </w:rPr>
              <w:t>Callout 1 (DR inference endpoint; edge zone)</w:t>
            </w:r>
          </w:p>
        </w:tc>
      </w:tr>
      <w:tr>
        <w:trPr>
          <w:cantSplit w:val="0"/>
          <w:trHeight w:val="1766.84375" w:hRule="atLeast"/>
          <w:tblHeader w:val="0"/>
          <w:cantSplit/>
        </w:trPr>
        <w:tc>
          <w:tcPr>
            <w:tcW w:w="5000" w:type="dxa"/>
            <w:shd w:fill="ffffff" w:val="clear"/>
            <w:tcMar>
              <w:top w:w="60.0" w:type="dxa"/>
              <w:left w:w="80.0" w:type="dxa"/>
              <w:bottom w:w="60.0" w:type="dxa"/>
              <w:right w:w="80.0" w:type="dxa"/>
            </w:tcMar>
          </w:tcPr>
          <w:p w:rsidR="00000000" w:rsidDel="00000000" w:rsidP="00000000" w:rsidRDefault="00000000" w:rsidRPr="00000000" w14:paraId="00000031">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Remediation Idea</w:t>
            </w:r>
            <w:r w:rsidDel="00000000" w:rsidR="00000000" w:rsidRPr="00000000">
              <w:rPr>
                <w:sz w:val="17"/>
                <w:rtl w:val="0"/>
              </w:rPr>
            </w:r>
          </w:p>
          <w:p w:rsidR="00000000" w:rsidDel="00000000" w:rsidP="00000000" w:rsidRDefault="00000000" w:rsidRPr="00000000" w14:paraId="00000032">
            <w:pPr>
              <w:spacing w:after="40" w:lineRule="auto" w:before="0"/>
              <w:rPr>
                <w:rFonts w:ascii="Century Gothic" w:cs="Century Gothic" w:eastAsia="Century Gothic" w:hAnsi="Century Gothic"/>
                <w:sz w:val="20"/>
                <w:szCs w:val="20"/>
              </w:rPr>
            </w:pPr>
            <w:r>
              <w:rPr>
                <w:color w:val="000000"/>
                <w:sz w:val="16"/>
              </w:rPr>
              <w:t>Obtain the Gap 5 decision (escalate to the CTO), then configure health-probe-driven failover to the approved DR region (Azure Front Door or Traffic Manager) with a rehearsed runbook and pre-authorised trigger rights; add checksum-validated edge sync with version reporting.</w:t>
            </w:r>
          </w:p>
        </w:tc>
        <w:tc>
          <w:tcPr>
            <w:tcW w:w="1500" w:type="dxa"/>
            <w:shd w:fill="f2f2f2" w:val="clear"/>
            <w:tcMar>
              <w:top w:w="60.0" w:type="dxa"/>
              <w:left w:w="80.0" w:type="dxa"/>
              <w:bottom w:w="60.0" w:type="dxa"/>
              <w:right w:w="80.0" w:type="dxa"/>
            </w:tcMar>
          </w:tcPr>
          <w:p w:rsidR="00000000" w:rsidDel="00000000" w:rsidP="00000000" w:rsidRDefault="00000000" w:rsidRPr="00000000" w14:paraId="00000033">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Effort Band</w:t>
            </w:r>
            <w:r w:rsidDel="00000000" w:rsidR="00000000" w:rsidRPr="00000000">
              <w:rPr>
                <w:sz w:val="17"/>
                <w:rtl w:val="0"/>
              </w:rPr>
            </w:r>
          </w:p>
          <w:p w:rsidR="00000000" w:rsidDel="00000000" w:rsidP="00000000" w:rsidRDefault="00000000" w:rsidRPr="00000000" w14:paraId="00000034">
            <w:pPr>
              <w:spacing w:after="40" w:lineRule="auto" w:before="0"/>
              <w:rPr>
                <w:rFonts w:ascii="Century Gothic" w:cs="Century Gothic" w:eastAsia="Century Gothic" w:hAnsi="Century Gothic"/>
                <w:sz w:val="20"/>
                <w:szCs w:val="20"/>
              </w:rPr>
            </w:pPr>
            <w:r>
              <w:rPr>
                <w:color w:val="000000"/>
                <w:sz w:val="16"/>
              </w:rPr>
              <w:t>Significant &gt;2w (design starts in parallel; build follows the Gap 5 decision)</w:t>
            </w:r>
          </w:p>
        </w:tc>
        <w:tc>
          <w:tcPr>
            <w:tcW w:w="3430" w:type="dxa"/>
            <w:shd w:fill="ffffff" w:val="clear"/>
            <w:tcMar>
              <w:top w:w="60.0" w:type="dxa"/>
              <w:left w:w="80.0" w:type="dxa"/>
              <w:bottom w:w="60.0" w:type="dxa"/>
              <w:right w:w="80.0" w:type="dxa"/>
            </w:tcMar>
          </w:tcPr>
          <w:p w:rsidR="00000000" w:rsidDel="00000000" w:rsidP="00000000" w:rsidRDefault="00000000" w:rsidRPr="00000000" w14:paraId="00000035">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Success Metric</w:t>
            </w:r>
            <w:r w:rsidDel="00000000" w:rsidR="00000000" w:rsidRPr="00000000">
              <w:rPr>
                <w:sz w:val="17"/>
                <w:rtl w:val="0"/>
              </w:rPr>
            </w:r>
          </w:p>
          <w:p w:rsidR="00000000" w:rsidDel="00000000" w:rsidP="00000000" w:rsidRDefault="00000000" w:rsidRPr="00000000" w14:paraId="00000036">
            <w:pPr>
              <w:spacing w:after="40" w:lineRule="auto" w:before="0"/>
              <w:rPr>
                <w:rFonts w:ascii="Century Gothic" w:cs="Century Gothic" w:eastAsia="Century Gothic" w:hAnsi="Century Gothic"/>
                <w:sz w:val="20"/>
                <w:szCs w:val="20"/>
              </w:rPr>
            </w:pPr>
            <w:r>
              <w:rPr>
                <w:color w:val="000000"/>
                <w:sz w:val="16"/>
              </w:rPr>
              <w:t>Failover drill: traffic shifts in ≤5 min with no manual approval (INC-001: 23 min); edge drift alert in &lt;15 min (INC-003: 7 h). Targets proposed.</w:t>
            </w:r>
          </w:p>
          <w:p w:rsidR="00000000" w:rsidDel="00000000" w:rsidP="00000000" w:rsidRDefault="00000000" w:rsidRPr="00000000" w14:paraId="00000037">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Compliance Link</w:t>
            </w:r>
            <w:r w:rsidDel="00000000" w:rsidR="00000000" w:rsidRPr="00000000">
              <w:rPr>
                <w:sz w:val="17"/>
                <w:rtl w:val="0"/>
              </w:rPr>
            </w:r>
          </w:p>
          <w:p w:rsidR="00000000" w:rsidDel="00000000" w:rsidP="00000000" w:rsidRDefault="00000000" w:rsidRPr="00000000" w14:paraId="00000038">
            <w:pPr>
              <w:spacing w:after="40" w:lineRule="auto" w:before="0"/>
              <w:rPr>
                <w:rFonts w:ascii="Century Gothic" w:cs="Century Gothic" w:eastAsia="Century Gothic" w:hAnsi="Century Gothic"/>
                <w:sz w:val="20"/>
                <w:szCs w:val="20"/>
              </w:rPr>
            </w:pPr>
            <w:r>
              <w:rPr>
                <w:color w:val="000000"/>
                <w:sz w:val="16"/>
              </w:rPr>
              <w:t>Data residency (internal policy; GDPR Art. 46 if EU cardholder data in scope) — Legal pending. SOC 2 A1.2 / A1.3.</w:t>
            </w:r>
          </w:p>
        </w:tc>
      </w:tr>
    </w:tbl>
    <w:tbl>
      <w:tblPr>
        <w:tblStyle w:val="Table3"/>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1500"/>
        <w:gridCol w:w="3430"/>
        <w:tblGridChange w:id="0">
          <w:tblGrid>
            <w:gridCol w:w="4725"/>
            <w:gridCol w:w="1575"/>
            <w:gridCol w:w="3150"/>
          </w:tblGrid>
        </w:tblGridChange>
      </w:tblGrid>
      <w:tr>
        <w:trPr>
          <w:cantSplit w:val="0"/>
          <w:tblHeader w:val="1"/>
          <w:cantSplit/>
        </w:trPr>
        <w:tc>
          <w:tcPr>
            <w:tcW w:w="9930" w:type="dxa"/>
            <w:gridSpan w:val="3"/>
            <w:shd w:fill="c55a11" w:val="clear"/>
            <w:tcMar>
              <w:top w:w="60.0" w:type="dxa"/>
              <w:left w:w="100.0" w:type="dxa"/>
              <w:bottom w:w="60.0" w:type="dxa"/>
              <w:right w:w="100.0" w:type="dxa"/>
            </w:tcMar>
          </w:tcPr>
          <w:p w:rsidR="00000000" w:rsidDel="00000000" w:rsidP="00000000" w:rsidRDefault="00000000" w:rsidRPr="00000000" w14:paraId="0000003A">
            <w:pPr>
              <w:keepNext/>
              <w:rPr>
                <w:rFonts w:ascii="Century Gothic" w:cs="Century Gothic" w:eastAsia="Century Gothic" w:hAnsi="Century Gothic"/>
                <w:sz w:val="20"/>
                <w:szCs w:val="20"/>
              </w:rPr>
            </w:pPr>
            <w:r>
              <w:rPr>
                <w:b/>
                <w:color w:val="FFFFFF"/>
                <w:sz w:val="19"/>
              </w:rPr>
              <w:t>PILLAR 2: SECURITY — FINDING 2A</w:t>
            </w:r>
          </w:p>
        </w:tc>
      </w:tr>
      <w:tr>
        <w:trPr>
          <w:cantSplit w:val="0"/>
          <w:tblHeader w:val="0"/>
          <w:cantSplit/>
        </w:trPr>
        <w:tc>
          <w:tcPr>
            <w:tcW w:w="5000" w:type="dxa"/>
            <w:shd w:fill="f2f2f2" w:val="clear"/>
            <w:tcMar>
              <w:top w:w="60.0" w:type="dxa"/>
              <w:left w:w="80.0" w:type="dxa"/>
              <w:bottom w:w="60.0" w:type="dxa"/>
              <w:right w:w="80.0" w:type="dxa"/>
            </w:tcMar>
          </w:tcPr>
          <w:p w:rsidR="00000000" w:rsidDel="00000000" w:rsidP="00000000" w:rsidRDefault="00000000" w:rsidRPr="00000000" w14:paraId="0000003D">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Finding</w:t>
            </w:r>
            <w:r w:rsidDel="00000000" w:rsidR="00000000" w:rsidRPr="00000000">
              <w:rPr>
                <w:sz w:val="17"/>
                <w:rtl w:val="0"/>
              </w:rPr>
            </w:r>
          </w:p>
          <w:p w:rsidR="00000000" w:rsidDel="00000000" w:rsidP="00000000" w:rsidRDefault="00000000" w:rsidRPr="00000000" w14:paraId="0000003E">
            <w:pPr>
              <w:keepNext/>
              <w:spacing w:after="40" w:lineRule="auto" w:before="0"/>
              <w:rPr>
                <w:rFonts w:ascii="Century Gothic" w:cs="Century Gothic" w:eastAsia="Century Gothic" w:hAnsi="Century Gothic"/>
                <w:sz w:val="20"/>
                <w:szCs w:val="20"/>
              </w:rPr>
            </w:pPr>
            <w:r>
              <w:rPr>
                <w:color w:val="000000"/>
                <w:sz w:val="16"/>
              </w:rPr>
              <w:t>A write-capable SAS token for the fraud-models storage account is hard-coded in deployment YAML in Git, and a Cognitive Services key sits outside Key Vault.</w:t>
            </w:r>
          </w:p>
          <w:p w:rsidR="00000000" w:rsidDel="00000000" w:rsidP="00000000" w:rsidRDefault="00000000" w:rsidRPr="00000000" w14:paraId="0000003F">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Evidence</w:t>
            </w:r>
            <w:r w:rsidDel="00000000" w:rsidR="00000000" w:rsidRPr="00000000">
              <w:rPr>
                <w:sz w:val="17"/>
                <w:rtl w:val="0"/>
              </w:rPr>
            </w:r>
          </w:p>
          <w:p w:rsidR="00000000" w:rsidDel="00000000" w:rsidP="00000000" w:rsidRDefault="00000000" w:rsidRPr="00000000" w14:paraId="00000040">
            <w:pPr>
              <w:keepNext/>
              <w:spacing w:after="40" w:lineRule="auto" w:before="0"/>
              <w:rPr>
                <w:rFonts w:ascii="Century Gothic" w:cs="Century Gothic" w:eastAsia="Century Gothic" w:hAnsi="Century Gothic"/>
                <w:sz w:val="20"/>
                <w:szCs w:val="20"/>
              </w:rPr>
            </w:pPr>
            <w:r>
              <w:rPr>
                <w:color w:val="000000"/>
                <w:sz w:val="16"/>
              </w:rPr>
              <w:t>Policy report Gap 3: fraud-data-connector-svc holds a connection string with SAS token in Git commit 7a3f2c1 (3 Apr), expiry 31 Dec 2026, write access to fraud-models; fraud-enrichment-svc holds COGNITIVE_SERVICES_KEY as an env var (2 of 4 services). Rated “CRITICAL — rotate immediately”. Edge nodes pull production models from this storage (INC-003).</w:t>
            </w:r>
          </w:p>
        </w:tc>
        <w:tc>
          <w:tcPr>
            <w:tcW w:w="1500" w:type="dxa"/>
            <w:shd w:fill="ffffff" w:val="clear"/>
            <w:tcMar>
              <w:top w:w="60.0" w:type="dxa"/>
              <w:left w:w="80.0" w:type="dxa"/>
              <w:bottom w:w="60.0" w:type="dxa"/>
              <w:right w:w="80.0" w:type="dxa"/>
            </w:tcMar>
          </w:tcPr>
          <w:p w:rsidR="00000000" w:rsidDel="00000000" w:rsidP="00000000" w:rsidRDefault="00000000" w:rsidRPr="00000000" w14:paraId="00000041">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Severity</w:t>
            </w:r>
            <w:r w:rsidDel="00000000" w:rsidR="00000000" w:rsidRPr="00000000">
              <w:rPr>
                <w:sz w:val="17"/>
                <w:rtl w:val="0"/>
              </w:rPr>
            </w:r>
          </w:p>
          <w:p w:rsidR="00000000" w:rsidDel="00000000" w:rsidP="00000000" w:rsidRDefault="00000000" w:rsidRPr="00000000" w14:paraId="00000042">
            <w:pPr>
              <w:keepNext/>
              <w:spacing w:after="40" w:lineRule="auto" w:before="0"/>
              <w:rPr>
                <w:rFonts w:ascii="Century Gothic" w:cs="Century Gothic" w:eastAsia="Century Gothic" w:hAnsi="Century Gothic"/>
                <w:sz w:val="20"/>
                <w:szCs w:val="20"/>
              </w:rPr>
            </w:pPr>
            <w:r>
              <w:rPr>
                <w:color w:val="000000"/>
                <w:sz w:val="16"/>
              </w:rPr>
              <w:t>High (Critical per policy report)</w:t>
            </w:r>
          </w:p>
          <w:p w:rsidR="00000000" w:rsidDel="00000000" w:rsidP="00000000" w:rsidRDefault="00000000" w:rsidRPr="00000000" w14:paraId="00000043">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Confidence</w:t>
            </w:r>
            <w:r w:rsidDel="00000000" w:rsidR="00000000" w:rsidRPr="00000000">
              <w:rPr>
                <w:sz w:val="17"/>
                <w:rtl w:val="0"/>
              </w:rPr>
            </w:r>
          </w:p>
          <w:p w:rsidR="00000000" w:rsidDel="00000000" w:rsidP="00000000" w:rsidRDefault="00000000" w:rsidRPr="00000000" w14:paraId="00000044">
            <w:pPr>
              <w:keepNext/>
              <w:spacing w:after="40" w:lineRule="auto" w:before="0"/>
              <w:rPr>
                <w:rFonts w:ascii="Century Gothic" w:cs="Century Gothic" w:eastAsia="Century Gothic" w:hAnsi="Century Gothic"/>
                <w:sz w:val="20"/>
                <w:szCs w:val="20"/>
              </w:rPr>
            </w:pPr>
            <w:r>
              <w:rPr>
                <w:color w:val="000000"/>
                <w:sz w:val="16"/>
              </w:rPr>
              <w:t>High — direct configuration evidence (kubectl review 18 Apr; Git commit).</w:t>
            </w:r>
          </w:p>
        </w:tc>
        <w:tc>
          <w:tcPr>
            <w:tcW w:w="3430" w:type="dxa"/>
            <w:shd w:fill="f2f2f2" w:val="clear"/>
            <w:tcMar>
              <w:top w:w="60.0" w:type="dxa"/>
              <w:left w:w="80.0" w:type="dxa"/>
              <w:bottom w:w="60.0" w:type="dxa"/>
              <w:right w:w="80.0" w:type="dxa"/>
            </w:tcMar>
          </w:tcPr>
          <w:p w:rsidR="00000000" w:rsidDel="00000000" w:rsidP="00000000" w:rsidRDefault="00000000" w:rsidRPr="00000000" w14:paraId="00000045">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Impact if Unresolved</w:t>
            </w:r>
            <w:r w:rsidDel="00000000" w:rsidR="00000000" w:rsidRPr="00000000">
              <w:rPr>
                <w:sz w:val="17"/>
                <w:rtl w:val="0"/>
              </w:rPr>
            </w:r>
          </w:p>
          <w:p w:rsidR="00000000" w:rsidDel="00000000" w:rsidP="00000000" w:rsidRDefault="00000000" w:rsidRPr="00000000" w14:paraId="00000046">
            <w:pPr>
              <w:keepNext/>
              <w:spacing w:after="40" w:lineRule="auto" w:before="0"/>
              <w:rPr>
                <w:rFonts w:ascii="Century Gothic" w:cs="Century Gothic" w:eastAsia="Century Gothic" w:hAnsi="Century Gothic"/>
                <w:sz w:val="20"/>
                <w:szCs w:val="20"/>
              </w:rPr>
            </w:pPr>
            <w:r>
              <w:rPr>
                <w:color w:val="000000"/>
                <w:sz w:val="16"/>
              </w:rPr>
              <w:t>Anyone with repository read access can overwrite the production model that scores every transaction and feeds the edge nodes — a route to tampering with fraud decisions.</w:t>
            </w:r>
          </w:p>
          <w:p w:rsidR="00000000" w:rsidDel="00000000" w:rsidP="00000000" w:rsidRDefault="00000000" w:rsidRPr="00000000" w14:paraId="00000047">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Diagram Callout #</w:t>
            </w:r>
            <w:r w:rsidDel="00000000" w:rsidR="00000000" w:rsidRPr="00000000">
              <w:rPr>
                <w:sz w:val="17"/>
                <w:rtl w:val="0"/>
              </w:rPr>
            </w:r>
          </w:p>
          <w:p w:rsidR="00000000" w:rsidDel="00000000" w:rsidP="00000000" w:rsidRDefault="00000000" w:rsidRPr="00000000" w14:paraId="00000048">
            <w:pPr>
              <w:keepNext/>
              <w:spacing w:after="40" w:lineRule="auto" w:before="0"/>
              <w:rPr>
                <w:rFonts w:ascii="Century Gothic" w:cs="Century Gothic" w:eastAsia="Century Gothic" w:hAnsi="Century Gothic"/>
                <w:sz w:val="20"/>
                <w:szCs w:val="20"/>
              </w:rPr>
            </w:pPr>
            <w:r>
              <w:rPr>
                <w:color w:val="000000"/>
                <w:sz w:val="16"/>
              </w:rPr>
              <w:t>Callout 2A (Model data store)</w:t>
            </w:r>
          </w:p>
        </w:tc>
      </w:tr>
      <w:tr>
        <w:trPr>
          <w:cantSplit w:val="0"/>
          <w:tblHeader w:val="0"/>
          <w:cantSplit/>
        </w:trPr>
        <w:tc>
          <w:tcPr>
            <w:tcW w:w="5000" w:type="dxa"/>
            <w:shd w:fill="ffffff" w:val="clear"/>
            <w:tcMar>
              <w:top w:w="60.0" w:type="dxa"/>
              <w:left w:w="80.0" w:type="dxa"/>
              <w:bottom w:w="60.0" w:type="dxa"/>
              <w:right w:w="80.0" w:type="dxa"/>
            </w:tcMar>
          </w:tcPr>
          <w:p w:rsidR="00000000" w:rsidDel="00000000" w:rsidP="00000000" w:rsidRDefault="00000000" w:rsidRPr="00000000" w14:paraId="00000049">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Remediation Idea</w:t>
            </w:r>
            <w:r w:rsidDel="00000000" w:rsidR="00000000" w:rsidRPr="00000000">
              <w:rPr>
                <w:sz w:val="17"/>
                <w:rtl w:val="0"/>
              </w:rPr>
            </w:r>
          </w:p>
          <w:p w:rsidR="00000000" w:rsidDel="00000000" w:rsidP="00000000" w:rsidRDefault="00000000" w:rsidRPr="00000000" w14:paraId="0000004A">
            <w:pPr>
              <w:spacing w:after="40" w:lineRule="auto" w:before="0"/>
              <w:rPr>
                <w:rFonts w:ascii="Century Gothic" w:cs="Century Gothic" w:eastAsia="Century Gothic" w:hAnsi="Century Gothic"/>
                <w:sz w:val="20"/>
                <w:szCs w:val="20"/>
              </w:rPr>
            </w:pPr>
            <w:r>
              <w:rPr>
                <w:color w:val="000000"/>
                <w:sz w:val="16"/>
              </w:rPr>
              <w:t>Rotate the exposed SAS token immediately, purge it from Git history (git filter-repo), and replace it with Managed Identity + RBAC on the fraud-models storage account; move the Cognitive Services key to Key Vault.</w:t>
            </w:r>
          </w:p>
        </w:tc>
        <w:tc>
          <w:tcPr>
            <w:tcW w:w="1500" w:type="dxa"/>
            <w:shd w:fill="f2f2f2" w:val="clear"/>
            <w:tcMar>
              <w:top w:w="60.0" w:type="dxa"/>
              <w:left w:w="80.0" w:type="dxa"/>
              <w:bottom w:w="60.0" w:type="dxa"/>
              <w:right w:w="80.0" w:type="dxa"/>
            </w:tcMar>
          </w:tcPr>
          <w:p w:rsidR="00000000" w:rsidDel="00000000" w:rsidP="00000000" w:rsidRDefault="00000000" w:rsidRPr="00000000" w14:paraId="0000004B">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Effort Band</w:t>
            </w:r>
            <w:r w:rsidDel="00000000" w:rsidR="00000000" w:rsidRPr="00000000">
              <w:rPr>
                <w:sz w:val="17"/>
                <w:rtl w:val="0"/>
              </w:rPr>
            </w:r>
          </w:p>
          <w:p w:rsidR="00000000" w:rsidDel="00000000" w:rsidP="00000000" w:rsidRDefault="00000000" w:rsidRPr="00000000" w14:paraId="0000004C">
            <w:pPr>
              <w:spacing w:after="40" w:lineRule="auto" w:before="0"/>
              <w:rPr>
                <w:rFonts w:ascii="Century Gothic" w:cs="Century Gothic" w:eastAsia="Century Gothic" w:hAnsi="Century Gothic"/>
                <w:sz w:val="20"/>
                <w:szCs w:val="20"/>
              </w:rPr>
            </w:pPr>
            <w:r>
              <w:rPr>
                <w:color w:val="000000"/>
                <w:sz w:val="16"/>
              </w:rPr>
              <w:t>Quick win &lt;2d (rotation &lt;1 d; full clean-up 2–3 d per report)</w:t>
            </w:r>
          </w:p>
        </w:tc>
        <w:tc>
          <w:tcPr>
            <w:tcW w:w="3430" w:type="dxa"/>
            <w:shd w:fill="ffffff" w:val="clear"/>
            <w:tcMar>
              <w:top w:w="60.0" w:type="dxa"/>
              <w:left w:w="80.0" w:type="dxa"/>
              <w:bottom w:w="60.0" w:type="dxa"/>
              <w:right w:w="80.0" w:type="dxa"/>
            </w:tcMar>
          </w:tcPr>
          <w:p w:rsidR="00000000" w:rsidDel="00000000" w:rsidP="00000000" w:rsidRDefault="00000000" w:rsidRPr="00000000" w14:paraId="0000004D">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Success Metric</w:t>
            </w:r>
            <w:r w:rsidDel="00000000" w:rsidR="00000000" w:rsidRPr="00000000">
              <w:rPr>
                <w:sz w:val="17"/>
                <w:rtl w:val="0"/>
              </w:rPr>
            </w:r>
          </w:p>
          <w:p w:rsidR="00000000" w:rsidDel="00000000" w:rsidP="00000000" w:rsidRDefault="00000000" w:rsidRPr="00000000" w14:paraId="0000004E">
            <w:pPr>
              <w:spacing w:after="40" w:lineRule="auto" w:before="0"/>
              <w:rPr>
                <w:rFonts w:ascii="Century Gothic" w:cs="Century Gothic" w:eastAsia="Century Gothic" w:hAnsi="Century Gothic"/>
                <w:sz w:val="20"/>
                <w:szCs w:val="20"/>
              </w:rPr>
            </w:pPr>
            <w:r>
              <w:rPr>
                <w:color w:val="000000"/>
                <w:sz w:val="16"/>
              </w:rPr>
              <w:t>Old SAS revoked; repo and pod-spec secret scan = 0 findings; 4 of 4 services on Key Vault / Managed Identity (today 2 of 4).</w:t>
            </w:r>
          </w:p>
          <w:p w:rsidR="00000000" w:rsidDel="00000000" w:rsidP="00000000" w:rsidRDefault="00000000" w:rsidRPr="00000000" w14:paraId="0000004F">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Compliance Link</w:t>
            </w:r>
            <w:r w:rsidDel="00000000" w:rsidR="00000000" w:rsidRPr="00000000">
              <w:rPr>
                <w:sz w:val="17"/>
                <w:rtl w:val="0"/>
              </w:rPr>
            </w:r>
          </w:p>
          <w:p w:rsidR="00000000" w:rsidDel="00000000" w:rsidP="00000000" w:rsidRDefault="00000000" w:rsidRPr="00000000" w14:paraId="00000050">
            <w:pPr>
              <w:spacing w:after="40" w:lineRule="auto" w:before="0"/>
              <w:rPr>
                <w:rFonts w:ascii="Century Gothic" w:cs="Century Gothic" w:eastAsia="Century Gothic" w:hAnsi="Century Gothic"/>
                <w:sz w:val="20"/>
                <w:szCs w:val="20"/>
              </w:rPr>
            </w:pPr>
            <w:r>
              <w:rPr>
                <w:color w:val="000000"/>
                <w:sz w:val="16"/>
              </w:rPr>
              <w:t>PCI DSS v4.0 Req 8.6.2 (reviewer mapping); ASB IM-8; SOC 2 CC6.1.</w:t>
            </w:r>
          </w:p>
        </w:tc>
      </w:tr>
    </w:tbl>
    <w:p w:rsidR="00000000" w:rsidDel="00000000" w:rsidP="00000000" w:rsidRDefault="00000000" w:rsidRPr="00000000" w14:paraId="0000001D">
      <w:pPr>
        <w:spacing w:after="0" w:before="0" w:line="100" w:lineRule="exact"/>
        <w:rPr>
          <w:rFonts w:ascii="Century Gothic" w:cs="Century Gothic" w:eastAsia="Century Gothic" w:hAnsi="Century Gothic"/>
          <w:b w:val="1"/>
          <w:bCs w:val="1"/>
          <w:color w:val="595959"/>
          <w:sz w:val="20"/>
          <w:szCs w:val="20"/>
        </w:rPr>
      </w:pPr>
      <w:r w:rsidDel="00000000" w:rsidR="00000000" w:rsidRPr="00000000">
        <w:rPr>
          <w:rtl w:val="0"/>
          <w:sz w:val="8"/>
        </w:rPr>
      </w:r>
    </w:p>
    <w:tbl>
      <w:tblPr>
        <w:tblStyle w:val="Table3"/>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1500"/>
        <w:gridCol w:w="3430"/>
        <w:tblGridChange w:id="0">
          <w:tblGrid>
            <w:gridCol w:w="4725"/>
            <w:gridCol w:w="1575"/>
            <w:gridCol w:w="3150"/>
          </w:tblGrid>
        </w:tblGridChange>
      </w:tblGrid>
      <w:tr>
        <w:trPr>
          <w:cantSplit w:val="0"/>
          <w:tblHeader w:val="1"/>
          <w:cantSplit/>
        </w:trPr>
        <w:tc>
          <w:tcPr>
            <w:tcW w:w="9930" w:type="dxa"/>
            <w:gridSpan w:val="3"/>
            <w:shd w:fill="c55a11" w:val="clear"/>
            <w:tcMar>
              <w:top w:w="60.0" w:type="dxa"/>
              <w:left w:w="100.0" w:type="dxa"/>
              <w:bottom w:w="60.0" w:type="dxa"/>
              <w:right w:w="100.0" w:type="dxa"/>
            </w:tcMar>
          </w:tcPr>
          <w:p w:rsidR="00000000" w:rsidDel="00000000" w:rsidP="00000000" w:rsidRDefault="00000000" w:rsidRPr="00000000" w14:paraId="0000003A">
            <w:pPr>
              <w:keepNext/>
              <w:rPr>
                <w:rFonts w:ascii="Century Gothic" w:cs="Century Gothic" w:eastAsia="Century Gothic" w:hAnsi="Century Gothic"/>
                <w:sz w:val="20"/>
                <w:szCs w:val="20"/>
              </w:rPr>
            </w:pPr>
            <w:r>
              <w:rPr>
                <w:b/>
                <w:color w:val="FFFFFF"/>
                <w:sz w:val="19"/>
              </w:rPr>
              <w:t>PILLAR 2: SECURITY — FINDING 2B</w:t>
            </w:r>
          </w:p>
        </w:tc>
      </w:tr>
      <w:tr>
        <w:trPr>
          <w:cantSplit w:val="0"/>
          <w:tblHeader w:val="0"/>
          <w:cantSplit/>
        </w:trPr>
        <w:tc>
          <w:tcPr>
            <w:tcW w:w="5000" w:type="dxa"/>
            <w:shd w:fill="f2f2f2" w:val="clear"/>
            <w:tcMar>
              <w:top w:w="60.0" w:type="dxa"/>
              <w:left w:w="80.0" w:type="dxa"/>
              <w:bottom w:w="60.0" w:type="dxa"/>
              <w:right w:w="80.0" w:type="dxa"/>
            </w:tcMar>
          </w:tcPr>
          <w:p w:rsidR="00000000" w:rsidDel="00000000" w:rsidP="00000000" w:rsidRDefault="00000000" w:rsidRPr="00000000" w14:paraId="0000003D">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Finding</w:t>
            </w:r>
            <w:r w:rsidDel="00000000" w:rsidR="00000000" w:rsidRPr="00000000">
              <w:rPr>
                <w:sz w:val="17"/>
                <w:rtl w:val="0"/>
              </w:rPr>
            </w:r>
          </w:p>
          <w:p w:rsidR="00000000" w:rsidDel="00000000" w:rsidP="00000000" w:rsidRDefault="00000000" w:rsidRPr="00000000" w14:paraId="0000003E">
            <w:pPr>
              <w:keepNext/>
              <w:spacing w:after="40" w:lineRule="auto" w:before="0"/>
              <w:rPr>
                <w:rFonts w:ascii="Century Gothic" w:cs="Century Gothic" w:eastAsia="Century Gothic" w:hAnsi="Century Gothic"/>
                <w:sz w:val="20"/>
                <w:szCs w:val="20"/>
              </w:rPr>
            </w:pPr>
            <w:r>
              <w:rPr>
                <w:color w:val="000000"/>
                <w:sz w:val="16"/>
              </w:rPr>
              <w:t>The AWS DR environment and Azure AI-service traffic are exposed to the public internet: SSH and 443 are open to 0.0.0.0/0 on AWS DR, and AKS reaches Azure AI services without Private Endpoints.</w:t>
            </w:r>
          </w:p>
          <w:p w:rsidR="00000000" w:rsidDel="00000000" w:rsidP="00000000" w:rsidRDefault="00000000" w:rsidRPr="00000000" w14:paraId="0000003F">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Evidence</w:t>
            </w:r>
            <w:r w:rsidDel="00000000" w:rsidR="00000000" w:rsidRPr="00000000">
              <w:rPr>
                <w:sz w:val="17"/>
                <w:rtl w:val="0"/>
              </w:rPr>
            </w:r>
          </w:p>
          <w:p w:rsidR="00000000" w:rsidDel="00000000" w:rsidP="00000000" w:rsidRDefault="00000000" w:rsidRPr="00000000" w14:paraId="00000040">
            <w:pPr>
              <w:keepNext/>
              <w:spacing w:after="40" w:lineRule="auto" w:before="0"/>
              <w:rPr>
                <w:rFonts w:ascii="Century Gothic" w:cs="Century Gothic" w:eastAsia="Century Gothic" w:hAnsi="Century Gothic"/>
                <w:sz w:val="20"/>
                <w:szCs w:val="20"/>
              </w:rPr>
            </w:pPr>
            <w:r>
              <w:rPr>
                <w:color w:val="000000"/>
                <w:sz w:val="16"/>
              </w:rPr>
              <w:t>Gap 4: AWS DR inbound 0.0.0.0/0 on TCP/22 and TCP/443; Azure→AWS traffic crosses the public internet; AWS owner unassigned; outside Azure Policy. (Baseline diagram draws a VPN/Transit link — to be confirmed.) Gap 2: AKS reaches Azure OpenAI / Cognitive Services over public endpoints; no Private Endpoint, NSG egress rule or Azure Firewall. Policy compliance 67% vs 90% target.</w:t>
            </w:r>
          </w:p>
        </w:tc>
        <w:tc>
          <w:tcPr>
            <w:tcW w:w="1500" w:type="dxa"/>
            <w:shd w:fill="ffffff" w:val="clear"/>
            <w:tcMar>
              <w:top w:w="60.0" w:type="dxa"/>
              <w:left w:w="80.0" w:type="dxa"/>
              <w:bottom w:w="60.0" w:type="dxa"/>
              <w:right w:w="80.0" w:type="dxa"/>
            </w:tcMar>
          </w:tcPr>
          <w:p w:rsidR="00000000" w:rsidDel="00000000" w:rsidP="00000000" w:rsidRDefault="00000000" w:rsidRPr="00000000" w14:paraId="00000041">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Severity</w:t>
            </w:r>
            <w:r w:rsidDel="00000000" w:rsidR="00000000" w:rsidRPr="00000000">
              <w:rPr>
                <w:sz w:val="17"/>
                <w:rtl w:val="0"/>
              </w:rPr>
            </w:r>
          </w:p>
          <w:p w:rsidR="00000000" w:rsidDel="00000000" w:rsidP="00000000" w:rsidRDefault="00000000" w:rsidRPr="00000000" w14:paraId="00000042">
            <w:pPr>
              <w:keepNext/>
              <w:spacing w:after="40" w:lineRule="auto" w:before="0"/>
              <w:rPr>
                <w:rFonts w:ascii="Century Gothic" w:cs="Century Gothic" w:eastAsia="Century Gothic" w:hAnsi="Century Gothic"/>
                <w:sz w:val="20"/>
                <w:szCs w:val="20"/>
              </w:rPr>
            </w:pPr>
            <w:r>
              <w:rPr>
                <w:color w:val="000000"/>
                <w:sz w:val="16"/>
              </w:rPr>
              <w:t>High</w:t>
            </w:r>
          </w:p>
          <w:p w:rsidR="00000000" w:rsidDel="00000000" w:rsidP="00000000" w:rsidRDefault="00000000" w:rsidRPr="00000000" w14:paraId="00000043">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Confidence</w:t>
            </w:r>
            <w:r w:rsidDel="00000000" w:rsidR="00000000" w:rsidRPr="00000000">
              <w:rPr>
                <w:sz w:val="17"/>
                <w:rtl w:val="0"/>
              </w:rPr>
            </w:r>
          </w:p>
          <w:p w:rsidR="00000000" w:rsidDel="00000000" w:rsidP="00000000" w:rsidRDefault="00000000" w:rsidRPr="00000000" w14:paraId="00000044">
            <w:pPr>
              <w:keepNext/>
              <w:spacing w:after="40" w:lineRule="auto" w:before="0"/>
              <w:rPr>
                <w:rFonts w:ascii="Century Gothic" w:cs="Century Gothic" w:eastAsia="Century Gothic" w:hAnsi="Century Gothic"/>
                <w:sz w:val="20"/>
                <w:szCs w:val="20"/>
              </w:rPr>
            </w:pPr>
            <w:r>
              <w:rPr>
                <w:color w:val="000000"/>
                <w:sz w:val="16"/>
              </w:rPr>
              <w:t>High on configuration; Medium on the actual cross-cloud path (diagram vs report).</w:t>
            </w:r>
          </w:p>
        </w:tc>
        <w:tc>
          <w:tcPr>
            <w:tcW w:w="3430" w:type="dxa"/>
            <w:shd w:fill="f2f2f2" w:val="clear"/>
            <w:tcMar>
              <w:top w:w="60.0" w:type="dxa"/>
              <w:left w:w="80.0" w:type="dxa"/>
              <w:bottom w:w="60.0" w:type="dxa"/>
              <w:right w:w="80.0" w:type="dxa"/>
            </w:tcMar>
          </w:tcPr>
          <w:p w:rsidR="00000000" w:rsidDel="00000000" w:rsidP="00000000" w:rsidRDefault="00000000" w:rsidRPr="00000000" w14:paraId="00000045">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Impact if Unresolved</w:t>
            </w:r>
            <w:r w:rsidDel="00000000" w:rsidR="00000000" w:rsidRPr="00000000">
              <w:rPr>
                <w:sz w:val="17"/>
                <w:rtl w:val="0"/>
              </w:rPr>
            </w:r>
          </w:p>
          <w:p w:rsidR="00000000" w:rsidDel="00000000" w:rsidP="00000000" w:rsidRDefault="00000000" w:rsidRPr="00000000" w14:paraId="00000046">
            <w:pPr>
              <w:keepNext/>
              <w:spacing w:after="40" w:lineRule="auto" w:before="0"/>
              <w:rPr>
                <w:rFonts w:ascii="Century Gothic" w:cs="Century Gothic" w:eastAsia="Century Gothic" w:hAnsi="Century Gothic"/>
                <w:sz w:val="20"/>
                <w:szCs w:val="20"/>
              </w:rPr>
            </w:pPr>
            <w:r>
              <w:rPr>
                <w:color w:val="000000"/>
                <w:sz w:val="16"/>
              </w:rPr>
              <w:t>Open SSH on DR instances is a standing intrusion path into the environment that must carry traffic during an outage; PII-bearing scoring traffic leaves the Azure backbone.</w:t>
            </w:r>
          </w:p>
          <w:p w:rsidR="00000000" w:rsidDel="00000000" w:rsidP="00000000" w:rsidRDefault="00000000" w:rsidRPr="00000000" w14:paraId="00000047">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Diagram Callout #</w:t>
            </w:r>
            <w:r w:rsidDel="00000000" w:rsidR="00000000" w:rsidRPr="00000000">
              <w:rPr>
                <w:sz w:val="17"/>
                <w:rtl w:val="0"/>
              </w:rPr>
            </w:r>
          </w:p>
          <w:p w:rsidR="00000000" w:rsidDel="00000000" w:rsidP="00000000" w:rsidRDefault="00000000" w:rsidRPr="00000000" w14:paraId="00000048">
            <w:pPr>
              <w:keepNext/>
              <w:spacing w:after="40" w:lineRule="auto" w:before="0"/>
              <w:rPr>
                <w:rFonts w:ascii="Century Gothic" w:cs="Century Gothic" w:eastAsia="Century Gothic" w:hAnsi="Century Gothic"/>
                <w:sz w:val="20"/>
                <w:szCs w:val="20"/>
              </w:rPr>
            </w:pPr>
            <w:r>
              <w:rPr>
                <w:color w:val="000000"/>
                <w:sz w:val="16"/>
              </w:rPr>
              <w:t>Callout 2B (DR inference endpoint; Network perimeter)</w:t>
            </w:r>
          </w:p>
        </w:tc>
      </w:tr>
      <w:tr>
        <w:trPr>
          <w:cantSplit w:val="0"/>
          <w:tblHeader w:val="0"/>
          <w:cantSplit/>
        </w:trPr>
        <w:tc>
          <w:tcPr>
            <w:tcW w:w="5000" w:type="dxa"/>
            <w:shd w:fill="ffffff" w:val="clear"/>
            <w:tcMar>
              <w:top w:w="60.0" w:type="dxa"/>
              <w:left w:w="80.0" w:type="dxa"/>
              <w:bottom w:w="60.0" w:type="dxa"/>
              <w:right w:w="80.0" w:type="dxa"/>
            </w:tcMar>
          </w:tcPr>
          <w:p w:rsidR="00000000" w:rsidDel="00000000" w:rsidP="00000000" w:rsidRDefault="00000000" w:rsidRPr="00000000" w14:paraId="00000049">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Remediation Idea</w:t>
            </w:r>
            <w:r w:rsidDel="00000000" w:rsidR="00000000" w:rsidRPr="00000000">
              <w:rPr>
                <w:sz w:val="17"/>
                <w:rtl w:val="0"/>
              </w:rPr>
            </w:r>
          </w:p>
          <w:p w:rsidR="00000000" w:rsidDel="00000000" w:rsidP="00000000" w:rsidRDefault="00000000" w:rsidRPr="00000000" w14:paraId="0000004A">
            <w:pPr>
              <w:spacing w:after="40" w:lineRule="auto" w:before="0"/>
              <w:rPr>
                <w:rFonts w:ascii="Century Gothic" w:cs="Century Gothic" w:eastAsia="Century Gothic" w:hAnsi="Century Gothic"/>
                <w:sz w:val="20"/>
                <w:szCs w:val="20"/>
              </w:rPr>
            </w:pPr>
            <w:r>
              <w:rPr>
                <w:color w:val="000000"/>
                <w:sz w:val="16"/>
              </w:rPr>
              <w:t>Remove inbound 0.0.0.0/0 TCP/22 on the AWS DR security groups, replace it with AWS Systems Manager Session Manager and name an AWS environment owner; then restrict TCP/443 to Azure egress IPs and add Private Endpoints for Azure OpenAI and Cognitive Services.</w:t>
            </w:r>
          </w:p>
        </w:tc>
        <w:tc>
          <w:tcPr>
            <w:tcW w:w="1500" w:type="dxa"/>
            <w:shd w:fill="f2f2f2" w:val="clear"/>
            <w:tcMar>
              <w:top w:w="60.0" w:type="dxa"/>
              <w:left w:w="80.0" w:type="dxa"/>
              <w:bottom w:w="60.0" w:type="dxa"/>
              <w:right w:w="80.0" w:type="dxa"/>
            </w:tcMar>
          </w:tcPr>
          <w:p w:rsidR="00000000" w:rsidDel="00000000" w:rsidP="00000000" w:rsidRDefault="00000000" w:rsidRPr="00000000" w14:paraId="0000004B">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Effort Band</w:t>
            </w:r>
            <w:r w:rsidDel="00000000" w:rsidR="00000000" w:rsidRPr="00000000">
              <w:rPr>
                <w:sz w:val="17"/>
                <w:rtl w:val="0"/>
              </w:rPr>
            </w:r>
          </w:p>
          <w:p w:rsidR="00000000" w:rsidDel="00000000" w:rsidP="00000000" w:rsidRDefault="00000000" w:rsidRPr="00000000" w14:paraId="0000004C">
            <w:pPr>
              <w:spacing w:after="40" w:lineRule="auto" w:before="0"/>
              <w:rPr>
                <w:rFonts w:ascii="Century Gothic" w:cs="Century Gothic" w:eastAsia="Century Gothic" w:hAnsi="Century Gothic"/>
                <w:sz w:val="20"/>
                <w:szCs w:val="20"/>
              </w:rPr>
            </w:pPr>
            <w:r>
              <w:rPr>
                <w:color w:val="000000"/>
                <w:sz w:val="16"/>
              </w:rPr>
              <w:t>Quick win &lt;2d (SSH); Moderate 1–2w (443 + Private Endpoints)</w:t>
            </w:r>
          </w:p>
        </w:tc>
        <w:tc>
          <w:tcPr>
            <w:tcW w:w="3430" w:type="dxa"/>
            <w:shd w:fill="ffffff" w:val="clear"/>
            <w:tcMar>
              <w:top w:w="60.0" w:type="dxa"/>
              <w:left w:w="80.0" w:type="dxa"/>
              <w:bottom w:w="60.0" w:type="dxa"/>
              <w:right w:w="80.0" w:type="dxa"/>
            </w:tcMar>
          </w:tcPr>
          <w:p w:rsidR="00000000" w:rsidDel="00000000" w:rsidP="00000000" w:rsidRDefault="00000000" w:rsidRPr="00000000" w14:paraId="0000004D">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Success Metric</w:t>
            </w:r>
            <w:r w:rsidDel="00000000" w:rsidR="00000000" w:rsidRPr="00000000">
              <w:rPr>
                <w:sz w:val="17"/>
                <w:rtl w:val="0"/>
              </w:rPr>
            </w:r>
          </w:p>
          <w:p w:rsidR="00000000" w:rsidDel="00000000" w:rsidP="00000000" w:rsidRDefault="00000000" w:rsidRPr="00000000" w14:paraId="0000004E">
            <w:pPr>
              <w:spacing w:after="40" w:lineRule="auto" w:before="0"/>
              <w:rPr>
                <w:rFonts w:ascii="Century Gothic" w:cs="Century Gothic" w:eastAsia="Century Gothic" w:hAnsi="Century Gothic"/>
                <w:sz w:val="20"/>
                <w:szCs w:val="20"/>
              </w:rPr>
            </w:pPr>
            <w:r>
              <w:rPr>
                <w:color w:val="000000"/>
                <w:sz w:val="16"/>
              </w:rPr>
              <w:t>Port 22 closed and 443 allow-listed on DR instances; 0 public endpoints on AI services; Azure Policy compliance ≥90%.</w:t>
            </w:r>
          </w:p>
          <w:p w:rsidR="00000000" w:rsidDel="00000000" w:rsidP="00000000" w:rsidRDefault="00000000" w:rsidRPr="00000000" w14:paraId="0000004F">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Compliance Link</w:t>
            </w:r>
            <w:r w:rsidDel="00000000" w:rsidR="00000000" w:rsidRPr="00000000">
              <w:rPr>
                <w:sz w:val="17"/>
                <w:rtl w:val="0"/>
              </w:rPr>
            </w:r>
          </w:p>
          <w:p w:rsidR="00000000" w:rsidDel="00000000" w:rsidP="00000000" w:rsidRDefault="00000000" w:rsidRPr="00000000" w14:paraId="00000050">
            <w:pPr>
              <w:spacing w:after="40" w:lineRule="auto" w:before="0"/>
              <w:rPr>
                <w:rFonts w:ascii="Century Gothic" w:cs="Century Gothic" w:eastAsia="Century Gothic" w:hAnsi="Century Gothic"/>
                <w:sz w:val="20"/>
                <w:szCs w:val="20"/>
              </w:rPr>
            </w:pPr>
            <w:r>
              <w:rPr>
                <w:color w:val="000000"/>
                <w:sz w:val="16"/>
              </w:rPr>
              <w:t>PCI DSS v4.0 Req 1.3 (per policy report); SOC 2 CC6.6; ASB NS-3 / NS-7. AWS: principle applies; AWS-native tooling differs.</w:t>
            </w:r>
          </w:p>
        </w:tc>
      </w:tr>
    </w:tbl>
    <w:p w:rsidR="00000000" w:rsidDel="00000000" w:rsidP="00000000" w:rsidRDefault="00000000" w:rsidRPr="00000000" w14:paraId="00000051">
      <w:pPr>
        <w:spacing w:after="0" w:before="0" w:line="100" w:lineRule="exact"/>
        <w:rPr>
          <w:rFonts w:ascii="Century Gothic" w:cs="Century Gothic" w:eastAsia="Century Gothic" w:hAnsi="Century Gothic"/>
          <w:sz w:val="20"/>
          <w:szCs w:val="20"/>
        </w:rPr>
      </w:pPr>
      <w:r w:rsidDel="00000000" w:rsidR="00000000" w:rsidRPr="00000000">
        <w:rPr>
          <w:rtl w:val="0"/>
          <w:sz w:val="8"/>
        </w:rPr>
      </w:r>
    </w:p>
    <w:tbl>
      <w:tblPr>
        <w:tblStyle w:val="Table4"/>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1500"/>
        <w:gridCol w:w="3430"/>
        <w:tblGridChange w:id="0">
          <w:tblGrid>
            <w:gridCol w:w="4675"/>
            <w:gridCol w:w="1440"/>
            <w:gridCol w:w="3245"/>
          </w:tblGrid>
        </w:tblGridChange>
      </w:tblGrid>
      <w:tr>
        <w:trPr>
          <w:cantSplit w:val="0"/>
          <w:tblHeader w:val="1"/>
          <w:cantSplit/>
        </w:trPr>
        <w:tc>
          <w:tcPr>
            <w:tcW w:w="9930" w:type="dxa"/>
            <w:gridSpan w:val="3"/>
            <w:shd w:fill="7f6000" w:val="clear"/>
            <w:tcMar>
              <w:top w:w="60.0" w:type="dxa"/>
              <w:left w:w="100.0" w:type="dxa"/>
              <w:bottom w:w="60.0" w:type="dxa"/>
              <w:right w:w="100.0" w:type="dxa"/>
            </w:tcMar>
          </w:tcPr>
          <w:p w:rsidR="00000000" w:rsidDel="00000000" w:rsidP="00000000" w:rsidRDefault="00000000" w:rsidRPr="00000000" w14:paraId="00000052">
            <w:pPr>
              <w:keepNext/>
              <w:rPr>
                <w:rFonts w:ascii="Century Gothic" w:cs="Century Gothic" w:eastAsia="Century Gothic" w:hAnsi="Century Gothic"/>
                <w:sz w:val="20"/>
                <w:szCs w:val="20"/>
              </w:rPr>
            </w:pPr>
            <w:r>
              <w:rPr>
                <w:b/>
                <w:color w:val="FFFFFF"/>
                <w:sz w:val="19"/>
              </w:rPr>
              <w:t>PILLAR 3: COST OPTIMIZATION — FINDING 3</w:t>
            </w:r>
          </w:p>
        </w:tc>
      </w:tr>
      <w:tr>
        <w:trPr>
          <w:cantSplit w:val="0"/>
          <w:tblHeader w:val="0"/>
          <w:cantSplit/>
        </w:trPr>
        <w:tc>
          <w:tcPr>
            <w:tcW w:w="5000" w:type="dxa"/>
            <w:shd w:fill="f2f2f2" w:val="clear"/>
            <w:tcMar>
              <w:top w:w="60.0" w:type="dxa"/>
              <w:left w:w="80.0" w:type="dxa"/>
              <w:bottom w:w="60.0" w:type="dxa"/>
              <w:right w:w="80.0" w:type="dxa"/>
            </w:tcMar>
          </w:tcPr>
          <w:p w:rsidR="00000000" w:rsidDel="00000000" w:rsidP="00000000" w:rsidRDefault="00000000" w:rsidRPr="00000000" w14:paraId="00000055">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Finding</w:t>
            </w:r>
            <w:r w:rsidDel="00000000" w:rsidR="00000000" w:rsidRPr="00000000">
              <w:rPr>
                <w:sz w:val="17"/>
                <w:rtl w:val="0"/>
              </w:rPr>
            </w:r>
          </w:p>
          <w:p w:rsidR="00000000" w:rsidDel="00000000" w:rsidP="00000000" w:rsidRDefault="00000000" w:rsidRPr="00000000" w14:paraId="00000056">
            <w:pPr>
              <w:keepNext/>
              <w:spacing w:after="40" w:lineRule="auto" w:before="0"/>
              <w:rPr>
                <w:rFonts w:ascii="Century Gothic" w:cs="Century Gothic" w:eastAsia="Century Gothic" w:hAnsi="Century Gothic"/>
                <w:sz w:val="20"/>
                <w:szCs w:val="20"/>
              </w:rPr>
            </w:pPr>
            <w:r>
              <w:rPr>
                <w:color w:val="000000"/>
                <w:sz w:val="16"/>
              </w:rPr>
              <w:t>GPU spend ran 40.5% over budget because A100 clusters are never deallocated, nothing autoscales, and no Spot or reserved capacity is used.</w:t>
            </w:r>
          </w:p>
          <w:p w:rsidR="00000000" w:rsidDel="00000000" w:rsidP="00000000" w:rsidRDefault="00000000" w:rsidRPr="00000000" w14:paraId="00000057">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Evidence</w:t>
            </w:r>
            <w:r w:rsidDel="00000000" w:rsidR="00000000" w:rsidRPr="00000000">
              <w:rPr>
                <w:sz w:val="17"/>
                <w:rtl w:val="0"/>
              </w:rPr>
            </w:r>
          </w:p>
          <w:p w:rsidR="00000000" w:rsidDel="00000000" w:rsidP="00000000" w:rsidRDefault="00000000" w:rsidRPr="00000000" w14:paraId="00000058">
            <w:pPr>
              <w:keepNext/>
              <w:spacing w:after="40" w:lineRule="auto" w:before="0"/>
              <w:rPr>
                <w:rFonts w:ascii="Century Gothic" w:cs="Century Gothic" w:eastAsia="Century Gothic" w:hAnsi="Century Gothic"/>
                <w:sz w:val="20"/>
                <w:szCs w:val="20"/>
              </w:rPr>
            </w:pPr>
            <w:r>
              <w:rPr>
                <w:color w:val="000000"/>
                <w:sz w:val="16"/>
              </w:rPr>
              <w:t>GPU cost snapshot Q1 2026: $119,421 actual vs $85,000 budget (+$34,421). A100 batch retraining +$19,840 (23% average utilization, idle 18–20 h/day) and A100 offline scoring +$6,420 (34%) are 76% of the overage; real-time T4 endpoint +$7,720 (8% utilization 00:00–06:00, no scale-to-zero). AWS DR adds $2,100/month (24/7), outside the Azure budget.</w:t>
            </w:r>
          </w:p>
        </w:tc>
        <w:tc>
          <w:tcPr>
            <w:tcW w:w="1500" w:type="dxa"/>
            <w:shd w:fill="ffffff" w:val="clear"/>
            <w:tcMar>
              <w:top w:w="60.0" w:type="dxa"/>
              <w:left w:w="80.0" w:type="dxa"/>
              <w:bottom w:w="60.0" w:type="dxa"/>
              <w:right w:w="80.0" w:type="dxa"/>
            </w:tcMar>
          </w:tcPr>
          <w:p w:rsidR="00000000" w:rsidDel="00000000" w:rsidP="00000000" w:rsidRDefault="00000000" w:rsidRPr="00000000" w14:paraId="00000059">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Severity</w:t>
            </w:r>
            <w:r w:rsidDel="00000000" w:rsidR="00000000" w:rsidRPr="00000000">
              <w:rPr>
                <w:sz w:val="17"/>
                <w:rtl w:val="0"/>
              </w:rPr>
            </w:r>
          </w:p>
          <w:p w:rsidR="00000000" w:rsidDel="00000000" w:rsidP="00000000" w:rsidRDefault="00000000" w:rsidRPr="00000000" w14:paraId="0000005A">
            <w:pPr>
              <w:keepNext/>
              <w:spacing w:after="40" w:lineRule="auto" w:before="0"/>
              <w:rPr>
                <w:rFonts w:ascii="Century Gothic" w:cs="Century Gothic" w:eastAsia="Century Gothic" w:hAnsi="Century Gothic"/>
                <w:sz w:val="20"/>
                <w:szCs w:val="20"/>
              </w:rPr>
            </w:pPr>
            <w:r>
              <w:rPr>
                <w:color w:val="000000"/>
                <w:sz w:val="16"/>
              </w:rPr>
              <w:t>Medium</w:t>
            </w:r>
          </w:p>
          <w:p w:rsidR="00000000" w:rsidDel="00000000" w:rsidP="00000000" w:rsidRDefault="00000000" w:rsidRPr="00000000" w14:paraId="0000005B">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Confidence</w:t>
            </w:r>
            <w:r w:rsidDel="00000000" w:rsidR="00000000" w:rsidRPr="00000000">
              <w:rPr>
                <w:sz w:val="17"/>
                <w:rtl w:val="0"/>
              </w:rPr>
            </w:r>
          </w:p>
          <w:p w:rsidR="00000000" w:rsidDel="00000000" w:rsidP="00000000" w:rsidRDefault="00000000" w:rsidRPr="00000000" w14:paraId="0000005C">
            <w:pPr>
              <w:keepNext/>
              <w:spacing w:after="40" w:lineRule="auto" w:before="0"/>
              <w:rPr>
                <w:rFonts w:ascii="Century Gothic" w:cs="Century Gothic" w:eastAsia="Century Gothic" w:hAnsi="Century Gothic"/>
                <w:sz w:val="20"/>
                <w:szCs w:val="20"/>
              </w:rPr>
            </w:pPr>
            <w:r>
              <w:rPr>
                <w:color w:val="000000"/>
                <w:sz w:val="16"/>
              </w:rPr>
              <w:t>High on spend; Medium on savings (snapshot quotes $15K–$18K/quarter and $19K–$22K/year for the same action).</w:t>
            </w:r>
          </w:p>
        </w:tc>
        <w:tc>
          <w:tcPr>
            <w:tcW w:w="3430" w:type="dxa"/>
            <w:shd w:fill="f2f2f2" w:val="clear"/>
            <w:tcMar>
              <w:top w:w="60.0" w:type="dxa"/>
              <w:left w:w="80.0" w:type="dxa"/>
              <w:bottom w:w="60.0" w:type="dxa"/>
              <w:right w:w="80.0" w:type="dxa"/>
            </w:tcMar>
          </w:tcPr>
          <w:p w:rsidR="00000000" w:rsidDel="00000000" w:rsidP="00000000" w:rsidRDefault="00000000" w:rsidRPr="00000000" w14:paraId="0000005D">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Impact if Unresolved</w:t>
            </w:r>
            <w:r w:rsidDel="00000000" w:rsidR="00000000" w:rsidRPr="00000000">
              <w:rPr>
                <w:sz w:val="17"/>
                <w:rtl w:val="0"/>
              </w:rPr>
            </w:r>
          </w:p>
          <w:p w:rsidR="00000000" w:rsidDel="00000000" w:rsidP="00000000" w:rsidRDefault="00000000" w:rsidRPr="00000000" w14:paraId="0000005E">
            <w:pPr>
              <w:keepNext/>
              <w:spacing w:after="40" w:lineRule="auto" w:before="0"/>
              <w:rPr>
                <w:rFonts w:ascii="Century Gothic" w:cs="Century Gothic" w:eastAsia="Century Gothic" w:hAnsi="Century Gothic"/>
                <w:sz w:val="20"/>
                <w:szCs w:val="20"/>
              </w:rPr>
            </w:pPr>
            <w:r>
              <w:rPr>
                <w:color w:val="000000"/>
                <w:sz w:val="16"/>
              </w:rPr>
              <w:t>The pilot already overspends by ~$11K a month; at production scale idle A100 hours compound and consume budget needed for the risk fixes.</w:t>
            </w:r>
          </w:p>
          <w:p w:rsidR="00000000" w:rsidDel="00000000" w:rsidP="00000000" w:rsidRDefault="00000000" w:rsidRPr="00000000" w14:paraId="0000005F">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Diagram Callout #</w:t>
            </w:r>
            <w:r w:rsidDel="00000000" w:rsidR="00000000" w:rsidRPr="00000000">
              <w:rPr>
                <w:sz w:val="17"/>
                <w:rtl w:val="0"/>
              </w:rPr>
            </w:r>
          </w:p>
          <w:p w:rsidR="00000000" w:rsidDel="00000000" w:rsidP="00000000" w:rsidRDefault="00000000" w:rsidRPr="00000000" w14:paraId="00000060">
            <w:pPr>
              <w:keepNext/>
              <w:spacing w:after="40" w:lineRule="auto" w:before="0"/>
              <w:rPr>
                <w:rFonts w:ascii="Century Gothic" w:cs="Century Gothic" w:eastAsia="Century Gothic" w:hAnsi="Century Gothic"/>
                <w:sz w:val="20"/>
                <w:szCs w:val="20"/>
              </w:rPr>
            </w:pPr>
            <w:r>
              <w:rPr>
                <w:color w:val="000000"/>
                <w:sz w:val="16"/>
              </w:rPr>
              <w:t>Callout 3 (GPU inference cluster; Batch inference scheduler)</w:t>
            </w:r>
          </w:p>
        </w:tc>
      </w:tr>
      <w:tr>
        <w:trPr>
          <w:cantSplit w:val="0"/>
          <w:trHeight w:val="1676.84375" w:hRule="atLeast"/>
          <w:tblHeader w:val="0"/>
          <w:cantSplit/>
        </w:trPr>
        <w:tc>
          <w:tcPr>
            <w:tcW w:w="5000" w:type="dxa"/>
            <w:shd w:fill="ffffff" w:val="clear"/>
            <w:tcMar>
              <w:top w:w="60.0" w:type="dxa"/>
              <w:left w:w="80.0" w:type="dxa"/>
              <w:bottom w:w="60.0" w:type="dxa"/>
              <w:right w:w="80.0" w:type="dxa"/>
            </w:tcMar>
          </w:tcPr>
          <w:p w:rsidR="00000000" w:rsidDel="00000000" w:rsidP="00000000" w:rsidRDefault="00000000" w:rsidRPr="00000000" w14:paraId="00000061">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Remediation Idea</w:t>
            </w:r>
            <w:r w:rsidDel="00000000" w:rsidR="00000000" w:rsidRPr="00000000">
              <w:rPr>
                <w:sz w:val="17"/>
                <w:rtl w:val="0"/>
              </w:rPr>
            </w:r>
          </w:p>
          <w:p w:rsidR="00000000" w:rsidDel="00000000" w:rsidP="00000000" w:rsidRDefault="00000000" w:rsidRPr="00000000" w14:paraId="00000062">
            <w:pPr>
              <w:spacing w:after="40" w:lineRule="auto" w:before="0"/>
              <w:rPr>
                <w:rFonts w:ascii="Century Gothic" w:cs="Century Gothic" w:eastAsia="Century Gothic" w:hAnsi="Century Gothic"/>
                <w:sz w:val="20"/>
                <w:szCs w:val="20"/>
              </w:rPr>
            </w:pPr>
            <w:r>
              <w:rPr>
                <w:color w:val="000000"/>
                <w:sz w:val="16"/>
              </w:rPr>
              <w:t>Enable idle auto-deallocation (idleSecondsBeforeScaleDown=300) on the A100 clusters and autoscaling on the managed online endpoint (minReplicas=1 overnight, scale out at GPU &gt;70%); next, move batch retraining to Spot NCasT4_v3 and reserve the 4 inference T4 nodes for 1 year.</w:t>
            </w:r>
          </w:p>
        </w:tc>
        <w:tc>
          <w:tcPr>
            <w:tcW w:w="1500" w:type="dxa"/>
            <w:shd w:fill="f2f2f2" w:val="clear"/>
            <w:tcMar>
              <w:top w:w="60.0" w:type="dxa"/>
              <w:left w:w="80.0" w:type="dxa"/>
              <w:bottom w:w="60.0" w:type="dxa"/>
              <w:right w:w="80.0" w:type="dxa"/>
            </w:tcMar>
          </w:tcPr>
          <w:p w:rsidR="00000000" w:rsidDel="00000000" w:rsidP="00000000" w:rsidRDefault="00000000" w:rsidRPr="00000000" w14:paraId="00000063">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Effort Band</w:t>
            </w:r>
            <w:r w:rsidDel="00000000" w:rsidR="00000000" w:rsidRPr="00000000">
              <w:rPr>
                <w:sz w:val="17"/>
                <w:rtl w:val="0"/>
              </w:rPr>
            </w:r>
          </w:p>
          <w:p w:rsidR="00000000" w:rsidDel="00000000" w:rsidP="00000000" w:rsidRDefault="00000000" w:rsidRPr="00000000" w14:paraId="00000064">
            <w:pPr>
              <w:spacing w:after="40" w:lineRule="auto" w:before="0"/>
              <w:rPr>
                <w:rFonts w:ascii="Century Gothic" w:cs="Century Gothic" w:eastAsia="Century Gothic" w:hAnsi="Century Gothic"/>
                <w:sz w:val="20"/>
                <w:szCs w:val="20"/>
              </w:rPr>
            </w:pPr>
            <w:r>
              <w:rPr>
                <w:color w:val="000000"/>
                <w:sz w:val="16"/>
              </w:rPr>
              <w:t>Quick win &lt;2d (Spot migration 2–3 w follows)</w:t>
            </w:r>
          </w:p>
        </w:tc>
        <w:tc>
          <w:tcPr>
            <w:tcW w:w="3430" w:type="dxa"/>
            <w:shd w:fill="ffffff" w:val="clear"/>
            <w:tcMar>
              <w:top w:w="60.0" w:type="dxa"/>
              <w:left w:w="80.0" w:type="dxa"/>
              <w:bottom w:w="60.0" w:type="dxa"/>
              <w:right w:w="80.0" w:type="dxa"/>
            </w:tcMar>
          </w:tcPr>
          <w:p w:rsidR="00000000" w:rsidDel="00000000" w:rsidP="00000000" w:rsidRDefault="00000000" w:rsidRPr="00000000" w14:paraId="00000065">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Success Metric</w:t>
            </w:r>
            <w:r w:rsidDel="00000000" w:rsidR="00000000" w:rsidRPr="00000000">
              <w:rPr>
                <w:sz w:val="17"/>
                <w:rtl w:val="0"/>
              </w:rPr>
            </w:r>
          </w:p>
          <w:p w:rsidR="00000000" w:rsidDel="00000000" w:rsidP="00000000" w:rsidRDefault="00000000" w:rsidRPr="00000000" w14:paraId="00000066">
            <w:pPr>
              <w:spacing w:after="40" w:lineRule="auto" w:before="0"/>
              <w:rPr>
                <w:rFonts w:ascii="Century Gothic" w:cs="Century Gothic" w:eastAsia="Century Gothic" w:hAnsi="Century Gothic"/>
                <w:sz w:val="20"/>
                <w:szCs w:val="20"/>
              </w:rPr>
            </w:pPr>
            <w:r>
              <w:rPr>
                <w:color w:val="000000"/>
                <w:sz w:val="16"/>
              </w:rPr>
              <w:t>A100 idle &lt;1 h/day; Q2 GPU overage cut from +40.5% to ≤+20% (est. $18K–$22K/quarter from these two changes).</w:t>
            </w:r>
          </w:p>
          <w:p w:rsidR="00000000" w:rsidDel="00000000" w:rsidP="00000000" w:rsidRDefault="00000000" w:rsidRPr="00000000" w14:paraId="00000067">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Compliance Link</w:t>
            </w:r>
            <w:r w:rsidDel="00000000" w:rsidR="00000000" w:rsidRPr="00000000">
              <w:rPr>
                <w:sz w:val="17"/>
                <w:rtl w:val="0"/>
              </w:rPr>
            </w:r>
          </w:p>
          <w:p w:rsidR="00000000" w:rsidDel="00000000" w:rsidP="00000000" w:rsidRDefault="00000000" w:rsidRPr="00000000" w14:paraId="00000068">
            <w:pPr>
              <w:spacing w:after="40" w:lineRule="auto" w:before="0"/>
              <w:rPr>
                <w:rFonts w:ascii="Century Gothic" w:cs="Century Gothic" w:eastAsia="Century Gothic" w:hAnsi="Century Gothic"/>
                <w:sz w:val="20"/>
                <w:szCs w:val="20"/>
              </w:rPr>
            </w:pPr>
            <w:r>
              <w:rPr>
                <w:color w:val="000000"/>
                <w:sz w:val="16"/>
              </w:rPr>
              <w:t>None</w:t>
            </w:r>
          </w:p>
        </w:tc>
      </w:tr>
    </w:tbl>
    <w:p w:rsidR="00000000" w:rsidDel="00000000" w:rsidP="00000000" w:rsidRDefault="00000000" w:rsidRPr="00000000" w14:paraId="00000069">
      <w:pPr>
        <w:spacing w:after="0" w:before="0" w:line="100" w:lineRule="exact"/>
        <w:rPr>
          <w:rFonts w:ascii="Century Gothic" w:cs="Century Gothic" w:eastAsia="Century Gothic" w:hAnsi="Century Gothic"/>
          <w:sz w:val="20"/>
          <w:szCs w:val="20"/>
        </w:rPr>
      </w:pPr>
      <w:r w:rsidDel="00000000" w:rsidR="00000000" w:rsidRPr="00000000">
        <w:rPr>
          <w:rtl w:val="0"/>
          <w:sz w:val="8"/>
        </w:rPr>
      </w:r>
    </w:p>
    <w:tbl>
      <w:tblPr>
        <w:tblStyle w:val="Table5"/>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1500"/>
        <w:gridCol w:w="3430"/>
        <w:tblGridChange w:id="0">
          <w:tblGrid>
            <w:gridCol w:w="4710"/>
            <w:gridCol w:w="1440"/>
            <w:gridCol w:w="3210"/>
          </w:tblGrid>
        </w:tblGridChange>
      </w:tblGrid>
      <w:tr>
        <w:trPr>
          <w:cantSplit w:val="0"/>
          <w:tblHeader w:val="1"/>
          <w:cantSplit/>
        </w:trPr>
        <w:tc>
          <w:tcPr>
            <w:tcW w:w="9930" w:type="dxa"/>
            <w:gridSpan w:val="3"/>
            <w:shd w:fill="1f3864" w:val="clear"/>
            <w:tcMar>
              <w:top w:w="60.0" w:type="dxa"/>
              <w:left w:w="100.0" w:type="dxa"/>
              <w:bottom w:w="60.0" w:type="dxa"/>
              <w:right w:w="100.0" w:type="dxa"/>
            </w:tcMar>
          </w:tcPr>
          <w:p w:rsidR="00000000" w:rsidDel="00000000" w:rsidP="00000000" w:rsidRDefault="00000000" w:rsidRPr="00000000" w14:paraId="0000006A">
            <w:pPr>
              <w:keepNext/>
              <w:rPr>
                <w:rFonts w:ascii="Century Gothic" w:cs="Century Gothic" w:eastAsia="Century Gothic" w:hAnsi="Century Gothic"/>
                <w:sz w:val="20"/>
                <w:szCs w:val="20"/>
              </w:rPr>
            </w:pPr>
            <w:r>
              <w:rPr>
                <w:b/>
                <w:color w:val="FFFFFF"/>
                <w:sz w:val="19"/>
              </w:rPr>
              <w:t>PILLAR 4: OPERATIONAL EXCELLENCE — FINDING 4</w:t>
            </w:r>
          </w:p>
        </w:tc>
      </w:tr>
      <w:tr>
        <w:trPr>
          <w:cantSplit w:val="0"/>
          <w:tblHeader w:val="0"/>
          <w:cantSplit/>
        </w:trPr>
        <w:tc>
          <w:tcPr>
            <w:tcW w:w="5000" w:type="dxa"/>
            <w:shd w:fill="f2f2f2" w:val="clear"/>
            <w:tcMar>
              <w:top w:w="60.0" w:type="dxa"/>
              <w:left w:w="80.0" w:type="dxa"/>
              <w:bottom w:w="60.0" w:type="dxa"/>
              <w:right w:w="80.0" w:type="dxa"/>
            </w:tcMar>
          </w:tcPr>
          <w:p w:rsidR="00000000" w:rsidDel="00000000" w:rsidP="00000000" w:rsidRDefault="00000000" w:rsidRPr="00000000" w14:paraId="0000006D">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Finding</w:t>
            </w:r>
            <w:r w:rsidDel="00000000" w:rsidR="00000000" w:rsidRPr="00000000">
              <w:rPr>
                <w:sz w:val="17"/>
                <w:rtl w:val="0"/>
              </w:rPr>
            </w:r>
          </w:p>
          <w:p w:rsidR="00000000" w:rsidDel="00000000" w:rsidP="00000000" w:rsidRDefault="00000000" w:rsidRPr="00000000" w14:paraId="0000006E">
            <w:pPr>
              <w:keepNext/>
              <w:spacing w:after="40" w:lineRule="auto" w:before="0"/>
              <w:rPr>
                <w:rFonts w:ascii="Century Gothic" w:cs="Century Gothic" w:eastAsia="Century Gothic" w:hAnsi="Century Gothic"/>
                <w:sz w:val="20"/>
                <w:szCs w:val="20"/>
              </w:rPr>
            </w:pPr>
            <w:r>
              <w:rPr>
                <w:color w:val="000000"/>
                <w:sz w:val="16"/>
              </w:rPr>
              <w:t>No runbooks, escalation path, blameless postmortem or change control exist, and AKS / AML audit logs are not retained — incidents are resolved ad hoc and cannot be reconstructed.</w:t>
            </w:r>
          </w:p>
          <w:p w:rsidR="00000000" w:rsidDel="00000000" w:rsidP="00000000" w:rsidRDefault="00000000" w:rsidRPr="00000000" w14:paraId="0000006F">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Evidence</w:t>
            </w:r>
            <w:r w:rsidDel="00000000" w:rsidR="00000000" w:rsidRPr="00000000">
              <w:rPr>
                <w:sz w:val="17"/>
                <w:rtl w:val="0"/>
              </w:rPr>
            </w:r>
          </w:p>
          <w:p w:rsidR="00000000" w:rsidDel="00000000" w:rsidP="00000000" w:rsidRDefault="00000000" w:rsidRPr="00000000" w14:paraId="00000070">
            <w:pPr>
              <w:keepNext/>
              <w:spacing w:after="40" w:lineRule="auto" w:before="0"/>
              <w:rPr>
                <w:rFonts w:ascii="Century Gothic" w:cs="Century Gothic" w:eastAsia="Century Gothic" w:hAnsi="Century Gothic"/>
                <w:sz w:val="20"/>
                <w:szCs w:val="20"/>
              </w:rPr>
            </w:pPr>
            <w:r>
              <w:rPr>
                <w:color w:val="000000"/>
                <w:sz w:val="16"/>
              </w:rPr>
              <w:t>INC-002 (1 Apr): alert 10:14, engineer reached 10:31 via an unmonitored Slack channel (17 min); no runbook; informal write-up. INC-001: email-only alerting. INC-003: Security changed the Blob firewall without telling Platform; no change process; edge IPs not in IaC. Gap 6: AKS kube-audit and AML endpoint logs not retained — scoring activity “not reconstructable”. Edge nodes and AWS DR sit outside Azure Policy (no Azure Arc).</w:t>
            </w:r>
          </w:p>
        </w:tc>
        <w:tc>
          <w:tcPr>
            <w:tcW w:w="1500" w:type="dxa"/>
            <w:shd w:fill="ffffff" w:val="clear"/>
            <w:tcMar>
              <w:top w:w="60.0" w:type="dxa"/>
              <w:left w:w="80.0" w:type="dxa"/>
              <w:bottom w:w="60.0" w:type="dxa"/>
              <w:right w:w="80.0" w:type="dxa"/>
            </w:tcMar>
          </w:tcPr>
          <w:p w:rsidR="00000000" w:rsidDel="00000000" w:rsidP="00000000" w:rsidRDefault="00000000" w:rsidRPr="00000000" w14:paraId="00000071">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Severity</w:t>
            </w:r>
            <w:r w:rsidDel="00000000" w:rsidR="00000000" w:rsidRPr="00000000">
              <w:rPr>
                <w:sz w:val="17"/>
                <w:rtl w:val="0"/>
              </w:rPr>
            </w:r>
          </w:p>
          <w:p w:rsidR="00000000" w:rsidDel="00000000" w:rsidP="00000000" w:rsidRDefault="00000000" w:rsidRPr="00000000" w14:paraId="00000072">
            <w:pPr>
              <w:keepNext/>
              <w:spacing w:after="40" w:lineRule="auto" w:before="0"/>
              <w:rPr>
                <w:rFonts w:ascii="Century Gothic" w:cs="Century Gothic" w:eastAsia="Century Gothic" w:hAnsi="Century Gothic"/>
                <w:sz w:val="20"/>
                <w:szCs w:val="20"/>
              </w:rPr>
            </w:pPr>
            <w:r>
              <w:rPr>
                <w:color w:val="000000"/>
                <w:sz w:val="16"/>
              </w:rPr>
              <w:t>High</w:t>
            </w:r>
          </w:p>
          <w:p w:rsidR="00000000" w:rsidDel="00000000" w:rsidP="00000000" w:rsidRDefault="00000000" w:rsidRPr="00000000" w14:paraId="00000073">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Confidence</w:t>
            </w:r>
            <w:r w:rsidDel="00000000" w:rsidR="00000000" w:rsidRPr="00000000">
              <w:rPr>
                <w:sz w:val="17"/>
                <w:rtl w:val="0"/>
              </w:rPr>
            </w:r>
          </w:p>
          <w:p w:rsidR="00000000" w:rsidDel="00000000" w:rsidP="00000000" w:rsidRDefault="00000000" w:rsidRPr="00000000" w14:paraId="00000074">
            <w:pPr>
              <w:keepNext/>
              <w:spacing w:after="40" w:lineRule="auto" w:before="0"/>
              <w:rPr>
                <w:rFonts w:ascii="Century Gothic" w:cs="Century Gothic" w:eastAsia="Century Gothic" w:hAnsi="Century Gothic"/>
                <w:sz w:val="20"/>
                <w:szCs w:val="20"/>
              </w:rPr>
            </w:pPr>
            <w:r>
              <w:rPr>
                <w:color w:val="000000"/>
                <w:sz w:val="16"/>
              </w:rPr>
              <w:t>High — three incident timelines plus Gap 6 configuration.</w:t>
            </w:r>
          </w:p>
        </w:tc>
        <w:tc>
          <w:tcPr>
            <w:tcW w:w="3430" w:type="dxa"/>
            <w:shd w:fill="f2f2f2" w:val="clear"/>
            <w:tcMar>
              <w:top w:w="60.0" w:type="dxa"/>
              <w:left w:w="80.0" w:type="dxa"/>
              <w:bottom w:w="60.0" w:type="dxa"/>
              <w:right w:w="80.0" w:type="dxa"/>
            </w:tcMar>
          </w:tcPr>
          <w:p w:rsidR="00000000" w:rsidDel="00000000" w:rsidP="00000000" w:rsidRDefault="00000000" w:rsidRPr="00000000" w14:paraId="00000075">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Impact if Unresolved</w:t>
            </w:r>
            <w:r w:rsidDel="00000000" w:rsidR="00000000" w:rsidRPr="00000000">
              <w:rPr>
                <w:sz w:val="17"/>
                <w:rtl w:val="0"/>
              </w:rPr>
            </w:r>
          </w:p>
          <w:p w:rsidR="00000000" w:rsidDel="00000000" w:rsidP="00000000" w:rsidRDefault="00000000" w:rsidRPr="00000000" w14:paraId="00000076">
            <w:pPr>
              <w:keepNext/>
              <w:spacing w:after="40" w:lineRule="auto" w:before="0"/>
              <w:rPr>
                <w:rFonts w:ascii="Century Gothic" w:cs="Century Gothic" w:eastAsia="Century Gothic" w:hAnsi="Century Gothic"/>
                <w:sz w:val="20"/>
                <w:szCs w:val="20"/>
              </w:rPr>
            </w:pPr>
            <w:r>
              <w:rPr>
                <w:color w:val="000000"/>
                <w:sz w:val="16"/>
              </w:rPr>
              <w:t>Improvised response prolongs every fault (report extrapolates $8,200 to $82,000+ per incident at production volume), and the missing audit trail is a direct PCI DSS Req 10 failure.</w:t>
            </w:r>
          </w:p>
          <w:p w:rsidR="00000000" w:rsidDel="00000000" w:rsidP="00000000" w:rsidRDefault="00000000" w:rsidRPr="00000000" w14:paraId="00000077">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Diagram Callout #</w:t>
            </w:r>
            <w:r w:rsidDel="00000000" w:rsidR="00000000" w:rsidRPr="00000000">
              <w:rPr>
                <w:sz w:val="17"/>
                <w:rtl w:val="0"/>
              </w:rPr>
            </w:r>
          </w:p>
          <w:p w:rsidR="00000000" w:rsidDel="00000000" w:rsidP="00000000" w:rsidRDefault="00000000" w:rsidRPr="00000000" w14:paraId="00000078">
            <w:pPr>
              <w:keepNext/>
              <w:spacing w:after="40" w:lineRule="auto" w:before="0"/>
              <w:rPr>
                <w:rFonts w:ascii="Century Gothic" w:cs="Century Gothic" w:eastAsia="Century Gothic" w:hAnsi="Century Gothic"/>
                <w:sz w:val="20"/>
                <w:szCs w:val="20"/>
              </w:rPr>
            </w:pPr>
            <w:r>
              <w:rPr>
                <w:color w:val="000000"/>
                <w:sz w:val="16"/>
              </w:rPr>
              <w:t>Callout 4 (Monitoring)</w:t>
            </w:r>
          </w:p>
        </w:tc>
      </w:tr>
      <w:tr>
        <w:trPr>
          <w:cantSplit w:val="0"/>
          <w:tblHeader w:val="0"/>
          <w:cantSplit/>
        </w:trPr>
        <w:tc>
          <w:tcPr>
            <w:tcW w:w="5000" w:type="dxa"/>
            <w:shd w:fill="ffffff" w:val="clear"/>
            <w:tcMar>
              <w:top w:w="60.0" w:type="dxa"/>
              <w:left w:w="80.0" w:type="dxa"/>
              <w:bottom w:w="60.0" w:type="dxa"/>
              <w:right w:w="80.0" w:type="dxa"/>
            </w:tcMar>
          </w:tcPr>
          <w:p w:rsidR="00000000" w:rsidDel="00000000" w:rsidP="00000000" w:rsidRDefault="00000000" w:rsidRPr="00000000" w14:paraId="00000079">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Remediation Idea</w:t>
            </w:r>
            <w:r w:rsidDel="00000000" w:rsidR="00000000" w:rsidRPr="00000000">
              <w:rPr>
                <w:sz w:val="17"/>
                <w:rtl w:val="0"/>
              </w:rPr>
            </w:r>
          </w:p>
          <w:p w:rsidR="00000000" w:rsidDel="00000000" w:rsidP="00000000" w:rsidRDefault="00000000" w:rsidRPr="00000000" w14:paraId="0000007A">
            <w:pPr>
              <w:spacing w:after="40" w:lineRule="auto" w:before="0"/>
              <w:rPr>
                <w:rFonts w:ascii="Century Gothic" w:cs="Century Gothic" w:eastAsia="Century Gothic" w:hAnsi="Century Gothic"/>
                <w:sz w:val="20"/>
                <w:szCs w:val="20"/>
              </w:rPr>
            </w:pPr>
            <w:r>
              <w:rPr>
                <w:color w:val="000000"/>
                <w:sz w:val="16"/>
              </w:rPr>
              <w:t>Route AKS and AML endpoint logs to Log Analytics (365-day retention) and publish a P1/P2 runbook, paging-based escalation matrix and blameless postmortem process; require change approval for storage-firewall rules.</w:t>
            </w:r>
          </w:p>
        </w:tc>
        <w:tc>
          <w:tcPr>
            <w:tcW w:w="1500" w:type="dxa"/>
            <w:shd w:fill="f2f2f2" w:val="clear"/>
            <w:tcMar>
              <w:top w:w="60.0" w:type="dxa"/>
              <w:left w:w="80.0" w:type="dxa"/>
              <w:bottom w:w="60.0" w:type="dxa"/>
              <w:right w:w="80.0" w:type="dxa"/>
            </w:tcMar>
          </w:tcPr>
          <w:p w:rsidR="00000000" w:rsidDel="00000000" w:rsidP="00000000" w:rsidRDefault="00000000" w:rsidRPr="00000000" w14:paraId="0000007B">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Effort Band</w:t>
            </w:r>
            <w:r w:rsidDel="00000000" w:rsidR="00000000" w:rsidRPr="00000000">
              <w:rPr>
                <w:sz w:val="17"/>
                <w:rtl w:val="0"/>
              </w:rPr>
            </w:r>
          </w:p>
          <w:p w:rsidR="00000000" w:rsidDel="00000000" w:rsidP="00000000" w:rsidRDefault="00000000" w:rsidRPr="00000000" w14:paraId="0000007C">
            <w:pPr>
              <w:spacing w:after="40" w:lineRule="auto" w:before="0"/>
              <w:rPr>
                <w:rFonts w:ascii="Century Gothic" w:cs="Century Gothic" w:eastAsia="Century Gothic" w:hAnsi="Century Gothic"/>
                <w:sz w:val="20"/>
                <w:szCs w:val="20"/>
              </w:rPr>
            </w:pPr>
            <w:r>
              <w:rPr>
                <w:color w:val="000000"/>
                <w:sz w:val="16"/>
              </w:rPr>
              <w:t>Moderate 1–2w (log settings 2–3 d; runbooks and paging cross-team)</w:t>
            </w:r>
          </w:p>
        </w:tc>
        <w:tc>
          <w:tcPr>
            <w:tcW w:w="3430" w:type="dxa"/>
            <w:shd w:fill="ffffff" w:val="clear"/>
            <w:tcMar>
              <w:top w:w="60.0" w:type="dxa"/>
              <w:left w:w="80.0" w:type="dxa"/>
              <w:bottom w:w="60.0" w:type="dxa"/>
              <w:right w:w="80.0" w:type="dxa"/>
            </w:tcMar>
          </w:tcPr>
          <w:p w:rsidR="00000000" w:rsidDel="00000000" w:rsidP="00000000" w:rsidRDefault="00000000" w:rsidRPr="00000000" w14:paraId="0000007D">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Success Metric</w:t>
            </w:r>
            <w:r w:rsidDel="00000000" w:rsidR="00000000" w:rsidRPr="00000000">
              <w:rPr>
                <w:sz w:val="17"/>
                <w:rtl w:val="0"/>
              </w:rPr>
            </w:r>
          </w:p>
          <w:p w:rsidR="00000000" w:rsidDel="00000000" w:rsidP="00000000" w:rsidRDefault="00000000" w:rsidRPr="00000000" w14:paraId="0000007E">
            <w:pPr>
              <w:spacing w:after="40" w:lineRule="auto" w:before="0"/>
              <w:rPr>
                <w:rFonts w:ascii="Century Gothic" w:cs="Century Gothic" w:eastAsia="Century Gothic" w:hAnsi="Century Gothic"/>
                <w:sz w:val="20"/>
                <w:szCs w:val="20"/>
              </w:rPr>
            </w:pPr>
            <w:r>
              <w:rPr>
                <w:color w:val="000000"/>
                <w:sz w:val="16"/>
              </w:rPr>
              <w:t>Logs retained 365 days; time to reach a responder &lt;5 min (INC-002: 17 min); postmortem for every P1/P2; 0 untracked firewall changes.</w:t>
            </w:r>
          </w:p>
          <w:p w:rsidR="00000000" w:rsidDel="00000000" w:rsidP="00000000" w:rsidRDefault="00000000" w:rsidRPr="00000000" w14:paraId="0000007F">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Compliance Link</w:t>
            </w:r>
            <w:r w:rsidDel="00000000" w:rsidR="00000000" w:rsidRPr="00000000">
              <w:rPr>
                <w:sz w:val="17"/>
                <w:rtl w:val="0"/>
              </w:rPr>
            </w:r>
          </w:p>
          <w:p w:rsidR="00000000" w:rsidDel="00000000" w:rsidP="00000000" w:rsidRDefault="00000000" w:rsidRPr="00000000" w14:paraId="00000080">
            <w:pPr>
              <w:spacing w:after="40" w:lineRule="auto" w:before="0"/>
              <w:rPr>
                <w:rFonts w:ascii="Century Gothic" w:cs="Century Gothic" w:eastAsia="Century Gothic" w:hAnsi="Century Gothic"/>
                <w:sz w:val="20"/>
                <w:szCs w:val="20"/>
              </w:rPr>
            </w:pPr>
            <w:r>
              <w:rPr>
                <w:color w:val="000000"/>
                <w:sz w:val="16"/>
              </w:rPr>
              <w:t>PCI DSS v4.0 Req 10 (policy report cites 10.7); ASB LT-3; SOC 2 CC7.2–CC7.4, CC8.1.</w:t>
            </w:r>
          </w:p>
        </w:tc>
      </w:tr>
    </w:tbl>
    <w:p w:rsidR="00000000" w:rsidDel="00000000" w:rsidP="00000000" w:rsidRDefault="00000000" w:rsidRPr="00000000" w14:paraId="00000081">
      <w:pPr>
        <w:spacing w:after="0" w:before="0" w:line="100" w:lineRule="exact"/>
        <w:rPr>
          <w:rFonts w:ascii="Century Gothic" w:cs="Century Gothic" w:eastAsia="Century Gothic" w:hAnsi="Century Gothic"/>
          <w:sz w:val="20"/>
          <w:szCs w:val="20"/>
        </w:rPr>
      </w:pPr>
      <w:r w:rsidDel="00000000" w:rsidR="00000000" w:rsidRPr="00000000">
        <w:rPr>
          <w:rtl w:val="0"/>
          <w:sz w:val="8"/>
        </w:rPr>
      </w:r>
    </w:p>
    <w:tbl>
      <w:tblPr>
        <w:tblStyle w:val="Table6"/>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1500"/>
        <w:gridCol w:w="3430"/>
        <w:tblGridChange w:id="0">
          <w:tblGrid>
            <w:gridCol w:w="4695"/>
            <w:gridCol w:w="1545"/>
            <w:gridCol w:w="3120"/>
          </w:tblGrid>
        </w:tblGridChange>
      </w:tblGrid>
      <w:tr>
        <w:trPr>
          <w:cantSplit w:val="0"/>
          <w:tblHeader w:val="1"/>
          <w:cantSplit/>
        </w:trPr>
        <w:tc>
          <w:tcPr>
            <w:tcW w:w="9930" w:type="dxa"/>
            <w:gridSpan w:val="3"/>
            <w:shd w:fill="2e75b6" w:val="clear"/>
            <w:tcMar>
              <w:top w:w="60.0" w:type="dxa"/>
              <w:left w:w="100.0" w:type="dxa"/>
              <w:bottom w:w="60.0" w:type="dxa"/>
              <w:right w:w="100.0" w:type="dxa"/>
            </w:tcMar>
          </w:tcPr>
          <w:p w:rsidR="00000000" w:rsidDel="00000000" w:rsidP="00000000" w:rsidRDefault="00000000" w:rsidRPr="00000000" w14:paraId="00000082">
            <w:pPr>
              <w:keepNext/>
              <w:rPr>
                <w:rFonts w:ascii="Century Gothic" w:cs="Century Gothic" w:eastAsia="Century Gothic" w:hAnsi="Century Gothic"/>
                <w:sz w:val="20"/>
                <w:szCs w:val="20"/>
              </w:rPr>
            </w:pPr>
            <w:r>
              <w:rPr>
                <w:b/>
                <w:color w:val="FFFFFF"/>
                <w:sz w:val="19"/>
              </w:rPr>
              <w:t>PILLAR 5: PERFORMANCE EFFICIENCY — FINDING 5</w:t>
            </w:r>
          </w:p>
        </w:tc>
      </w:tr>
      <w:tr>
        <w:trPr>
          <w:cantSplit w:val="0"/>
          <w:tblHeader w:val="0"/>
          <w:cantSplit/>
        </w:trPr>
        <w:tc>
          <w:tcPr>
            <w:tcW w:w="5000" w:type="dxa"/>
            <w:shd w:fill="f2f2f2" w:val="clear"/>
            <w:tcMar>
              <w:top w:w="60.0" w:type="dxa"/>
              <w:left w:w="80.0" w:type="dxa"/>
              <w:bottom w:w="60.0" w:type="dxa"/>
              <w:right w:w="80.0" w:type="dxa"/>
            </w:tcMar>
          </w:tcPr>
          <w:p w:rsidR="00000000" w:rsidDel="00000000" w:rsidP="00000000" w:rsidRDefault="00000000" w:rsidRPr="00000000" w14:paraId="00000085">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Finding</w:t>
            </w:r>
            <w:r w:rsidDel="00000000" w:rsidR="00000000" w:rsidRPr="00000000">
              <w:rPr>
                <w:sz w:val="17"/>
                <w:rtl w:val="0"/>
              </w:rPr>
            </w:r>
          </w:p>
          <w:p w:rsidR="00000000" w:rsidDel="00000000" w:rsidP="00000000" w:rsidRDefault="00000000" w:rsidRPr="00000000" w14:paraId="00000086">
            <w:pPr>
              <w:keepNext/>
              <w:spacing w:after="40" w:lineRule="auto" w:before="0"/>
              <w:rPr>
                <w:rFonts w:ascii="Century Gothic" w:cs="Century Gothic" w:eastAsia="Century Gothic" w:hAnsi="Century Gothic"/>
                <w:sz w:val="20"/>
                <w:szCs w:val="20"/>
              </w:rPr>
            </w:pPr>
            <w:r>
              <w:rPr>
                <w:color w:val="000000"/>
                <w:sz w:val="16"/>
              </w:rPr>
              <w:t>Real-time inference and batch retraining share one A100 pool with no workload isolation or autoscaling, so a background job saturated the GPUs during the Black-Friday-scale load test.</w:t>
            </w:r>
          </w:p>
          <w:p w:rsidR="00000000" w:rsidDel="00000000" w:rsidP="00000000" w:rsidRDefault="00000000" w:rsidRPr="00000000" w14:paraId="00000087">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Evidence</w:t>
            </w:r>
            <w:r w:rsidDel="00000000" w:rsidR="00000000" w:rsidRPr="00000000">
              <w:rPr>
                <w:sz w:val="17"/>
                <w:rtl w:val="0"/>
              </w:rPr>
            </w:r>
          </w:p>
          <w:p w:rsidR="00000000" w:rsidDel="00000000" w:rsidP="00000000" w:rsidRDefault="00000000" w:rsidRPr="00000000" w14:paraId="00000088">
            <w:pPr>
              <w:keepNext/>
              <w:spacing w:after="40" w:lineRule="auto" w:before="0"/>
              <w:rPr>
                <w:rFonts w:ascii="Century Gothic" w:cs="Century Gothic" w:eastAsia="Century Gothic" w:hAnsi="Century Gothic"/>
                <w:sz w:val="20"/>
                <w:szCs w:val="20"/>
              </w:rPr>
            </w:pPr>
            <w:r>
              <w:rPr>
                <w:color w:val="000000"/>
                <w:sz w:val="16"/>
              </w:rPr>
              <w:t>INC-002: at 800 req/min GPU hit 100% by 10:09 while retraining job FraudModel-Retrain-v2.2.1 (running since 09:45) shared the 2×A100 pool; p95 178 ms → 4,200 ms peak; 12% HTTP 429 (~3,840 requests); recovered only after a manual pause at 10:35. No autoscaling or isolation. Note: the cost snapshot puts the endpoint on 4×T4 while INC-002 uses the A100 pool — confirm before resizing.</w:t>
            </w:r>
          </w:p>
        </w:tc>
        <w:tc>
          <w:tcPr>
            <w:tcW w:w="1500" w:type="dxa"/>
            <w:shd w:fill="ffffff" w:val="clear"/>
            <w:tcMar>
              <w:top w:w="60.0" w:type="dxa"/>
              <w:left w:w="80.0" w:type="dxa"/>
              <w:bottom w:w="60.0" w:type="dxa"/>
              <w:right w:w="80.0" w:type="dxa"/>
            </w:tcMar>
          </w:tcPr>
          <w:p w:rsidR="00000000" w:rsidDel="00000000" w:rsidP="00000000" w:rsidRDefault="00000000" w:rsidRPr="00000000" w14:paraId="00000089">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Severity</w:t>
            </w:r>
            <w:r w:rsidDel="00000000" w:rsidR="00000000" w:rsidRPr="00000000">
              <w:rPr>
                <w:sz w:val="17"/>
                <w:rtl w:val="0"/>
              </w:rPr>
            </w:r>
          </w:p>
          <w:p w:rsidR="00000000" w:rsidDel="00000000" w:rsidP="00000000" w:rsidRDefault="00000000" w:rsidRPr="00000000" w14:paraId="0000008A">
            <w:pPr>
              <w:keepNext/>
              <w:spacing w:after="40" w:lineRule="auto" w:before="0"/>
              <w:rPr>
                <w:rFonts w:ascii="Century Gothic" w:cs="Century Gothic" w:eastAsia="Century Gothic" w:hAnsi="Century Gothic"/>
                <w:sz w:val="20"/>
                <w:szCs w:val="20"/>
              </w:rPr>
            </w:pPr>
            <w:r>
              <w:rPr>
                <w:color w:val="000000"/>
                <w:sz w:val="16"/>
              </w:rPr>
              <w:t>Medium</w:t>
            </w:r>
          </w:p>
          <w:p w:rsidR="00000000" w:rsidDel="00000000" w:rsidP="00000000" w:rsidRDefault="00000000" w:rsidRPr="00000000" w14:paraId="0000008B">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Confidence</w:t>
            </w:r>
            <w:r w:rsidDel="00000000" w:rsidR="00000000" w:rsidRPr="00000000">
              <w:rPr>
                <w:sz w:val="17"/>
                <w:rtl w:val="0"/>
              </w:rPr>
            </w:r>
          </w:p>
          <w:p w:rsidR="00000000" w:rsidDel="00000000" w:rsidP="00000000" w:rsidRDefault="00000000" w:rsidRPr="00000000" w14:paraId="0000008C">
            <w:pPr>
              <w:keepNext/>
              <w:spacing w:after="40" w:lineRule="auto" w:before="0"/>
              <w:rPr>
                <w:rFonts w:ascii="Century Gothic" w:cs="Century Gothic" w:eastAsia="Century Gothic" w:hAnsi="Century Gothic"/>
                <w:sz w:val="20"/>
                <w:szCs w:val="20"/>
              </w:rPr>
            </w:pPr>
            <w:r>
              <w:rPr>
                <w:color w:val="000000"/>
                <w:sz w:val="16"/>
              </w:rPr>
              <w:t>High on contention (timeline); Medium on right-sizing (sources disagree on GPU class).</w:t>
            </w:r>
          </w:p>
        </w:tc>
        <w:tc>
          <w:tcPr>
            <w:tcW w:w="3430" w:type="dxa"/>
            <w:shd w:fill="f2f2f2" w:val="clear"/>
            <w:tcMar>
              <w:top w:w="60.0" w:type="dxa"/>
              <w:left w:w="80.0" w:type="dxa"/>
              <w:bottom w:w="60.0" w:type="dxa"/>
              <w:right w:w="80.0" w:type="dxa"/>
            </w:tcMar>
          </w:tcPr>
          <w:p w:rsidR="00000000" w:rsidDel="00000000" w:rsidP="00000000" w:rsidRDefault="00000000" w:rsidRPr="00000000" w14:paraId="0000008D">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Impact if Unresolved</w:t>
            </w:r>
            <w:r w:rsidDel="00000000" w:rsidR="00000000" w:rsidRPr="00000000">
              <w:rPr>
                <w:sz w:val="17"/>
                <w:rtl w:val="0"/>
              </w:rPr>
            </w:r>
          </w:p>
          <w:p w:rsidR="00000000" w:rsidDel="00000000" w:rsidP="00000000" w:rsidRDefault="00000000" w:rsidRPr="00000000" w14:paraId="0000008E">
            <w:pPr>
              <w:keepNext/>
              <w:spacing w:after="40" w:lineRule="auto" w:before="0"/>
              <w:rPr>
                <w:rFonts w:ascii="Century Gothic" w:cs="Century Gothic" w:eastAsia="Century Gothic" w:hAnsi="Century Gothic"/>
                <w:sz w:val="20"/>
                <w:szCs w:val="20"/>
              </w:rPr>
            </w:pPr>
            <w:r>
              <w:rPr>
                <w:color w:val="000000"/>
                <w:sz w:val="16"/>
              </w:rPr>
              <w:t>Launch-day peaks could drop ~12% of scoring calls to a competing job — missed fraud checks ($8,200 in the test; report extrapolates $82,000+ at 10× volume).</w:t>
            </w:r>
          </w:p>
          <w:p w:rsidR="00000000" w:rsidDel="00000000" w:rsidP="00000000" w:rsidRDefault="00000000" w:rsidRPr="00000000" w14:paraId="0000008F">
            <w:pPr>
              <w:keepNext/>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Diagram Callout #</w:t>
            </w:r>
            <w:r w:rsidDel="00000000" w:rsidR="00000000" w:rsidRPr="00000000">
              <w:rPr>
                <w:sz w:val="17"/>
                <w:rtl w:val="0"/>
              </w:rPr>
            </w:r>
          </w:p>
          <w:p w:rsidR="00000000" w:rsidDel="00000000" w:rsidP="00000000" w:rsidRDefault="00000000" w:rsidRPr="00000000" w14:paraId="00000090">
            <w:pPr>
              <w:keepNext/>
              <w:spacing w:after="40" w:lineRule="auto" w:before="0"/>
              <w:rPr>
                <w:rFonts w:ascii="Century Gothic" w:cs="Century Gothic" w:eastAsia="Century Gothic" w:hAnsi="Century Gothic"/>
                <w:sz w:val="20"/>
                <w:szCs w:val="20"/>
              </w:rPr>
            </w:pPr>
            <w:r>
              <w:rPr>
                <w:color w:val="000000"/>
                <w:sz w:val="16"/>
              </w:rPr>
              <w:t>Callout 5 (GPU inference cluster; Batch inference scheduler)</w:t>
            </w:r>
          </w:p>
        </w:tc>
      </w:tr>
      <w:tr>
        <w:trPr>
          <w:cantSplit w:val="0"/>
          <w:tblHeader w:val="0"/>
          <w:cantSplit/>
        </w:trPr>
        <w:tc>
          <w:tcPr>
            <w:tcW w:w="5000" w:type="dxa"/>
            <w:shd w:fill="ffffff" w:val="clear"/>
            <w:tcMar>
              <w:top w:w="60.0" w:type="dxa"/>
              <w:left w:w="80.0" w:type="dxa"/>
              <w:bottom w:w="60.0" w:type="dxa"/>
              <w:right w:w="80.0" w:type="dxa"/>
            </w:tcMar>
          </w:tcPr>
          <w:p w:rsidR="00000000" w:rsidDel="00000000" w:rsidP="00000000" w:rsidRDefault="00000000" w:rsidRPr="00000000" w14:paraId="00000091">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Remediation Idea</w:t>
            </w:r>
            <w:r w:rsidDel="00000000" w:rsidR="00000000" w:rsidRPr="00000000">
              <w:rPr>
                <w:sz w:val="17"/>
                <w:rtl w:val="0"/>
              </w:rPr>
            </w:r>
          </w:p>
          <w:p w:rsidR="00000000" w:rsidDel="00000000" w:rsidP="00000000" w:rsidRDefault="00000000" w:rsidRPr="00000000" w14:paraId="00000092">
            <w:pPr>
              <w:spacing w:after="40" w:lineRule="auto" w:before="0"/>
              <w:rPr>
                <w:rFonts w:ascii="Century Gothic" w:cs="Century Gothic" w:eastAsia="Century Gothic" w:hAnsi="Century Gothic"/>
                <w:sz w:val="20"/>
                <w:szCs w:val="20"/>
              </w:rPr>
            </w:pPr>
            <w:r>
              <w:rPr>
                <w:color w:val="000000"/>
                <w:sz w:val="16"/>
              </w:rPr>
              <w:t>Split the GPU pools — real-time inference on its own autoscaled pool, retraining and offline scoring on separate schedulable pools — and repeat the 800 req/min load test with queue depth or GPU &gt;70% as the scale-out trigger.</w:t>
            </w:r>
          </w:p>
        </w:tc>
        <w:tc>
          <w:tcPr>
            <w:tcW w:w="1500" w:type="dxa"/>
            <w:shd w:fill="f2f2f2" w:val="clear"/>
            <w:tcMar>
              <w:top w:w="60.0" w:type="dxa"/>
              <w:left w:w="80.0" w:type="dxa"/>
              <w:bottom w:w="60.0" w:type="dxa"/>
              <w:right w:w="80.0" w:type="dxa"/>
            </w:tcMar>
          </w:tcPr>
          <w:p w:rsidR="00000000" w:rsidDel="00000000" w:rsidP="00000000" w:rsidRDefault="00000000" w:rsidRPr="00000000" w14:paraId="00000093">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Effort Band</w:t>
            </w:r>
            <w:r w:rsidDel="00000000" w:rsidR="00000000" w:rsidRPr="00000000">
              <w:rPr>
                <w:sz w:val="17"/>
                <w:rtl w:val="0"/>
              </w:rPr>
            </w:r>
          </w:p>
          <w:p w:rsidR="00000000" w:rsidDel="00000000" w:rsidP="00000000" w:rsidRDefault="00000000" w:rsidRPr="00000000" w14:paraId="00000094">
            <w:pPr>
              <w:spacing w:after="40" w:lineRule="auto" w:before="0"/>
              <w:rPr>
                <w:rFonts w:ascii="Century Gothic" w:cs="Century Gothic" w:eastAsia="Century Gothic" w:hAnsi="Century Gothic"/>
                <w:sz w:val="20"/>
                <w:szCs w:val="20"/>
              </w:rPr>
            </w:pPr>
            <w:r>
              <w:rPr>
                <w:color w:val="000000"/>
                <w:sz w:val="16"/>
              </w:rPr>
              <w:t>Moderate 1–2w</w:t>
            </w:r>
          </w:p>
        </w:tc>
        <w:tc>
          <w:tcPr>
            <w:tcW w:w="3430" w:type="dxa"/>
            <w:shd w:fill="ffffff" w:val="clear"/>
            <w:tcMar>
              <w:top w:w="60.0" w:type="dxa"/>
              <w:left w:w="80.0" w:type="dxa"/>
              <w:bottom w:w="60.0" w:type="dxa"/>
              <w:right w:w="80.0" w:type="dxa"/>
            </w:tcMar>
          </w:tcPr>
          <w:p w:rsidR="00000000" w:rsidDel="00000000" w:rsidP="00000000" w:rsidRDefault="00000000" w:rsidRPr="00000000" w14:paraId="00000095">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Success Metric</w:t>
            </w:r>
            <w:r w:rsidDel="00000000" w:rsidR="00000000" w:rsidRPr="00000000">
              <w:rPr>
                <w:sz w:val="17"/>
                <w:rtl w:val="0"/>
              </w:rPr>
            </w:r>
          </w:p>
          <w:p w:rsidR="00000000" w:rsidDel="00000000" w:rsidP="00000000" w:rsidRDefault="00000000" w:rsidRPr="00000000" w14:paraId="00000096">
            <w:pPr>
              <w:spacing w:after="40" w:lineRule="auto" w:before="0"/>
              <w:rPr>
                <w:rFonts w:ascii="Century Gothic" w:cs="Century Gothic" w:eastAsia="Century Gothic" w:hAnsi="Century Gothic"/>
                <w:sz w:val="20"/>
                <w:szCs w:val="20"/>
              </w:rPr>
            </w:pPr>
            <w:r>
              <w:rPr>
                <w:color w:val="000000"/>
                <w:sz w:val="16"/>
              </w:rPr>
              <w:t>Re-test at 800 req/min with batch jobs running: p95 &lt;250 ms, 0% HTTP 429. Target proposed.</w:t>
            </w:r>
          </w:p>
          <w:p w:rsidR="00000000" w:rsidDel="00000000" w:rsidP="00000000" w:rsidRDefault="00000000" w:rsidRPr="00000000" w14:paraId="00000097">
            <w:pPr>
              <w:spacing w:after="40" w:before="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7"/>
                <w:szCs w:val="20"/>
                <w:rtl w:val="0"/>
              </w:rPr>
              <w:t xml:space="preserve">Compliance Link</w:t>
            </w:r>
            <w:r w:rsidDel="00000000" w:rsidR="00000000" w:rsidRPr="00000000">
              <w:rPr>
                <w:sz w:val="17"/>
                <w:rtl w:val="0"/>
              </w:rPr>
            </w:r>
          </w:p>
          <w:p w:rsidR="00000000" w:rsidDel="00000000" w:rsidP="00000000" w:rsidRDefault="00000000" w:rsidRPr="00000000" w14:paraId="00000098">
            <w:pPr>
              <w:spacing w:after="40" w:lineRule="auto" w:before="0"/>
              <w:rPr>
                <w:rFonts w:ascii="Century Gothic" w:cs="Century Gothic" w:eastAsia="Century Gothic" w:hAnsi="Century Gothic"/>
                <w:sz w:val="20"/>
                <w:szCs w:val="20"/>
              </w:rPr>
            </w:pPr>
            <w:r>
              <w:rPr>
                <w:color w:val="000000"/>
                <w:sz w:val="16"/>
              </w:rPr>
              <w:t>None (supports SOC 2 A1.1 capacity)</w:t>
            </w:r>
          </w:p>
        </w:tc>
      </w:tr>
    </w:tbl>
    <w:p w:rsidR="00000000" w:rsidDel="00000000" w:rsidP="00000000" w:rsidRDefault="00000000" w:rsidRPr="00000000" w14:paraId="00000099">
      <w:pPr>
        <w:keepNext/>
        <w:shd w:val="clear" w:color="auto" w:fill="1F3864"/>
        <w:spacing w:before="120" w:after="80"/>
        <w:rPr>
          <w:rFonts w:ascii="Century Gothic" w:cs="Century Gothic" w:eastAsia="Century Gothic" w:hAnsi="Century Gothic"/>
          <w:sz w:val="20"/>
          <w:szCs w:val="20"/>
        </w:rPr>
      </w:pPr>
      <w:r>
        <w:rPr>
          <w:b/>
          <w:color w:val="FFFFFF"/>
          <w:sz w:val="21"/>
        </w:rPr>
        <w:t xml:space="preserve"> 3. PRIORITIZED REMEDIATION ROADMAP ➔ TOP 5 ACTIONS</w:t>
      </w:r>
    </w:p>
    <w:tbl>
      <w:tblPr>
        <w:tblStyle w:val="Table7"/>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
        <w:gridCol w:w="2900"/>
        <w:gridCol w:w="1050"/>
        <w:gridCol w:w="1000"/>
        <w:gridCol w:w="640"/>
        <w:gridCol w:w="1300"/>
        <w:gridCol w:w="2570"/>
        <w:tblGridChange w:id="0">
          <w:tblGrid>
            <w:gridCol w:w="570"/>
            <w:gridCol w:w="1545"/>
            <w:gridCol w:w="1185"/>
            <w:gridCol w:w="1425"/>
            <w:gridCol w:w="1665"/>
            <w:gridCol w:w="1185"/>
            <w:gridCol w:w="1755"/>
          </w:tblGrid>
        </w:tblGridChange>
      </w:tblGrid>
      <w:tr>
        <w:trPr>
          <w:cantSplit w:val="0"/>
          <w:tblHeader w:val="1"/>
          <w:cantSplit/>
        </w:trPr>
        <w:tc>
          <w:tcPr>
            <w:tcW w:w="470" w:type="dxa"/>
            <w:shd w:fill="1f3864" w:val="clear"/>
            <w:tcMar>
              <w:top w:w="40.0" w:type="dxa"/>
              <w:left w:w="40.0" w:type="dxa"/>
              <w:bottom w:w="40.0" w:type="dxa"/>
              <w:right w:w="40.0" w:type="dxa"/>
            </w:tcMar>
          </w:tcPr>
          <w:p w:rsidR="00000000" w:rsidDel="00000000" w:rsidP="00000000" w:rsidRDefault="00000000" w:rsidRPr="00000000" w14:paraId="0000009C">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Rank</w:t>
            </w:r>
            <w:r w:rsidDel="00000000" w:rsidR="00000000" w:rsidRPr="00000000">
              <w:rPr>
                <w:sz w:val="16"/>
                <w:rtl w:val="0"/>
              </w:rPr>
            </w:r>
          </w:p>
        </w:tc>
        <w:tc>
          <w:tcPr>
            <w:tcW w:w="2900" w:type="dxa"/>
            <w:shd w:fill="1f3864" w:val="clear"/>
            <w:tcMar>
              <w:top w:w="40.0" w:type="dxa"/>
              <w:left w:w="40.0" w:type="dxa"/>
              <w:bottom w:w="40.0" w:type="dxa"/>
              <w:right w:w="40.0" w:type="dxa"/>
            </w:tcMar>
          </w:tcPr>
          <w:p w:rsidR="00000000" w:rsidDel="00000000" w:rsidP="00000000" w:rsidRDefault="00000000" w:rsidRPr="00000000" w14:paraId="0000009D">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Action</w:t>
            </w:r>
            <w:r w:rsidDel="00000000" w:rsidR="00000000" w:rsidRPr="00000000">
              <w:rPr>
                <w:sz w:val="16"/>
                <w:rtl w:val="0"/>
              </w:rPr>
            </w:r>
          </w:p>
        </w:tc>
        <w:tc>
          <w:tcPr>
            <w:tcW w:w="1050" w:type="dxa"/>
            <w:shd w:fill="1f3864" w:val="clear"/>
            <w:tcMar>
              <w:top w:w="40.0" w:type="dxa"/>
              <w:left w:w="40.0" w:type="dxa"/>
              <w:bottom w:w="40.0" w:type="dxa"/>
              <w:right w:w="40.0" w:type="dxa"/>
            </w:tcMar>
          </w:tcPr>
          <w:p w:rsidR="00000000" w:rsidDel="00000000" w:rsidP="00000000" w:rsidRDefault="00000000" w:rsidRPr="00000000" w14:paraId="0000009E">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WAF Pillar</w:t>
            </w:r>
            <w:r w:rsidDel="00000000" w:rsidR="00000000" w:rsidRPr="00000000">
              <w:rPr>
                <w:sz w:val="16"/>
                <w:rtl w:val="0"/>
              </w:rPr>
            </w:r>
          </w:p>
        </w:tc>
        <w:tc>
          <w:tcPr>
            <w:tcW w:w="1000" w:type="dxa"/>
            <w:shd w:fill="1f3864" w:val="clear"/>
            <w:tcMar>
              <w:top w:w="40.0" w:type="dxa"/>
              <w:left w:w="40.0" w:type="dxa"/>
              <w:bottom w:w="40.0" w:type="dxa"/>
              <w:right w:w="40.0" w:type="dxa"/>
            </w:tcMar>
          </w:tcPr>
          <w:p w:rsidR="00000000" w:rsidDel="00000000" w:rsidP="00000000" w:rsidRDefault="00000000" w:rsidRPr="00000000" w14:paraId="0000009F">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Owner Role</w:t>
            </w:r>
            <w:r w:rsidDel="00000000" w:rsidR="00000000" w:rsidRPr="00000000">
              <w:rPr>
                <w:sz w:val="16"/>
                <w:rtl w:val="0"/>
              </w:rPr>
            </w:r>
          </w:p>
        </w:tc>
        <w:tc>
          <w:tcPr>
            <w:tcW w:w="640" w:type="dxa"/>
            <w:shd w:fill="1f3864" w:val="clear"/>
            <w:tcMar>
              <w:top w:w="40.0" w:type="dxa"/>
              <w:left w:w="40.0" w:type="dxa"/>
              <w:bottom w:w="40.0" w:type="dxa"/>
              <w:right w:w="40.0" w:type="dxa"/>
            </w:tcMar>
          </w:tcPr>
          <w:p w:rsidR="00000000" w:rsidDel="00000000" w:rsidP="00000000" w:rsidRDefault="00000000" w:rsidRPr="00000000" w14:paraId="000000A0">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Effort</w:t>
            </w:r>
            <w:r w:rsidDel="00000000" w:rsidR="00000000" w:rsidRPr="00000000">
              <w:rPr>
                <w:sz w:val="16"/>
                <w:rtl w:val="0"/>
              </w:rPr>
            </w:r>
          </w:p>
        </w:tc>
        <w:tc>
          <w:tcPr>
            <w:tcW w:w="1300" w:type="dxa"/>
            <w:shd w:fill="1f3864" w:val="clear"/>
            <w:tcMar>
              <w:top w:w="40.0" w:type="dxa"/>
              <w:left w:w="40.0" w:type="dxa"/>
              <w:bottom w:w="40.0" w:type="dxa"/>
              <w:right w:w="40.0" w:type="dxa"/>
            </w:tcMar>
          </w:tcPr>
          <w:p w:rsidR="00000000" w:rsidDel="00000000" w:rsidP="00000000" w:rsidRDefault="00000000" w:rsidRPr="00000000" w14:paraId="000000A1">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Timeline</w:t>
            </w:r>
            <w:r w:rsidDel="00000000" w:rsidR="00000000" w:rsidRPr="00000000">
              <w:rPr>
                <w:sz w:val="16"/>
                <w:rtl w:val="0"/>
              </w:rPr>
            </w:r>
          </w:p>
        </w:tc>
        <w:tc>
          <w:tcPr>
            <w:tcW w:w="2570" w:type="dxa"/>
            <w:shd w:fill="1f3864" w:val="clear"/>
            <w:tcMar>
              <w:top w:w="40.0" w:type="dxa"/>
              <w:left w:w="40.0" w:type="dxa"/>
              <w:bottom w:w="40.0" w:type="dxa"/>
              <w:right w:w="40.0" w:type="dxa"/>
            </w:tcMar>
          </w:tcPr>
          <w:p w:rsidR="00000000" w:rsidDel="00000000" w:rsidP="00000000" w:rsidRDefault="00000000" w:rsidRPr="00000000" w14:paraId="000000A2">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Acceptance Criteria</w:t>
            </w:r>
            <w:r w:rsidDel="00000000" w:rsidR="00000000" w:rsidRPr="00000000">
              <w:rPr>
                <w:sz w:val="16"/>
                <w:rtl w:val="0"/>
              </w:rPr>
            </w:r>
          </w:p>
        </w:tc>
      </w:tr>
      <w:tr>
        <w:trPr>
          <w:cantSplit w:val="0"/>
          <w:tblHeader w:val="0"/>
          <w:cantSplit/>
        </w:trPr>
        <w:tc>
          <w:tcPr>
            <w:tcW w:w="470" w:type="dxa"/>
            <w:shd w:fill="ffffff" w:val="clear"/>
            <w:tcMar>
              <w:top w:w="60.0" w:type="dxa"/>
              <w:left w:w="80.0" w:type="dxa"/>
              <w:bottom w:w="60.0" w:type="dxa"/>
              <w:right w:w="80.0" w:type="dxa"/>
            </w:tcMar>
          </w:tcPr>
          <w:p w:rsidR="00000000" w:rsidDel="00000000" w:rsidP="00000000" w:rsidRDefault="00000000" w:rsidRPr="00000000" w14:paraId="000000A3">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1</w:t>
            </w:r>
            <w:r w:rsidDel="00000000" w:rsidR="00000000" w:rsidRPr="00000000">
              <w:rPr>
                <w:sz w:val="18"/>
                <w:rtl w:val="0"/>
              </w:rPr>
            </w:r>
          </w:p>
        </w:tc>
        <w:tc>
          <w:tcPr>
            <w:tcW w:w="2900" w:type="dxa"/>
            <w:shd w:fill="ffffff" w:val="clear"/>
            <w:tcMar>
              <w:top w:w="60.0" w:type="dxa"/>
              <w:left w:w="80.0" w:type="dxa"/>
              <w:bottom w:w="60.0" w:type="dxa"/>
              <w:right w:w="80.0" w:type="dxa"/>
            </w:tcMar>
          </w:tcPr>
          <w:p w:rsidR="00000000" w:rsidDel="00000000" w:rsidP="00000000" w:rsidRDefault="00000000" w:rsidRPr="00000000" w14:paraId="000000A4">
            <w:pPr>
              <w:rPr>
                <w:rFonts w:ascii="Century Gothic" w:cs="Century Gothic" w:eastAsia="Century Gothic" w:hAnsi="Century Gothic"/>
                <w:sz w:val="20"/>
                <w:szCs w:val="20"/>
              </w:rPr>
            </w:pPr>
            <w:r>
              <w:rPr>
                <w:color w:val="000000"/>
                <w:sz w:val="15"/>
              </w:rPr>
              <w:t>Rotate the exposed SAS token immediately, purge it from Git history (git filter-repo), and replace it with Managed Identity + RBAC on the fraud-models storage account; move the Cognitive Services key to Key Vault.</w:t>
            </w:r>
          </w:p>
        </w:tc>
        <w:tc>
          <w:tcPr>
            <w:tcW w:w="1050" w:type="dxa"/>
            <w:shd w:fill="ffffff" w:val="clear"/>
            <w:tcMar>
              <w:top w:w="60.0" w:type="dxa"/>
              <w:left w:w="80.0" w:type="dxa"/>
              <w:bottom w:w="60.0" w:type="dxa"/>
              <w:right w:w="80.0" w:type="dxa"/>
            </w:tcMar>
          </w:tcPr>
          <w:p w:rsidR="00000000" w:rsidDel="00000000" w:rsidP="00000000" w:rsidRDefault="00000000" w:rsidRPr="00000000" w14:paraId="000000A5">
            <w:pPr>
              <w:rPr>
                <w:rFonts w:ascii="Century Gothic" w:cs="Century Gothic" w:eastAsia="Century Gothic" w:hAnsi="Century Gothic"/>
                <w:sz w:val="20"/>
                <w:szCs w:val="20"/>
              </w:rPr>
            </w:pPr>
            <w:r>
              <w:rPr>
                <w:color w:val="000000"/>
                <w:sz w:val="15"/>
              </w:rPr>
              <w:t>Security (2A)</w:t>
            </w:r>
          </w:p>
        </w:tc>
        <w:tc>
          <w:tcPr>
            <w:tcW w:w="1000" w:type="dxa"/>
            <w:shd w:fill="ffffff" w:val="clear"/>
            <w:tcMar>
              <w:top w:w="60.0" w:type="dxa"/>
              <w:left w:w="80.0" w:type="dxa"/>
              <w:bottom w:w="60.0" w:type="dxa"/>
              <w:right w:w="80.0" w:type="dxa"/>
            </w:tcMar>
          </w:tcPr>
          <w:p w:rsidR="00000000" w:rsidDel="00000000" w:rsidP="00000000" w:rsidRDefault="00000000" w:rsidRPr="00000000" w14:paraId="000000A6">
            <w:pPr>
              <w:rPr>
                <w:rFonts w:ascii="Century Gothic" w:cs="Century Gothic" w:eastAsia="Century Gothic" w:hAnsi="Century Gothic"/>
                <w:sz w:val="20"/>
                <w:szCs w:val="20"/>
              </w:rPr>
            </w:pPr>
            <w:r>
              <w:rPr>
                <w:color w:val="000000"/>
                <w:sz w:val="15"/>
              </w:rPr>
              <w:t>SecOps (AppTeam fixes the YAML)</w:t>
            </w:r>
          </w:p>
        </w:tc>
        <w:tc>
          <w:tcPr>
            <w:tcW w:w="640" w:type="dxa"/>
            <w:shd w:fill="ffffff" w:val="clear"/>
            <w:tcMar>
              <w:top w:w="60.0" w:type="dxa"/>
              <w:left w:w="80.0" w:type="dxa"/>
              <w:bottom w:w="60.0" w:type="dxa"/>
              <w:right w:w="80.0" w:type="dxa"/>
            </w:tcMar>
          </w:tcPr>
          <w:p w:rsidR="00000000" w:rsidDel="00000000" w:rsidP="00000000" w:rsidRDefault="00000000" w:rsidRPr="00000000" w14:paraId="000000A7">
            <w:pPr>
              <w:rPr>
                <w:rFonts w:ascii="Century Gothic" w:cs="Century Gothic" w:eastAsia="Century Gothic" w:hAnsi="Century Gothic"/>
                <w:sz w:val="20"/>
                <w:szCs w:val="20"/>
              </w:rPr>
            </w:pPr>
            <w:r>
              <w:rPr>
                <w:color w:val="000000"/>
                <w:sz w:val="15"/>
              </w:rPr>
              <w:t>&lt;2d</w:t>
            </w:r>
          </w:p>
        </w:tc>
        <w:tc>
          <w:tcPr>
            <w:tcW w:w="1300" w:type="dxa"/>
            <w:shd w:fill="ffffff" w:val="clear"/>
            <w:tcMar>
              <w:top w:w="60.0" w:type="dxa"/>
              <w:left w:w="80.0" w:type="dxa"/>
              <w:bottom w:w="60.0" w:type="dxa"/>
              <w:right w:w="80.0" w:type="dxa"/>
            </w:tcMar>
          </w:tcPr>
          <w:p w:rsidR="00000000" w:rsidDel="00000000" w:rsidP="00000000" w:rsidRDefault="00000000" w:rsidRPr="00000000" w14:paraId="000000A8">
            <w:pPr>
              <w:rPr>
                <w:rFonts w:ascii="Century Gothic" w:cs="Century Gothic" w:eastAsia="Century Gothic" w:hAnsi="Century Gothic"/>
                <w:sz w:val="20"/>
                <w:szCs w:val="20"/>
              </w:rPr>
            </w:pPr>
            <w:r>
              <w:rPr>
                <w:color w:val="000000"/>
                <w:sz w:val="15"/>
              </w:rPr>
              <w:t>Sprint 1, Week 1</w:t>
            </w:r>
          </w:p>
        </w:tc>
        <w:tc>
          <w:tcPr>
            <w:tcW w:w="2570" w:type="dxa"/>
            <w:shd w:fill="ffffff" w:val="clear"/>
            <w:tcMar>
              <w:top w:w="60.0" w:type="dxa"/>
              <w:left w:w="80.0" w:type="dxa"/>
              <w:bottom w:w="60.0" w:type="dxa"/>
              <w:right w:w="80.0" w:type="dxa"/>
            </w:tcMar>
          </w:tcPr>
          <w:p w:rsidR="00000000" w:rsidDel="00000000" w:rsidP="00000000" w:rsidRDefault="00000000" w:rsidRPr="00000000" w14:paraId="000000A9">
            <w:pPr>
              <w:rPr>
                <w:rFonts w:ascii="Century Gothic" w:cs="Century Gothic" w:eastAsia="Century Gothic" w:hAnsi="Century Gothic"/>
                <w:sz w:val="20"/>
                <w:szCs w:val="20"/>
              </w:rPr>
            </w:pPr>
            <w:r>
              <w:rPr>
                <w:color w:val="000000"/>
                <w:sz w:val="15"/>
              </w:rPr>
              <w:t>Old SAS revoked; secret scan of repo and pod specs returns 0 findings.</w:t>
            </w:r>
          </w:p>
        </w:tc>
      </w:tr>
      <w:tr>
        <w:trPr>
          <w:cantSplit w:val="0"/>
          <w:tblHeader w:val="0"/>
          <w:cantSplit/>
        </w:trPr>
        <w:tc>
          <w:tcPr>
            <w:tcW w:w="470" w:type="dxa"/>
            <w:shd w:fill="f2f2f2" w:val="clear"/>
            <w:tcMar>
              <w:top w:w="60.0" w:type="dxa"/>
              <w:left w:w="80.0" w:type="dxa"/>
              <w:bottom w:w="60.0" w:type="dxa"/>
              <w:right w:w="80.0" w:type="dxa"/>
            </w:tcMar>
          </w:tcPr>
          <w:p w:rsidR="00000000" w:rsidDel="00000000" w:rsidP="00000000" w:rsidRDefault="00000000" w:rsidRPr="00000000" w14:paraId="000000AA">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2</w:t>
            </w:r>
            <w:r w:rsidDel="00000000" w:rsidR="00000000" w:rsidRPr="00000000">
              <w:rPr>
                <w:sz w:val="18"/>
                <w:rtl w:val="0"/>
              </w:rPr>
            </w:r>
          </w:p>
        </w:tc>
        <w:tc>
          <w:tcPr>
            <w:tcW w:w="2900" w:type="dxa"/>
            <w:shd w:fill="f2f2f2" w:val="clear"/>
            <w:tcMar>
              <w:top w:w="60.0" w:type="dxa"/>
              <w:left w:w="80.0" w:type="dxa"/>
              <w:bottom w:w="60.0" w:type="dxa"/>
              <w:right w:w="80.0" w:type="dxa"/>
            </w:tcMar>
          </w:tcPr>
          <w:p w:rsidR="00000000" w:rsidDel="00000000" w:rsidP="00000000" w:rsidRDefault="00000000" w:rsidRPr="00000000" w14:paraId="000000AB">
            <w:pPr>
              <w:rPr>
                <w:rFonts w:ascii="Century Gothic" w:cs="Century Gothic" w:eastAsia="Century Gothic" w:hAnsi="Century Gothic"/>
                <w:sz w:val="20"/>
                <w:szCs w:val="20"/>
              </w:rPr>
            </w:pPr>
            <w:r>
              <w:rPr>
                <w:color w:val="000000"/>
                <w:sz w:val="15"/>
              </w:rPr>
              <w:t>Remove inbound 0.0.0.0/0 TCP/22 on the AWS DR security groups, replace it with AWS Systems Manager Session Manager and name an AWS environment owner.</w:t>
            </w:r>
          </w:p>
        </w:tc>
        <w:tc>
          <w:tcPr>
            <w:tcW w:w="1050" w:type="dxa"/>
            <w:shd w:fill="f2f2f2" w:val="clear"/>
            <w:tcMar>
              <w:top w:w="60.0" w:type="dxa"/>
              <w:left w:w="80.0" w:type="dxa"/>
              <w:bottom w:w="60.0" w:type="dxa"/>
              <w:right w:w="80.0" w:type="dxa"/>
            </w:tcMar>
          </w:tcPr>
          <w:p w:rsidR="00000000" w:rsidDel="00000000" w:rsidP="00000000" w:rsidRDefault="00000000" w:rsidRPr="00000000" w14:paraId="000000AC">
            <w:pPr>
              <w:rPr>
                <w:rFonts w:ascii="Century Gothic" w:cs="Century Gothic" w:eastAsia="Century Gothic" w:hAnsi="Century Gothic"/>
                <w:sz w:val="20"/>
                <w:szCs w:val="20"/>
              </w:rPr>
            </w:pPr>
            <w:r>
              <w:rPr>
                <w:color w:val="000000"/>
                <w:sz w:val="15"/>
              </w:rPr>
              <w:t>Security (2B)</w:t>
            </w:r>
          </w:p>
        </w:tc>
        <w:tc>
          <w:tcPr>
            <w:tcW w:w="1000" w:type="dxa"/>
            <w:shd w:fill="f2f2f2" w:val="clear"/>
            <w:tcMar>
              <w:top w:w="60.0" w:type="dxa"/>
              <w:left w:w="80.0" w:type="dxa"/>
              <w:bottom w:w="60.0" w:type="dxa"/>
              <w:right w:w="80.0" w:type="dxa"/>
            </w:tcMar>
          </w:tcPr>
          <w:p w:rsidR="00000000" w:rsidDel="00000000" w:rsidP="00000000" w:rsidRDefault="00000000" w:rsidRPr="00000000" w14:paraId="000000AD">
            <w:pPr>
              <w:rPr>
                <w:rFonts w:ascii="Century Gothic" w:cs="Century Gothic" w:eastAsia="Century Gothic" w:hAnsi="Century Gothic"/>
                <w:sz w:val="20"/>
                <w:szCs w:val="20"/>
              </w:rPr>
            </w:pPr>
            <w:r>
              <w:rPr>
                <w:color w:val="000000"/>
                <w:sz w:val="15"/>
              </w:rPr>
              <w:t>InfraOps</w:t>
            </w:r>
          </w:p>
        </w:tc>
        <w:tc>
          <w:tcPr>
            <w:tcW w:w="640" w:type="dxa"/>
            <w:shd w:fill="f2f2f2" w:val="clear"/>
            <w:tcMar>
              <w:top w:w="60.0" w:type="dxa"/>
              <w:left w:w="80.0" w:type="dxa"/>
              <w:bottom w:w="60.0" w:type="dxa"/>
              <w:right w:w="80.0" w:type="dxa"/>
            </w:tcMar>
          </w:tcPr>
          <w:p w:rsidR="00000000" w:rsidDel="00000000" w:rsidP="00000000" w:rsidRDefault="00000000" w:rsidRPr="00000000" w14:paraId="000000AE">
            <w:pPr>
              <w:rPr>
                <w:rFonts w:ascii="Century Gothic" w:cs="Century Gothic" w:eastAsia="Century Gothic" w:hAnsi="Century Gothic"/>
                <w:sz w:val="20"/>
                <w:szCs w:val="20"/>
              </w:rPr>
            </w:pPr>
            <w:r>
              <w:rPr>
                <w:color w:val="000000"/>
                <w:sz w:val="15"/>
              </w:rPr>
              <w:t>&lt;2d</w:t>
            </w:r>
          </w:p>
        </w:tc>
        <w:tc>
          <w:tcPr>
            <w:tcW w:w="1300" w:type="dxa"/>
            <w:shd w:fill="f2f2f2" w:val="clear"/>
            <w:tcMar>
              <w:top w:w="60.0" w:type="dxa"/>
              <w:left w:w="80.0" w:type="dxa"/>
              <w:bottom w:w="60.0" w:type="dxa"/>
              <w:right w:w="80.0" w:type="dxa"/>
            </w:tcMar>
          </w:tcPr>
          <w:p w:rsidR="00000000" w:rsidDel="00000000" w:rsidP="00000000" w:rsidRDefault="00000000" w:rsidRPr="00000000" w14:paraId="000000AF">
            <w:pPr>
              <w:rPr>
                <w:rFonts w:ascii="Century Gothic" w:cs="Century Gothic" w:eastAsia="Century Gothic" w:hAnsi="Century Gothic"/>
                <w:sz w:val="20"/>
                <w:szCs w:val="20"/>
              </w:rPr>
            </w:pPr>
            <w:r>
              <w:rPr>
                <w:color w:val="000000"/>
                <w:sz w:val="15"/>
              </w:rPr>
              <w:t>Sprint 1, Week 1</w:t>
            </w:r>
          </w:p>
        </w:tc>
        <w:tc>
          <w:tcPr>
            <w:tcW w:w="2570" w:type="dxa"/>
            <w:shd w:fill="f2f2f2" w:val="clear"/>
            <w:tcMar>
              <w:top w:w="60.0" w:type="dxa"/>
              <w:left w:w="80.0" w:type="dxa"/>
              <w:bottom w:w="60.0" w:type="dxa"/>
              <w:right w:w="80.0" w:type="dxa"/>
            </w:tcMar>
          </w:tcPr>
          <w:p w:rsidR="00000000" w:rsidDel="00000000" w:rsidP="00000000" w:rsidRDefault="00000000" w:rsidRPr="00000000" w14:paraId="000000B0">
            <w:pPr>
              <w:rPr>
                <w:rFonts w:ascii="Century Gothic" w:cs="Century Gothic" w:eastAsia="Century Gothic" w:hAnsi="Century Gothic"/>
                <w:sz w:val="20"/>
                <w:szCs w:val="20"/>
              </w:rPr>
            </w:pPr>
            <w:r>
              <w:rPr>
                <w:color w:val="000000"/>
                <w:sz w:val="15"/>
              </w:rPr>
              <w:t>External scan shows port 22 closed; Session Manager access verified; owner named.</w:t>
            </w:r>
          </w:p>
        </w:tc>
      </w:tr>
      <w:tr>
        <w:trPr>
          <w:cantSplit w:val="0"/>
          <w:tblHeader w:val="0"/>
          <w:cantSplit/>
        </w:trPr>
        <w:tc>
          <w:tcPr>
            <w:tcW w:w="470" w:type="dxa"/>
            <w:shd w:fill="ffffff" w:val="clear"/>
            <w:tcMar>
              <w:top w:w="60.0" w:type="dxa"/>
              <w:left w:w="80.0" w:type="dxa"/>
              <w:bottom w:w="60.0" w:type="dxa"/>
              <w:right w:w="80.0" w:type="dxa"/>
            </w:tcMar>
          </w:tcPr>
          <w:p w:rsidR="00000000" w:rsidDel="00000000" w:rsidP="00000000" w:rsidRDefault="00000000" w:rsidRPr="00000000" w14:paraId="000000B1">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3</w:t>
            </w:r>
            <w:r w:rsidDel="00000000" w:rsidR="00000000" w:rsidRPr="00000000">
              <w:rPr>
                <w:sz w:val="18"/>
                <w:rtl w:val="0"/>
              </w:rPr>
            </w:r>
          </w:p>
        </w:tc>
        <w:tc>
          <w:tcPr>
            <w:tcW w:w="2900" w:type="dxa"/>
            <w:shd w:fill="ffffff" w:val="clear"/>
            <w:tcMar>
              <w:top w:w="60.0" w:type="dxa"/>
              <w:left w:w="80.0" w:type="dxa"/>
              <w:bottom w:w="60.0" w:type="dxa"/>
              <w:right w:w="80.0" w:type="dxa"/>
            </w:tcMar>
          </w:tcPr>
          <w:p w:rsidR="00000000" w:rsidDel="00000000" w:rsidP="00000000" w:rsidRDefault="00000000" w:rsidRPr="00000000" w14:paraId="000000B2">
            <w:pPr>
              <w:rPr>
                <w:rFonts w:ascii="Century Gothic" w:cs="Century Gothic" w:eastAsia="Century Gothic" w:hAnsi="Century Gothic"/>
                <w:sz w:val="20"/>
                <w:szCs w:val="20"/>
              </w:rPr>
            </w:pPr>
            <w:r>
              <w:rPr>
                <w:color w:val="000000"/>
                <w:sz w:val="15"/>
              </w:rPr>
              <w:t>Obtain the Gap 5 decision (escalate to the CTO), then configure health-probe-driven failover to the approved DR region with a rehearsed runbook.</w:t>
            </w:r>
          </w:p>
        </w:tc>
        <w:tc>
          <w:tcPr>
            <w:tcW w:w="1050" w:type="dxa"/>
            <w:shd w:fill="ffffff" w:val="clear"/>
            <w:tcMar>
              <w:top w:w="60.0" w:type="dxa"/>
              <w:left w:w="80.0" w:type="dxa"/>
              <w:bottom w:w="60.0" w:type="dxa"/>
              <w:right w:w="80.0" w:type="dxa"/>
            </w:tcMar>
          </w:tcPr>
          <w:p w:rsidR="00000000" w:rsidDel="00000000" w:rsidP="00000000" w:rsidRDefault="00000000" w:rsidRPr="00000000" w14:paraId="000000B3">
            <w:pPr>
              <w:rPr>
                <w:rFonts w:ascii="Century Gothic" w:cs="Century Gothic" w:eastAsia="Century Gothic" w:hAnsi="Century Gothic"/>
                <w:sz w:val="20"/>
                <w:szCs w:val="20"/>
              </w:rPr>
            </w:pPr>
            <w:r>
              <w:rPr>
                <w:color w:val="000000"/>
                <w:sz w:val="15"/>
              </w:rPr>
              <w:t>Reliability (1)</w:t>
            </w:r>
          </w:p>
        </w:tc>
        <w:tc>
          <w:tcPr>
            <w:tcW w:w="1000" w:type="dxa"/>
            <w:shd w:fill="ffffff" w:val="clear"/>
            <w:tcMar>
              <w:top w:w="60.0" w:type="dxa"/>
              <w:left w:w="80.0" w:type="dxa"/>
              <w:bottom w:w="60.0" w:type="dxa"/>
              <w:right w:w="80.0" w:type="dxa"/>
            </w:tcMar>
          </w:tcPr>
          <w:p w:rsidR="00000000" w:rsidDel="00000000" w:rsidP="00000000" w:rsidRDefault="00000000" w:rsidRPr="00000000" w14:paraId="000000B4">
            <w:pPr>
              <w:rPr>
                <w:rFonts w:ascii="Century Gothic" w:cs="Century Gothic" w:eastAsia="Century Gothic" w:hAnsi="Century Gothic"/>
                <w:sz w:val="20"/>
                <w:szCs w:val="20"/>
              </w:rPr>
            </w:pPr>
            <w:r>
              <w:rPr>
                <w:color w:val="000000"/>
                <w:sz w:val="15"/>
              </w:rPr>
              <w:t>Platform (Legal and CTO decision gate)</w:t>
            </w:r>
          </w:p>
        </w:tc>
        <w:tc>
          <w:tcPr>
            <w:tcW w:w="640" w:type="dxa"/>
            <w:shd w:fill="ffffff" w:val="clear"/>
            <w:tcMar>
              <w:top w:w="60.0" w:type="dxa"/>
              <w:left w:w="80.0" w:type="dxa"/>
              <w:bottom w:w="60.0" w:type="dxa"/>
              <w:right w:w="80.0" w:type="dxa"/>
            </w:tcMar>
          </w:tcPr>
          <w:p w:rsidR="00000000" w:rsidDel="00000000" w:rsidP="00000000" w:rsidRDefault="00000000" w:rsidRPr="00000000" w14:paraId="000000B5">
            <w:pPr>
              <w:rPr>
                <w:rFonts w:ascii="Century Gothic" w:cs="Century Gothic" w:eastAsia="Century Gothic" w:hAnsi="Century Gothic"/>
                <w:sz w:val="20"/>
                <w:szCs w:val="20"/>
              </w:rPr>
            </w:pPr>
            <w:r>
              <w:rPr>
                <w:color w:val="000000"/>
                <w:sz w:val="15"/>
              </w:rPr>
              <w:t>&gt;2w</w:t>
            </w:r>
          </w:p>
        </w:tc>
        <w:tc>
          <w:tcPr>
            <w:tcW w:w="1300" w:type="dxa"/>
            <w:shd w:fill="ffffff" w:val="clear"/>
            <w:tcMar>
              <w:top w:w="60.0" w:type="dxa"/>
              <w:left w:w="80.0" w:type="dxa"/>
              <w:bottom w:w="60.0" w:type="dxa"/>
              <w:right w:w="80.0" w:type="dxa"/>
            </w:tcMar>
          </w:tcPr>
          <w:p w:rsidR="00000000" w:rsidDel="00000000" w:rsidP="00000000" w:rsidRDefault="00000000" w:rsidRPr="00000000" w14:paraId="000000B6">
            <w:pPr>
              <w:rPr>
                <w:rFonts w:ascii="Century Gothic" w:cs="Century Gothic" w:eastAsia="Century Gothic" w:hAnsi="Century Gothic"/>
                <w:sz w:val="20"/>
                <w:szCs w:val="20"/>
              </w:rPr>
            </w:pPr>
            <w:r>
              <w:rPr>
                <w:color w:val="000000"/>
                <w:sz w:val="15"/>
              </w:rPr>
              <w:t>Escalate Week 1; design Sprint 1–2; drill before the launch gate (a re-region adds 4–6 weeks, so start on the decision)</w:t>
            </w:r>
          </w:p>
        </w:tc>
        <w:tc>
          <w:tcPr>
            <w:tcW w:w="2570" w:type="dxa"/>
            <w:shd w:fill="ffffff" w:val="clear"/>
            <w:tcMar>
              <w:top w:w="60.0" w:type="dxa"/>
              <w:left w:w="80.0" w:type="dxa"/>
              <w:bottom w:w="60.0" w:type="dxa"/>
              <w:right w:w="80.0" w:type="dxa"/>
            </w:tcMar>
          </w:tcPr>
          <w:p w:rsidR="00000000" w:rsidDel="00000000" w:rsidP="00000000" w:rsidRDefault="00000000" w:rsidRPr="00000000" w14:paraId="000000B7">
            <w:pPr>
              <w:rPr>
                <w:rFonts w:ascii="Century Gothic" w:cs="Century Gothic" w:eastAsia="Century Gothic" w:hAnsi="Century Gothic"/>
                <w:sz w:val="20"/>
                <w:szCs w:val="20"/>
              </w:rPr>
            </w:pPr>
            <w:r>
              <w:rPr>
                <w:color w:val="000000"/>
                <w:sz w:val="15"/>
              </w:rPr>
              <w:t>Written Legal decision on file; failover drill moves traffic in ≤5 min with no manual approval.</w:t>
            </w:r>
          </w:p>
        </w:tc>
      </w:tr>
      <w:tr>
        <w:trPr>
          <w:cantSplit w:val="0"/>
          <w:tblHeader w:val="0"/>
          <w:cantSplit/>
        </w:trPr>
        <w:tc>
          <w:tcPr>
            <w:tcW w:w="470" w:type="dxa"/>
            <w:shd w:fill="f2f2f2" w:val="clear"/>
            <w:tcMar>
              <w:top w:w="60.0" w:type="dxa"/>
              <w:left w:w="80.0" w:type="dxa"/>
              <w:bottom w:w="60.0" w:type="dxa"/>
              <w:right w:w="80.0" w:type="dxa"/>
            </w:tcMar>
          </w:tcPr>
          <w:p w:rsidR="00000000" w:rsidDel="00000000" w:rsidP="00000000" w:rsidRDefault="00000000" w:rsidRPr="00000000" w14:paraId="000000B8">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4</w:t>
            </w:r>
            <w:r w:rsidDel="00000000" w:rsidR="00000000" w:rsidRPr="00000000">
              <w:rPr>
                <w:sz w:val="18"/>
                <w:rtl w:val="0"/>
              </w:rPr>
            </w:r>
          </w:p>
        </w:tc>
        <w:tc>
          <w:tcPr>
            <w:tcW w:w="2900" w:type="dxa"/>
            <w:shd w:fill="f2f2f2" w:val="clear"/>
            <w:tcMar>
              <w:top w:w="60.0" w:type="dxa"/>
              <w:left w:w="80.0" w:type="dxa"/>
              <w:bottom w:w="60.0" w:type="dxa"/>
              <w:right w:w="80.0" w:type="dxa"/>
            </w:tcMar>
          </w:tcPr>
          <w:p w:rsidR="00000000" w:rsidDel="00000000" w:rsidP="00000000" w:rsidRDefault="00000000" w:rsidRPr="00000000" w14:paraId="000000B9">
            <w:pPr>
              <w:rPr>
                <w:rFonts w:ascii="Century Gothic" w:cs="Century Gothic" w:eastAsia="Century Gothic" w:hAnsi="Century Gothic"/>
                <w:sz w:val="20"/>
                <w:szCs w:val="20"/>
              </w:rPr>
            </w:pPr>
            <w:r>
              <w:rPr>
                <w:color w:val="000000"/>
                <w:sz w:val="15"/>
              </w:rPr>
              <w:t>Route AKS and AML endpoint logs to Log Analytics (365-day retention) and publish a P1/P2 runbook, paging-based escalation matrix and blameless postmortem process.</w:t>
            </w:r>
          </w:p>
        </w:tc>
        <w:tc>
          <w:tcPr>
            <w:tcW w:w="1050" w:type="dxa"/>
            <w:shd w:fill="f2f2f2" w:val="clear"/>
            <w:tcMar>
              <w:top w:w="60.0" w:type="dxa"/>
              <w:left w:w="80.0" w:type="dxa"/>
              <w:bottom w:w="60.0" w:type="dxa"/>
              <w:right w:w="80.0" w:type="dxa"/>
            </w:tcMar>
          </w:tcPr>
          <w:p w:rsidR="00000000" w:rsidDel="00000000" w:rsidP="00000000" w:rsidRDefault="00000000" w:rsidRPr="00000000" w14:paraId="000000BA">
            <w:pPr>
              <w:rPr>
                <w:rFonts w:ascii="Century Gothic" w:cs="Century Gothic" w:eastAsia="Century Gothic" w:hAnsi="Century Gothic"/>
                <w:sz w:val="20"/>
                <w:szCs w:val="20"/>
              </w:rPr>
            </w:pPr>
            <w:r>
              <w:rPr>
                <w:color w:val="000000"/>
                <w:sz w:val="15"/>
              </w:rPr>
              <w:t>Operational Excellence (4)</w:t>
            </w:r>
          </w:p>
        </w:tc>
        <w:tc>
          <w:tcPr>
            <w:tcW w:w="1000" w:type="dxa"/>
            <w:shd w:fill="f2f2f2" w:val="clear"/>
            <w:tcMar>
              <w:top w:w="60.0" w:type="dxa"/>
              <w:left w:w="80.0" w:type="dxa"/>
              <w:bottom w:w="60.0" w:type="dxa"/>
              <w:right w:w="80.0" w:type="dxa"/>
            </w:tcMar>
          </w:tcPr>
          <w:p w:rsidR="00000000" w:rsidDel="00000000" w:rsidP="00000000" w:rsidRDefault="00000000" w:rsidRPr="00000000" w14:paraId="000000BB">
            <w:pPr>
              <w:rPr>
                <w:rFonts w:ascii="Century Gothic" w:cs="Century Gothic" w:eastAsia="Century Gothic" w:hAnsi="Century Gothic"/>
                <w:sz w:val="20"/>
                <w:szCs w:val="20"/>
              </w:rPr>
            </w:pPr>
            <w:r>
              <w:rPr>
                <w:color w:val="000000"/>
                <w:sz w:val="15"/>
              </w:rPr>
              <w:t>Platform (SecOps co-owns logging)</w:t>
            </w:r>
          </w:p>
        </w:tc>
        <w:tc>
          <w:tcPr>
            <w:tcW w:w="640" w:type="dxa"/>
            <w:shd w:fill="f2f2f2" w:val="clear"/>
            <w:tcMar>
              <w:top w:w="60.0" w:type="dxa"/>
              <w:left w:w="80.0" w:type="dxa"/>
              <w:bottom w:w="60.0" w:type="dxa"/>
              <w:right w:w="80.0" w:type="dxa"/>
            </w:tcMar>
          </w:tcPr>
          <w:p w:rsidR="00000000" w:rsidDel="00000000" w:rsidP="00000000" w:rsidRDefault="00000000" w:rsidRPr="00000000" w14:paraId="000000BC">
            <w:pPr>
              <w:rPr>
                <w:rFonts w:ascii="Century Gothic" w:cs="Century Gothic" w:eastAsia="Century Gothic" w:hAnsi="Century Gothic"/>
                <w:sz w:val="20"/>
                <w:szCs w:val="20"/>
              </w:rPr>
            </w:pPr>
            <w:r>
              <w:rPr>
                <w:color w:val="000000"/>
                <w:sz w:val="15"/>
              </w:rPr>
              <w:t>1–2w</w:t>
            </w:r>
          </w:p>
        </w:tc>
        <w:tc>
          <w:tcPr>
            <w:tcW w:w="1300" w:type="dxa"/>
            <w:shd w:fill="f2f2f2" w:val="clear"/>
            <w:tcMar>
              <w:top w:w="60.0" w:type="dxa"/>
              <w:left w:w="80.0" w:type="dxa"/>
              <w:bottom w:w="60.0" w:type="dxa"/>
              <w:right w:w="80.0" w:type="dxa"/>
            </w:tcMar>
          </w:tcPr>
          <w:p w:rsidR="00000000" w:rsidDel="00000000" w:rsidP="00000000" w:rsidRDefault="00000000" w:rsidRPr="00000000" w14:paraId="000000BD">
            <w:pPr>
              <w:rPr>
                <w:rFonts w:ascii="Century Gothic" w:cs="Century Gothic" w:eastAsia="Century Gothic" w:hAnsi="Century Gothic"/>
                <w:sz w:val="20"/>
                <w:szCs w:val="20"/>
              </w:rPr>
            </w:pPr>
            <w:r>
              <w:rPr>
                <w:color w:val="000000"/>
                <w:sz w:val="15"/>
              </w:rPr>
              <w:t>Sprint 1–2</w:t>
            </w:r>
          </w:p>
        </w:tc>
        <w:tc>
          <w:tcPr>
            <w:tcW w:w="2570" w:type="dxa"/>
            <w:shd w:fill="f2f2f2" w:val="clear"/>
            <w:tcMar>
              <w:top w:w="60.0" w:type="dxa"/>
              <w:left w:w="80.0" w:type="dxa"/>
              <w:bottom w:w="60.0" w:type="dxa"/>
              <w:right w:w="80.0" w:type="dxa"/>
            </w:tcMar>
          </w:tcPr>
          <w:p w:rsidR="00000000" w:rsidDel="00000000" w:rsidP="00000000" w:rsidRDefault="00000000" w:rsidRPr="00000000" w14:paraId="000000BE">
            <w:pPr>
              <w:rPr>
                <w:rFonts w:ascii="Century Gothic" w:cs="Century Gothic" w:eastAsia="Century Gothic" w:hAnsi="Century Gothic"/>
                <w:sz w:val="20"/>
                <w:szCs w:val="20"/>
              </w:rPr>
            </w:pPr>
            <w:r>
              <w:rPr>
                <w:color w:val="000000"/>
                <w:sz w:val="15"/>
              </w:rPr>
              <w:t>Logs queryable for 12 months; INC-002 tabletop reaches a responder in &lt;5 min.</w:t>
            </w:r>
          </w:p>
        </w:tc>
      </w:tr>
      <w:tr>
        <w:trPr>
          <w:cantSplit w:val="0"/>
          <w:tblHeader w:val="0"/>
          <w:cantSplit/>
        </w:trPr>
        <w:tc>
          <w:tcPr>
            <w:tcW w:w="470" w:type="dxa"/>
            <w:shd w:fill="ffffff" w:val="clear"/>
            <w:tcMar>
              <w:top w:w="60.0" w:type="dxa"/>
              <w:left w:w="80.0" w:type="dxa"/>
              <w:bottom w:w="60.0" w:type="dxa"/>
              <w:right w:w="80.0" w:type="dxa"/>
            </w:tcMar>
          </w:tcPr>
          <w:p w:rsidR="00000000" w:rsidDel="00000000" w:rsidP="00000000" w:rsidRDefault="00000000" w:rsidRPr="00000000" w14:paraId="000000BF">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18"/>
                <w:szCs w:val="20"/>
                <w:rtl w:val="0"/>
              </w:rPr>
              <w:t xml:space="preserve">5</w:t>
            </w:r>
            <w:r w:rsidDel="00000000" w:rsidR="00000000" w:rsidRPr="00000000">
              <w:rPr>
                <w:sz w:val="18"/>
                <w:rtl w:val="0"/>
              </w:rPr>
            </w:r>
          </w:p>
        </w:tc>
        <w:tc>
          <w:tcPr>
            <w:tcW w:w="2900" w:type="dxa"/>
            <w:shd w:fill="ffffff" w:val="clear"/>
            <w:tcMar>
              <w:top w:w="60.0" w:type="dxa"/>
              <w:left w:w="80.0" w:type="dxa"/>
              <w:bottom w:w="60.0" w:type="dxa"/>
              <w:right w:w="80.0" w:type="dxa"/>
            </w:tcMar>
          </w:tcPr>
          <w:p w:rsidR="00000000" w:rsidDel="00000000" w:rsidP="00000000" w:rsidRDefault="00000000" w:rsidRPr="00000000" w14:paraId="000000C0">
            <w:pPr>
              <w:rPr>
                <w:rFonts w:ascii="Century Gothic" w:cs="Century Gothic" w:eastAsia="Century Gothic" w:hAnsi="Century Gothic"/>
                <w:sz w:val="20"/>
                <w:szCs w:val="20"/>
              </w:rPr>
            </w:pPr>
            <w:r>
              <w:rPr>
                <w:color w:val="000000"/>
                <w:sz w:val="15"/>
              </w:rPr>
              <w:t>Enable idle auto-deallocation (idleSecondsBeforeScaleDown=300) on the A100 clusters and autoscaling on the managed online endpoint.</w:t>
            </w:r>
          </w:p>
        </w:tc>
        <w:tc>
          <w:tcPr>
            <w:tcW w:w="1050" w:type="dxa"/>
            <w:shd w:fill="ffffff" w:val="clear"/>
            <w:tcMar>
              <w:top w:w="60.0" w:type="dxa"/>
              <w:left w:w="80.0" w:type="dxa"/>
              <w:bottom w:w="60.0" w:type="dxa"/>
              <w:right w:w="80.0" w:type="dxa"/>
            </w:tcMar>
          </w:tcPr>
          <w:p w:rsidR="00000000" w:rsidDel="00000000" w:rsidP="00000000" w:rsidRDefault="00000000" w:rsidRPr="00000000" w14:paraId="000000C1">
            <w:pPr>
              <w:rPr>
                <w:rFonts w:ascii="Century Gothic" w:cs="Century Gothic" w:eastAsia="Century Gothic" w:hAnsi="Century Gothic"/>
                <w:sz w:val="20"/>
                <w:szCs w:val="20"/>
              </w:rPr>
            </w:pPr>
            <w:r>
              <w:rPr>
                <w:color w:val="000000"/>
                <w:sz w:val="15"/>
              </w:rPr>
              <w:t>Cost Optimization (3); also Performance Efficiency (5)</w:t>
            </w:r>
          </w:p>
        </w:tc>
        <w:tc>
          <w:tcPr>
            <w:tcW w:w="1000" w:type="dxa"/>
            <w:shd w:fill="ffffff" w:val="clear"/>
            <w:tcMar>
              <w:top w:w="60.0" w:type="dxa"/>
              <w:left w:w="80.0" w:type="dxa"/>
              <w:bottom w:w="60.0" w:type="dxa"/>
              <w:right w:w="80.0" w:type="dxa"/>
            </w:tcMar>
          </w:tcPr>
          <w:p w:rsidR="00000000" w:rsidDel="00000000" w:rsidP="00000000" w:rsidRDefault="00000000" w:rsidRPr="00000000" w14:paraId="000000C2">
            <w:pPr>
              <w:rPr>
                <w:rFonts w:ascii="Century Gothic" w:cs="Century Gothic" w:eastAsia="Century Gothic" w:hAnsi="Century Gothic"/>
                <w:sz w:val="20"/>
                <w:szCs w:val="20"/>
              </w:rPr>
            </w:pPr>
            <w:r>
              <w:rPr>
                <w:color w:val="000000"/>
                <w:sz w:val="15"/>
              </w:rPr>
              <w:t>Platform</w:t>
            </w:r>
          </w:p>
        </w:tc>
        <w:tc>
          <w:tcPr>
            <w:tcW w:w="640" w:type="dxa"/>
            <w:shd w:fill="ffffff" w:val="clear"/>
            <w:tcMar>
              <w:top w:w="60.0" w:type="dxa"/>
              <w:left w:w="80.0" w:type="dxa"/>
              <w:bottom w:w="60.0" w:type="dxa"/>
              <w:right w:w="80.0" w:type="dxa"/>
            </w:tcMar>
          </w:tcPr>
          <w:p w:rsidR="00000000" w:rsidDel="00000000" w:rsidP="00000000" w:rsidRDefault="00000000" w:rsidRPr="00000000" w14:paraId="000000C3">
            <w:pPr>
              <w:rPr>
                <w:rFonts w:ascii="Century Gothic" w:cs="Century Gothic" w:eastAsia="Century Gothic" w:hAnsi="Century Gothic"/>
                <w:sz w:val="20"/>
                <w:szCs w:val="20"/>
              </w:rPr>
            </w:pPr>
            <w:r>
              <w:rPr>
                <w:color w:val="000000"/>
                <w:sz w:val="15"/>
              </w:rPr>
              <w:t>&lt;2d</w:t>
            </w:r>
          </w:p>
        </w:tc>
        <w:tc>
          <w:tcPr>
            <w:tcW w:w="1300" w:type="dxa"/>
            <w:shd w:fill="ffffff" w:val="clear"/>
            <w:tcMar>
              <w:top w:w="60.0" w:type="dxa"/>
              <w:left w:w="80.0" w:type="dxa"/>
              <w:bottom w:w="60.0" w:type="dxa"/>
              <w:right w:w="80.0" w:type="dxa"/>
            </w:tcMar>
          </w:tcPr>
          <w:p w:rsidR="00000000" w:rsidDel="00000000" w:rsidP="00000000" w:rsidRDefault="00000000" w:rsidRPr="00000000" w14:paraId="000000C4">
            <w:pPr>
              <w:rPr>
                <w:rFonts w:ascii="Century Gothic" w:cs="Century Gothic" w:eastAsia="Century Gothic" w:hAnsi="Century Gothic"/>
                <w:sz w:val="20"/>
                <w:szCs w:val="20"/>
              </w:rPr>
            </w:pPr>
            <w:r>
              <w:rPr>
                <w:color w:val="000000"/>
                <w:sz w:val="15"/>
              </w:rPr>
              <w:t>Sprint 1, Week 2</w:t>
            </w:r>
          </w:p>
        </w:tc>
        <w:tc>
          <w:tcPr>
            <w:tcW w:w="2570" w:type="dxa"/>
            <w:shd w:fill="ffffff" w:val="clear"/>
            <w:tcMar>
              <w:top w:w="60.0" w:type="dxa"/>
              <w:left w:w="80.0" w:type="dxa"/>
              <w:bottom w:w="60.0" w:type="dxa"/>
              <w:right w:w="80.0" w:type="dxa"/>
            </w:tcMar>
          </w:tcPr>
          <w:p w:rsidR="00000000" w:rsidDel="00000000" w:rsidP="00000000" w:rsidRDefault="00000000" w:rsidRPr="00000000" w14:paraId="000000C5">
            <w:pPr>
              <w:rPr>
                <w:rFonts w:ascii="Century Gothic" w:cs="Century Gothic" w:eastAsia="Century Gothic" w:hAnsi="Century Gothic"/>
                <w:sz w:val="20"/>
                <w:szCs w:val="20"/>
              </w:rPr>
            </w:pPr>
            <w:r>
              <w:rPr>
                <w:color w:val="000000"/>
                <w:sz w:val="15"/>
              </w:rPr>
              <w:t>A100 idle &lt;1 h/day; load test confirms scale-out at GPU &gt;70%.</w:t>
            </w:r>
          </w:p>
        </w:tc>
      </w:tr>
    </w:tbl>
    <w:p w:rsidR="00000000" w:rsidDel="00000000" w:rsidP="00000000" w:rsidRDefault="00000000" w:rsidRPr="00000000" w14:paraId="000000C6">
      <w:pPr>
        <w:spacing w:after="0" w:before="0" w:line="100" w:lineRule="exact"/>
        <w:rPr>
          <w:rFonts w:ascii="Century Gothic" w:cs="Century Gothic" w:eastAsia="Century Gothic" w:hAnsi="Century Gothic"/>
          <w:sz w:val="20"/>
          <w:szCs w:val="20"/>
        </w:rPr>
      </w:pPr>
      <w:r w:rsidDel="00000000" w:rsidR="00000000" w:rsidRPr="00000000">
        <w:rPr>
          <w:rtl w:val="0"/>
          <w:sz w:val="8"/>
        </w:rPr>
      </w:r>
    </w:p>
    <w:p w:rsidR="00000000" w:rsidDel="00000000" w:rsidP="00000000" w:rsidRDefault="00000000" w:rsidRPr="00000000" w14:paraId="000000C7">
      <w:pPr>
        <w:pStyle w:val="Heading3"/>
        <w:spacing w:after="60" w:before="1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d6e6e"/>
          <w:sz w:val="20"/>
          <w:szCs w:val="20"/>
          <w:rtl w:val="0"/>
        </w:rPr>
        <w:t xml:space="preserve">Prioritization Rationale: Impact vs. Effort</w:t>
      </w:r>
      <w:r w:rsidDel="00000000" w:rsidR="00000000" w:rsidRPr="00000000">
        <w:rPr>
          <w:rtl w:val="0"/>
        </w:rPr>
      </w:r>
    </w:p>
    <w:tbl>
      <w:tblPr>
        <w:tblStyle w:val="Table8"/>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4015"/>
        <w:gridCol w:w="4015"/>
        <w:tblGridChange w:id="0">
          <w:tblGrid>
            <w:gridCol w:w="2040"/>
            <w:gridCol w:w="3720"/>
            <w:gridCol w:w="3600"/>
          </w:tblGrid>
        </w:tblGridChange>
      </w:tblGrid>
      <w:tr>
        <w:trPr>
          <w:cantSplit w:val="0"/>
          <w:tblHeader w:val="0"/>
          <w:cantSplit/>
        </w:trPr>
        <w:tc>
          <w:tcPr>
            <w:tcW w:w="1900" w:type="dxa"/>
            <w:shd w:fill="ffffff" w:val="clear"/>
            <w:tcMar>
              <w:top w:w="60.0" w:type="dxa"/>
              <w:left w:w="80.0" w:type="dxa"/>
              <w:bottom w:w="60.0" w:type="dxa"/>
              <w:right w:w="80.0" w:type="dxa"/>
            </w:tcMar>
          </w:tcPr>
          <w:p w:rsidR="00000000" w:rsidDel="00000000" w:rsidP="00000000" w:rsidRDefault="00000000" w:rsidRPr="00000000" w14:paraId="000000CA">
            <w:pPr>
              <w:rPr>
                <w:rFonts w:ascii="Century Gothic" w:cs="Century Gothic" w:eastAsia="Century Gothic" w:hAnsi="Century Gothic"/>
                <w:sz w:val="20"/>
                <w:szCs w:val="20"/>
              </w:rPr>
            </w:pPr>
            <w:r w:rsidDel="00000000" w:rsidR="00000000" w:rsidRPr="00000000">
              <w:rPr>
                <w:rtl w:val="0"/>
              </w:rPr>
            </w:r>
          </w:p>
        </w:tc>
        <w:tc>
          <w:tcPr>
            <w:tcW w:w="4015" w:type="dxa"/>
            <w:shd w:fill="f2f2f2" w:val="clear"/>
            <w:tcMar>
              <w:top w:w="60.0" w:type="dxa"/>
              <w:left w:w="80.0" w:type="dxa"/>
              <w:bottom w:w="60.0" w:type="dxa"/>
              <w:right w:w="80.0" w:type="dxa"/>
            </w:tcMar>
          </w:tcPr>
          <w:p w:rsidR="00000000" w:rsidDel="00000000" w:rsidP="00000000" w:rsidRDefault="00000000" w:rsidRPr="00000000" w14:paraId="000000CB">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20"/>
                <w:szCs w:val="20"/>
                <w:rtl w:val="0"/>
              </w:rPr>
              <w:t xml:space="preserve">LOW EFFORT</w:t>
            </w:r>
            <w:r w:rsidDel="00000000" w:rsidR="00000000" w:rsidRPr="00000000">
              <w:rPr>
                <w:rtl w:val="0"/>
              </w:rPr>
            </w:r>
          </w:p>
        </w:tc>
        <w:tc>
          <w:tcPr>
            <w:tcW w:w="4015" w:type="dxa"/>
            <w:shd w:fill="f2f2f2" w:val="clear"/>
            <w:tcMar>
              <w:top w:w="60.0" w:type="dxa"/>
              <w:left w:w="80.0" w:type="dxa"/>
              <w:bottom w:w="60.0" w:type="dxa"/>
              <w:right w:w="80.0" w:type="dxa"/>
            </w:tcMar>
          </w:tcPr>
          <w:p w:rsidR="00000000" w:rsidDel="00000000" w:rsidP="00000000" w:rsidRDefault="00000000" w:rsidRPr="00000000" w14:paraId="000000CC">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20"/>
                <w:szCs w:val="20"/>
                <w:rtl w:val="0"/>
              </w:rPr>
              <w:t xml:space="preserve">HIGH EFFORT</w:t>
            </w:r>
            <w:r w:rsidDel="00000000" w:rsidR="00000000" w:rsidRPr="00000000">
              <w:rPr>
                <w:rtl w:val="0"/>
              </w:rPr>
            </w:r>
          </w:p>
        </w:tc>
      </w:tr>
      <w:tr>
        <w:trPr>
          <w:cantSplit w:val="0"/>
          <w:tblHeader w:val="0"/>
          <w:cantSplit/>
        </w:trPr>
        <w:tc>
          <w:tcPr>
            <w:tcW w:w="1900" w:type="dxa"/>
            <w:shd w:fill="f2f2f2" w:val="clear"/>
            <w:tcMar>
              <w:top w:w="60.0" w:type="dxa"/>
              <w:left w:w="80.0" w:type="dxa"/>
              <w:bottom w:w="60.0" w:type="dxa"/>
              <w:right w:w="80.0" w:type="dxa"/>
            </w:tcMar>
          </w:tcPr>
          <w:p w:rsidR="00000000" w:rsidDel="00000000" w:rsidP="00000000" w:rsidRDefault="00000000" w:rsidRPr="00000000" w14:paraId="000000CD">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20"/>
                <w:szCs w:val="20"/>
                <w:rtl w:val="0"/>
              </w:rPr>
              <w:t xml:space="preserve">HIGH IMPACT</w:t>
            </w:r>
            <w:r w:rsidDel="00000000" w:rsidR="00000000" w:rsidRPr="00000000">
              <w:rPr>
                <w:rtl w:val="0"/>
              </w:rPr>
            </w:r>
          </w:p>
        </w:tc>
        <w:tc>
          <w:tcPr>
            <w:tcW w:w="4015" w:type="dxa"/>
            <w:shd w:fill="e2efda" w:val="clear"/>
            <w:tcMar>
              <w:top w:w="80.0" w:type="dxa"/>
              <w:left w:w="80.0" w:type="dxa"/>
              <w:bottom w:w="80.0" w:type="dxa"/>
              <w:right w:w="80.0" w:type="dxa"/>
            </w:tcMar>
          </w:tcPr>
          <w:p w:rsidR="00000000" w:rsidDel="00000000" w:rsidP="00000000" w:rsidRDefault="00000000" w:rsidRPr="00000000" w14:paraId="000000CE">
            <w:pPr>
              <w:spacing w:after="2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17"/>
                <w:szCs w:val="20"/>
                <w:rtl w:val="0"/>
              </w:rPr>
              <w:t xml:space="preserve">Do First (Rank 1–2)</w:t>
            </w:r>
            <w:r w:rsidDel="00000000" w:rsidR="00000000" w:rsidRPr="00000000">
              <w:rPr>
                <w:sz w:val="17"/>
                <w:rtl w:val="0"/>
              </w:rPr>
            </w:r>
          </w:p>
          <w:p w:rsidR="00000000" w:rsidDel="00000000" w:rsidP="00000000" w:rsidRDefault="00000000" w:rsidRPr="00000000" w14:paraId="000000CF">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595959"/>
                <w:sz w:val="17"/>
                <w:szCs w:val="20"/>
                <w:rtl w:val="0"/>
              </w:rPr>
              <w:t xml:space="preserve">High impact, quick to implement ➔ must not be left below Rank 2</w:t>
            </w:r>
            <w:r w:rsidDel="00000000" w:rsidR="00000000" w:rsidRPr="00000000">
              <w:rPr>
                <w:sz w:val="17"/>
                <w:rtl w:val="0"/>
              </w:rPr>
            </w:r>
            <w:r>
              <w:rPr>
                <w:b/>
                <w:sz w:val="17"/>
              </w:rPr>
              <w:br/>
            </w:r>
            <w:r>
              <w:rPr>
                <w:b/>
                <w:sz w:val="17"/>
              </w:rPr>
              <w:t>Rank 1 (SAS token), Rank 2 (AWS public SSH): impact 5, effort 1 each.</w:t>
            </w:r>
          </w:p>
        </w:tc>
        <w:tc>
          <w:tcPr>
            <w:tcW w:w="4015" w:type="dxa"/>
            <w:shd w:fill="fff2cc" w:val="clear"/>
            <w:tcMar>
              <w:top w:w="80.0" w:type="dxa"/>
              <w:left w:w="80.0" w:type="dxa"/>
              <w:bottom w:w="80.0" w:type="dxa"/>
              <w:right w:w="80.0" w:type="dxa"/>
            </w:tcMar>
          </w:tcPr>
          <w:p w:rsidR="00000000" w:rsidDel="00000000" w:rsidP="00000000" w:rsidRDefault="00000000" w:rsidRPr="00000000" w14:paraId="000000D0">
            <w:pPr>
              <w:spacing w:after="2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17"/>
                <w:szCs w:val="20"/>
                <w:rtl w:val="0"/>
              </w:rPr>
              <w:t xml:space="preserve">Plan (Rank 3–4)</w:t>
            </w:r>
            <w:r w:rsidDel="00000000" w:rsidR="00000000" w:rsidRPr="00000000">
              <w:rPr>
                <w:sz w:val="17"/>
                <w:rtl w:val="0"/>
              </w:rPr>
            </w:r>
          </w:p>
          <w:p w:rsidR="00000000" w:rsidDel="00000000" w:rsidP="00000000" w:rsidRDefault="00000000" w:rsidRPr="00000000" w14:paraId="000000D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595959"/>
                <w:sz w:val="17"/>
                <w:szCs w:val="20"/>
                <w:rtl w:val="0"/>
              </w:rPr>
              <w:t xml:space="preserve">Worth the effort ➔ schedule for sprint after launch</w:t>
            </w:r>
            <w:r w:rsidDel="00000000" w:rsidR="00000000" w:rsidRPr="00000000">
              <w:rPr>
                <w:sz w:val="17"/>
                <w:rtl w:val="0"/>
              </w:rPr>
            </w:r>
            <w:r>
              <w:rPr>
                <w:b/>
                <w:sz w:val="17"/>
              </w:rPr>
              <w:br/>
            </w:r>
            <w:r>
              <w:rPr>
                <w:b/>
                <w:sz w:val="17"/>
              </w:rPr>
              <w:t>Rank 3 (DR failover + Gap 5), Rank 4 (audit logging + runbooks): impact 5 and 4, effort 5 and 3.</w:t>
            </w:r>
          </w:p>
        </w:tc>
      </w:tr>
      <w:tr>
        <w:trPr>
          <w:cantSplit w:val="0"/>
          <w:trHeight w:val="324" w:hRule="atLeast"/>
          <w:tblHeader w:val="0"/>
          <w:cantSplit/>
        </w:trPr>
        <w:tc>
          <w:tcPr>
            <w:tcW w:w="1900" w:type="dxa"/>
            <w:shd w:fill="f2f2f2" w:val="clear"/>
            <w:tcMar>
              <w:top w:w="60.0" w:type="dxa"/>
              <w:left w:w="80.0" w:type="dxa"/>
              <w:bottom w:w="60.0" w:type="dxa"/>
              <w:right w:w="80.0" w:type="dxa"/>
            </w:tcMar>
          </w:tcPr>
          <w:p w:rsidR="00000000" w:rsidDel="00000000" w:rsidP="00000000" w:rsidRDefault="00000000" w:rsidRPr="00000000" w14:paraId="000000D2">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20"/>
                <w:szCs w:val="20"/>
                <w:rtl w:val="0"/>
              </w:rPr>
              <w:t xml:space="preserve">LOW IMPACT</w:t>
            </w:r>
            <w:r w:rsidDel="00000000" w:rsidR="00000000" w:rsidRPr="00000000">
              <w:rPr>
                <w:rtl w:val="0"/>
              </w:rPr>
            </w:r>
          </w:p>
        </w:tc>
        <w:tc>
          <w:tcPr>
            <w:tcW w:w="4015" w:type="dxa"/>
            <w:shd w:fill="deeaf1" w:val="clear"/>
            <w:tcMar>
              <w:top w:w="80.0" w:type="dxa"/>
              <w:left w:w="80.0" w:type="dxa"/>
              <w:bottom w:w="80.0" w:type="dxa"/>
              <w:right w:w="80.0" w:type="dxa"/>
            </w:tcMar>
          </w:tcPr>
          <w:p w:rsidR="00000000" w:rsidDel="00000000" w:rsidP="00000000" w:rsidRDefault="00000000" w:rsidRPr="00000000" w14:paraId="000000D3">
            <w:pPr>
              <w:spacing w:after="2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17"/>
                <w:szCs w:val="20"/>
                <w:rtl w:val="0"/>
              </w:rPr>
              <w:t xml:space="preserve">Consider (Rank 5)</w:t>
            </w:r>
            <w:r w:rsidDel="00000000" w:rsidR="00000000" w:rsidRPr="00000000">
              <w:rPr>
                <w:sz w:val="17"/>
                <w:rtl w:val="0"/>
              </w:rPr>
            </w:r>
          </w:p>
          <w:p w:rsidR="00000000" w:rsidDel="00000000" w:rsidP="00000000" w:rsidRDefault="00000000" w:rsidRPr="00000000" w14:paraId="000000D4">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595959"/>
                <w:sz w:val="17"/>
                <w:szCs w:val="20"/>
                <w:rtl w:val="0"/>
              </w:rPr>
              <w:t xml:space="preserve">Quick but marginal ➔ only if capacity allows</w:t>
            </w:r>
            <w:r w:rsidDel="00000000" w:rsidR="00000000" w:rsidRPr="00000000">
              <w:rPr>
                <w:sz w:val="17"/>
                <w:rtl w:val="0"/>
              </w:rPr>
            </w:r>
            <w:r>
              <w:rPr>
                <w:b/>
                <w:sz w:val="17"/>
              </w:rPr>
              <w:br/>
            </w:r>
            <w:r>
              <w:rPr>
                <w:b/>
                <w:sz w:val="17"/>
              </w:rPr>
              <w:t>Rank 5 (GPU idle/autoscale): impact 3, effort 1.</w:t>
            </w:r>
          </w:p>
        </w:tc>
        <w:tc>
          <w:tcPr>
            <w:tcW w:w="4015" w:type="dxa"/>
            <w:shd w:fill="fce4d6" w:val="clear"/>
            <w:tcMar>
              <w:top w:w="80.0" w:type="dxa"/>
              <w:left w:w="80.0" w:type="dxa"/>
              <w:bottom w:w="80.0" w:type="dxa"/>
              <w:right w:w="80.0" w:type="dxa"/>
            </w:tcMar>
          </w:tcPr>
          <w:p w:rsidR="00000000" w:rsidDel="00000000" w:rsidP="00000000" w:rsidRDefault="00000000" w:rsidRPr="00000000" w14:paraId="000000D5">
            <w:pPr>
              <w:spacing w:after="2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3864"/>
                <w:sz w:val="17"/>
                <w:szCs w:val="20"/>
                <w:rtl w:val="0"/>
              </w:rPr>
              <w:t xml:space="preserve">Defer / Drop</w:t>
            </w:r>
            <w:r w:rsidDel="00000000" w:rsidR="00000000" w:rsidRPr="00000000">
              <w:rPr>
                <w:sz w:val="17"/>
                <w:rtl w:val="0"/>
              </w:rPr>
            </w:r>
          </w:p>
          <w:p w:rsidR="00000000" w:rsidDel="00000000" w:rsidP="00000000" w:rsidRDefault="00000000" w:rsidRPr="00000000" w14:paraId="000000D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595959"/>
                <w:sz w:val="17"/>
                <w:szCs w:val="20"/>
                <w:rtl w:val="0"/>
              </w:rPr>
              <w:t xml:space="preserve">Do not include in top 5</w:t>
            </w:r>
            <w:r w:rsidDel="00000000" w:rsidR="00000000" w:rsidRPr="00000000">
              <w:rPr>
                <w:sz w:val="17"/>
                <w:rtl w:val="0"/>
              </w:rPr>
            </w:r>
            <w:r>
              <w:rPr>
                <w:b/>
                <w:sz w:val="17"/>
              </w:rPr>
              <w:br/>
            </w:r>
            <w:r>
              <w:rPr>
                <w:b/>
                <w:sz w:val="17"/>
              </w:rPr>
              <w:t>Spot migration for batch retraining (impact 3, effort 3) — queued after Rank 5.</w:t>
            </w:r>
          </w:p>
        </w:tc>
      </w:tr>
    </w:tbl>
    <w:p w:rsidR="00000000" w:rsidDel="00000000" w:rsidP="00000000" w:rsidRDefault="00000000" w:rsidRPr="00000000" w14:paraId="000000D7">
      <w:pPr>
        <w:spacing w:after="0" w:before="0" w:line="100" w:lineRule="exact"/>
        <w:rPr>
          <w:rFonts w:ascii="Century Gothic" w:cs="Century Gothic" w:eastAsia="Century Gothic" w:hAnsi="Century Gothic"/>
          <w:sz w:val="20"/>
          <w:szCs w:val="20"/>
        </w:rPr>
      </w:pPr>
      <w:r w:rsidDel="00000000" w:rsidR="00000000" w:rsidRPr="00000000">
        <w:rPr>
          <w:rtl w:val="0"/>
          <w:sz w:val="8"/>
        </w:rPr>
      </w:r>
    </w:p>
    <w:p w:rsidR="00000000" w:rsidDel="00000000" w:rsidP="00000000" w:rsidRDefault="00000000" w:rsidRPr="00000000" w14:paraId="000000D8">
      <w:pPr>
        <w:spacing w:after="60" w:lineRule="auto"/>
        <w:rPr>
          <w:rFonts w:ascii="Century Gothic" w:cs="Century Gothic" w:eastAsia="Century Gothic" w:hAnsi="Century Gothic"/>
          <w:sz w:val="20"/>
          <w:szCs w:val="20"/>
        </w:rPr>
      </w:pPr>
      <w:r>
        <w:rPr>
          <w:b/>
          <w:color w:val="000000"/>
          <w:sz w:val="18"/>
        </w:rPr>
        <w:t xml:space="preserve">Prioritization narrative (Prompt 3): </w:t>
      </w:r>
      <w:r>
        <w:rPr>
          <w:color w:val="000000"/>
          <w:sz w:val="18"/>
        </w:rPr>
        <w:t>Rank 1 is the exposed write-capable SAS token: it is the item the policy report marks “CRITICAL — rotate immediately”, it lets anyone with repository access tamper with the production model that scores every transaction and feeds the edge nodes, and it costs about 2–3 engineer-days with no platform freeze, so it buys the most risk reduction per unit of effort before the fixed Q3 launch. Rank 2 (closing public SSH on the AWS DR) is equally cheap; Ranks 3–4 are the heavier, Legal-gated DR work and the operations controls that must be sequenced across the 4-engineer team and inside the 4-week freeze limit; Rank 5 recovers an estimated $18K–$22K per quarter of GPU overspend with a &lt;2-day configuration change.</w:t>
      </w:r>
    </w:p>
    <w:p w:rsidR="00000000" w:rsidDel="00000000" w:rsidP="00000000" w:rsidRDefault="00000000" w:rsidRPr="00000000" w14:paraId="000000D8">
      <w:pPr>
        <w:spacing w:after="60" w:lineRule="auto"/>
        <w:rPr>
          <w:rFonts w:ascii="Century Gothic" w:cs="Century Gothic" w:eastAsia="Century Gothic" w:hAnsi="Century Gothic"/>
          <w:sz w:val="20"/>
          <w:szCs w:val="20"/>
        </w:rPr>
      </w:pPr>
      <w:r>
        <w:rPr>
          <w:b/>
          <w:color w:val="000000"/>
          <w:sz w:val="18"/>
        </w:rPr>
        <w:t xml:space="preserve">Sequenced next (outside the Top 5): </w:t>
      </w:r>
      <w:r>
        <w:rPr>
          <w:color w:val="000000"/>
          <w:sz w:val="18"/>
        </w:rPr>
        <w:t>Private Endpoints and AWS 443 restriction (Moderate, Finding 2B); GPU pool isolation and load re-test (Moderate, Finding 5); customer-managed key on fraud-models (&lt;1 day, Gap 1 — add to Sprint 1 if capacity allows); edge sync fix and version reporting (folded into Rank 3); Spot migration and 1-year T4 reservations (after Rank 5). Capacity check: Ranks 1, 2 and 5 total ~5–6 engineer-days in Sprint 1, leaving the 4-engineer team free to start Ranks 3 and 4; scoring in Appendix D.</w:t>
      </w:r>
    </w:p>
    <w:p w:rsidR="00000000" w:rsidDel="00000000" w:rsidP="00000000" w:rsidRDefault="00000000" w:rsidRPr="00000000" w14:paraId="000000D9">
      <w:pPr>
        <w:keepNext/>
        <w:pageBreakBefore/>
        <w:shd w:val="clear" w:color="auto" w:fill="1F3864"/>
        <w:spacing w:before="120" w:after="80"/>
        <w:rPr>
          <w:rFonts w:ascii="Century Gothic" w:cs="Century Gothic" w:eastAsia="Century Gothic" w:hAnsi="Century Gothic"/>
          <w:sz w:val="20"/>
          <w:szCs w:val="20"/>
        </w:rPr>
      </w:pPr>
      <w:r>
        <w:rPr>
          <w:b/>
          <w:color w:val="FFFFFF"/>
          <w:sz w:val="21"/>
        </w:rPr>
        <w:t xml:space="preserve"> 4. ANNOTATED ARCHITECTURE DIAGRAM</w:t>
      </w:r>
    </w:p>
    <w:p w:rsidR="00000000" w:rsidDel="00000000" w:rsidP="00000000" w:rsidRDefault="00000000" w:rsidRPr="00000000" w14:paraId="0000001D">
      <w:pPr>
        <w:jc w:val="center"/>
        <w:rPr>
          <w:rFonts w:ascii="Century Gothic" w:cs="Century Gothic" w:eastAsia="Century Gothic" w:hAnsi="Century Gothic"/>
          <w:b w:val="1"/>
          <w:bCs w:val="1"/>
          <w:color w:val="595959"/>
          <w:sz w:val="20"/>
          <w:szCs w:val="20"/>
        </w:rPr>
      </w:pPr>
      <w:r w:rsidDel="00000000" w:rsidR="00000000" w:rsidRPr="00000000">
        <w:drawing>
          <wp:inline distT="0" distB="0" distL="0" distR="0">
            <wp:extent cx="5760720" cy="7020877"/>
            <wp:effectExtent b="0" l="0" r="0" t="0"/>
            <wp:docPr id="1" name="image1.png" descr="Annotated architecture diagram with numbered WAF callouts 1, 2A, 2B, 3, 4 and 5" title="Annotated architecture diagram"/>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7020877"/>
                    </a:xfrm>
                    <a:prstGeom prst="rect"/>
                    <a:ln/>
                  </pic:spPr>
                </pic:pic>
              </a:graphicData>
            </a:graphic>
          </wp:inline>
        </w:drawing>
      </w:r>
    </w:p>
    <w:p w:rsidR="00000000" w:rsidDel="00000000" w:rsidP="00000000" w:rsidRDefault="00000000" w:rsidRPr="00000000" w14:paraId="000000DC">
      <w:pPr>
        <w:pStyle w:val="Heading3"/>
        <w:spacing w:after="60" w:before="1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d6e6e"/>
          <w:sz w:val="20"/>
          <w:szCs w:val="20"/>
          <w:rtl w:val="0"/>
        </w:rPr>
        <w:t xml:space="preserve">Diagram Legend</w:t>
      </w:r>
      <w:r w:rsidDel="00000000" w:rsidR="00000000" w:rsidRPr="00000000">
        <w:rPr>
          <w:rtl w:val="0"/>
        </w:rPr>
      </w:r>
    </w:p>
    <w:tbl>
      <w:tblPr>
        <w:tblStyle w:val="Table9"/>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500"/>
        <w:gridCol w:w="1450"/>
        <w:gridCol w:w="1650"/>
        <w:gridCol w:w="1450"/>
        <w:gridCol w:w="2580"/>
        <w:tblGridChange w:id="0">
          <w:tblGrid>
            <w:gridCol w:w="1165"/>
            <w:gridCol w:w="1440"/>
            <w:gridCol w:w="1350"/>
            <w:gridCol w:w="1620"/>
            <w:gridCol w:w="1440"/>
            <w:gridCol w:w="2345"/>
          </w:tblGrid>
        </w:tblGridChange>
      </w:tblGrid>
      <w:tr>
        <w:trPr>
          <w:cantSplit w:val="0"/>
          <w:tblHeader w:val="0"/>
        </w:trPr>
        <w:tc>
          <w:tcPr>
            <w:tcW w:w="1300" w:type="dxa"/>
            <w:shd w:fill="f2f2f2" w:val="clear"/>
            <w:tcMar>
              <w:top w:w="60.0" w:type="dxa"/>
              <w:left w:w="80.0" w:type="dxa"/>
              <w:bottom w:w="60.0" w:type="dxa"/>
              <w:right w:w="80.0" w:type="dxa"/>
            </w:tcMar>
          </w:tcPr>
          <w:p w:rsidR="00000000" w:rsidDel="00000000" w:rsidP="00000000" w:rsidRDefault="00000000" w:rsidRPr="00000000" w14:paraId="000000DD">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ee0000"/>
                <w:sz w:val="20"/>
                <w:szCs w:val="20"/>
                <w:rtl w:val="0"/>
              </w:rPr>
              <w:t xml:space="preserve">Red callout</w:t>
            </w:r>
            <w:r w:rsidDel="00000000" w:rsidR="00000000" w:rsidRPr="00000000">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0DE">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High severity</w:t>
            </w:r>
          </w:p>
        </w:tc>
        <w:tc>
          <w:tcPr>
            <w:tcW w:w="1450" w:type="dxa"/>
            <w:shd w:fill="f2f2f2" w:val="clear"/>
            <w:tcMar>
              <w:top w:w="60.0" w:type="dxa"/>
              <w:left w:w="80.0" w:type="dxa"/>
              <w:bottom w:w="60.0" w:type="dxa"/>
              <w:right w:w="80.0" w:type="dxa"/>
            </w:tcMar>
          </w:tcPr>
          <w:p w:rsidR="00000000" w:rsidDel="00000000" w:rsidP="00000000" w:rsidRDefault="00000000" w:rsidRPr="00000000" w14:paraId="000000DF">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bf8f00"/>
                <w:sz w:val="20"/>
                <w:szCs w:val="20"/>
                <w:rtl w:val="0"/>
              </w:rPr>
              <w:t xml:space="preserve">Amber callout</w:t>
            </w:r>
            <w:r w:rsidDel="00000000" w:rsidR="00000000" w:rsidRPr="00000000">
              <w:rPr>
                <w:rtl w:val="0"/>
              </w:rPr>
            </w:r>
          </w:p>
        </w:tc>
        <w:tc>
          <w:tcPr>
            <w:tcW w:w="1650" w:type="dxa"/>
            <w:shd w:fill="ffffff" w:val="clear"/>
            <w:tcMar>
              <w:top w:w="60.0" w:type="dxa"/>
              <w:left w:w="80.0" w:type="dxa"/>
              <w:bottom w:w="60.0" w:type="dxa"/>
              <w:right w:w="80.0" w:type="dxa"/>
            </w:tcMar>
          </w:tcPr>
          <w:p w:rsidR="00000000" w:rsidDel="00000000" w:rsidP="00000000" w:rsidRDefault="00000000" w:rsidRPr="00000000" w14:paraId="000000E0">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Medium severity</w:t>
            </w:r>
          </w:p>
        </w:tc>
        <w:tc>
          <w:tcPr>
            <w:tcW w:w="1450" w:type="dxa"/>
            <w:shd w:fill="f2f2f2" w:val="clear"/>
            <w:tcMar>
              <w:top w:w="60.0" w:type="dxa"/>
              <w:left w:w="80.0" w:type="dxa"/>
              <w:bottom w:w="60.0" w:type="dxa"/>
              <w:right w:w="80.0" w:type="dxa"/>
            </w:tcMar>
          </w:tcPr>
          <w:p w:rsidR="00000000" w:rsidDel="00000000" w:rsidP="00000000" w:rsidRDefault="00000000" w:rsidRPr="00000000" w14:paraId="000000E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1f4e79"/>
                <w:sz w:val="20"/>
                <w:szCs w:val="20"/>
                <w:rtl w:val="0"/>
              </w:rPr>
              <w:t xml:space="preserve">Blue callout</w:t>
            </w:r>
            <w:r w:rsidDel="00000000" w:rsidR="00000000" w:rsidRPr="00000000">
              <w:rPr>
                <w:rtl w:val="0"/>
              </w:rPr>
            </w:r>
          </w:p>
        </w:tc>
        <w:tc>
          <w:tcPr>
            <w:tcW w:w="2580" w:type="dxa"/>
            <w:shd w:fill="ffffff" w:val="clear"/>
            <w:tcMar>
              <w:top w:w="60.0" w:type="dxa"/>
              <w:left w:w="80.0" w:type="dxa"/>
              <w:bottom w:w="60.0" w:type="dxa"/>
              <w:right w:w="80.0" w:type="dxa"/>
            </w:tcMar>
          </w:tcPr>
          <w:p w:rsidR="00000000" w:rsidDel="00000000" w:rsidP="00000000" w:rsidRDefault="00000000" w:rsidRPr="00000000" w14:paraId="000000E2">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Low severity</w:t>
            </w:r>
          </w:p>
        </w:tc>
      </w:tr>
      <w:tr>
        <w:trPr>
          <w:cantSplit w:val="0"/>
          <w:tblHeader w:val="0"/>
        </w:trPr>
        <w:tc>
          <w:tcPr>
            <w:tcW w:w="1300" w:type="dxa"/>
            <w:shd w:fill="f2f2f2" w:val="clear"/>
            <w:tcMar>
              <w:top w:w="60.0" w:type="dxa"/>
              <w:left w:w="80.0" w:type="dxa"/>
              <w:bottom w:w="60.0" w:type="dxa"/>
              <w:right w:w="80.0" w:type="dxa"/>
            </w:tcMar>
          </w:tcPr>
          <w:p w:rsidR="00000000" w:rsidDel="00000000" w:rsidP="00000000" w:rsidRDefault="00000000" w:rsidRPr="00000000" w14:paraId="000000E3">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Quick win</w:t>
            </w:r>
            <w:r w:rsidDel="00000000" w:rsidR="00000000" w:rsidRPr="00000000">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0E4">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&lt;2 days effort</w:t>
            </w:r>
          </w:p>
        </w:tc>
        <w:tc>
          <w:tcPr>
            <w:tcW w:w="1450" w:type="dxa"/>
            <w:shd w:fill="f2f2f2" w:val="clear"/>
            <w:tcMar>
              <w:top w:w="60.0" w:type="dxa"/>
              <w:left w:w="80.0" w:type="dxa"/>
              <w:bottom w:w="60.0" w:type="dxa"/>
              <w:right w:w="80.0" w:type="dxa"/>
            </w:tcMar>
          </w:tcPr>
          <w:p w:rsidR="00000000" w:rsidDel="00000000" w:rsidP="00000000" w:rsidRDefault="00000000" w:rsidRPr="00000000" w14:paraId="000000E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Moderate</w:t>
            </w:r>
            <w:r w:rsidDel="00000000" w:rsidR="00000000" w:rsidRPr="00000000">
              <w:rPr>
                <w:rtl w:val="0"/>
              </w:rPr>
            </w:r>
          </w:p>
        </w:tc>
        <w:tc>
          <w:tcPr>
            <w:tcW w:w="1650" w:type="dxa"/>
            <w:shd w:fill="ffffff" w:val="clear"/>
            <w:tcMar>
              <w:top w:w="60.0" w:type="dxa"/>
              <w:left w:w="80.0" w:type="dxa"/>
              <w:bottom w:w="60.0" w:type="dxa"/>
              <w:right w:w="80.0" w:type="dxa"/>
            </w:tcMar>
          </w:tcPr>
          <w:p w:rsidR="00000000" w:rsidDel="00000000" w:rsidP="00000000" w:rsidRDefault="00000000" w:rsidRPr="00000000" w14:paraId="000000E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1–2 weeks effort</w:t>
            </w:r>
          </w:p>
        </w:tc>
        <w:tc>
          <w:tcPr>
            <w:tcW w:w="1450" w:type="dxa"/>
            <w:shd w:fill="f2f2f2" w:val="clear"/>
            <w:tcMar>
              <w:top w:w="60.0" w:type="dxa"/>
              <w:left w:w="80.0" w:type="dxa"/>
              <w:bottom w:w="60.0" w:type="dxa"/>
              <w:right w:w="80.0" w:type="dxa"/>
            </w:tcMar>
          </w:tcPr>
          <w:p w:rsidR="00000000" w:rsidDel="00000000" w:rsidP="00000000" w:rsidRDefault="00000000" w:rsidRPr="00000000" w14:paraId="000000E7">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Significant</w:t>
            </w:r>
            <w:r w:rsidDel="00000000" w:rsidR="00000000" w:rsidRPr="00000000">
              <w:rPr>
                <w:rtl w:val="0"/>
              </w:rPr>
            </w:r>
          </w:p>
        </w:tc>
        <w:tc>
          <w:tcPr>
            <w:tcW w:w="2580" w:type="dxa"/>
            <w:shd w:fill="ffffff" w:val="clear"/>
            <w:tcMar>
              <w:top w:w="60.0" w:type="dxa"/>
              <w:left w:w="80.0" w:type="dxa"/>
              <w:bottom w:w="60.0" w:type="dxa"/>
              <w:right w:w="80.0" w:type="dxa"/>
            </w:tcMar>
          </w:tcPr>
          <w:p w:rsidR="00000000" w:rsidDel="00000000" w:rsidP="00000000" w:rsidRDefault="00000000" w:rsidRPr="00000000" w14:paraId="000000E8">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&gt;2 weeks effort</w:t>
            </w:r>
          </w:p>
        </w:tc>
      </w:tr>
    </w:tbl>
    <w:p w:rsidR="00000000" w:rsidDel="00000000" w:rsidP="00000000" w:rsidRDefault="00000000" w:rsidRPr="00000000" w14:paraId="000000E9">
      <w:pPr>
        <w:pStyle w:val="Heading3"/>
        <w:keepNext/>
        <w:spacing w:after="60" w:before="1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d6e6e"/>
          <w:sz w:val="20"/>
          <w:szCs w:val="20"/>
          <w:rtl w:val="0"/>
        </w:rPr>
        <w:t xml:space="preserve">Appendix A: Incident Report Summaries</w:t>
      </w:r>
      <w:r w:rsidDel="00000000" w:rsidR="00000000" w:rsidRPr="00000000">
        <w:rPr>
          <w:rtl w:val="0"/>
        </w:rPr>
      </w:r>
    </w:p>
    <w:tbl>
      <w:tblPr>
        <w:tblStyle w:val="Table10"/>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150"/>
        <w:gridCol w:w="2900"/>
        <w:gridCol w:w="3300"/>
        <w:gridCol w:w="1580"/>
        <w:tblGridChange w:id="0">
          <w:tblGrid>
            <w:gridCol w:w="1155"/>
            <w:gridCol w:w="930"/>
            <w:gridCol w:w="2415"/>
            <w:gridCol w:w="2700"/>
            <w:gridCol w:w="2160"/>
          </w:tblGrid>
        </w:tblGridChange>
      </w:tblGrid>
      <w:tr>
        <w:trPr>
          <w:cantSplit w:val="0"/>
          <w:tblHeader w:val="1"/>
          <w:cantSplit/>
        </w:trPr>
        <w:tc>
          <w:tcPr>
            <w:tcW w:w="1000" w:type="dxa"/>
            <w:shd w:fill="1f3864" w:val="clear"/>
            <w:tcMar>
              <w:top w:w="60.0" w:type="dxa"/>
              <w:left w:w="80.0" w:type="dxa"/>
              <w:bottom w:w="60.0" w:type="dxa"/>
              <w:right w:w="80.0" w:type="dxa"/>
            </w:tcMar>
          </w:tcPr>
          <w:p w:rsidR="00000000" w:rsidDel="00000000" w:rsidP="00000000" w:rsidRDefault="00000000" w:rsidRPr="00000000" w14:paraId="000000EA">
            <w:pPr>
              <w:keepNex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Incident</w:t>
            </w:r>
            <w:r w:rsidDel="00000000" w:rsidR="00000000" w:rsidRPr="00000000">
              <w:rPr>
                <w:sz w:val="16"/>
                <w:rtl w:val="0"/>
              </w:rPr>
            </w:r>
          </w:p>
        </w:tc>
        <w:tc>
          <w:tcPr>
            <w:tcW w:w="1150" w:type="dxa"/>
            <w:shd w:fill="1f3864" w:val="clear"/>
            <w:tcMar>
              <w:top w:w="60.0" w:type="dxa"/>
              <w:left w:w="80.0" w:type="dxa"/>
              <w:bottom w:w="60.0" w:type="dxa"/>
              <w:right w:w="80.0" w:type="dxa"/>
            </w:tcMar>
          </w:tcPr>
          <w:p w:rsidR="00000000" w:rsidDel="00000000" w:rsidP="00000000" w:rsidRDefault="00000000" w:rsidRPr="00000000" w14:paraId="000000EB">
            <w:pPr>
              <w:keepNex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Date</w:t>
            </w:r>
            <w:r w:rsidDel="00000000" w:rsidR="00000000" w:rsidRPr="00000000">
              <w:rPr>
                <w:sz w:val="16"/>
                <w:rtl w:val="0"/>
              </w:rPr>
            </w:r>
          </w:p>
        </w:tc>
        <w:tc>
          <w:tcPr>
            <w:tcW w:w="2900" w:type="dxa"/>
            <w:shd w:fill="1f3864" w:val="clear"/>
            <w:tcMar>
              <w:top w:w="60.0" w:type="dxa"/>
              <w:left w:w="80.0" w:type="dxa"/>
              <w:bottom w:w="60.0" w:type="dxa"/>
              <w:right w:w="80.0" w:type="dxa"/>
            </w:tcMar>
          </w:tcPr>
          <w:p w:rsidR="00000000" w:rsidDel="00000000" w:rsidP="00000000" w:rsidRDefault="00000000" w:rsidRPr="00000000" w14:paraId="000000EC">
            <w:pPr>
              <w:keepNex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Symptom</w:t>
            </w:r>
            <w:r w:rsidDel="00000000" w:rsidR="00000000" w:rsidRPr="00000000">
              <w:rPr>
                <w:sz w:val="16"/>
                <w:rtl w:val="0"/>
              </w:rPr>
            </w:r>
          </w:p>
        </w:tc>
        <w:tc>
          <w:tcPr>
            <w:tcW w:w="3300" w:type="dxa"/>
            <w:shd w:fill="1f3864" w:val="clear"/>
            <w:tcMar>
              <w:top w:w="60.0" w:type="dxa"/>
              <w:left w:w="80.0" w:type="dxa"/>
              <w:bottom w:w="60.0" w:type="dxa"/>
              <w:right w:w="80.0" w:type="dxa"/>
            </w:tcMar>
          </w:tcPr>
          <w:p w:rsidR="00000000" w:rsidDel="00000000" w:rsidP="00000000" w:rsidRDefault="00000000" w:rsidRPr="00000000" w14:paraId="000000ED">
            <w:pPr>
              <w:keepNex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Suspected Root Cause</w:t>
            </w:r>
            <w:r w:rsidDel="00000000" w:rsidR="00000000" w:rsidRPr="00000000">
              <w:rPr>
                <w:sz w:val="16"/>
                <w:rtl w:val="0"/>
              </w:rPr>
            </w:r>
          </w:p>
        </w:tc>
        <w:tc>
          <w:tcPr>
            <w:tcW w:w="1580" w:type="dxa"/>
            <w:shd w:fill="1f3864" w:val="clear"/>
            <w:tcMar>
              <w:top w:w="60.0" w:type="dxa"/>
              <w:left w:w="80.0" w:type="dxa"/>
              <w:bottom w:w="60.0" w:type="dxa"/>
              <w:right w:w="80.0" w:type="dxa"/>
            </w:tcMar>
          </w:tcPr>
          <w:p w:rsidR="00000000" w:rsidDel="00000000" w:rsidP="00000000" w:rsidRDefault="00000000" w:rsidRPr="00000000" w14:paraId="000000EE">
            <w:pPr>
              <w:keepNex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WAF Pillar</w:t>
            </w:r>
            <w:r w:rsidDel="00000000" w:rsidR="00000000" w:rsidRPr="00000000">
              <w:rPr>
                <w:sz w:val="16"/>
                <w:rtl w:val="0"/>
              </w:rPr>
            </w:r>
          </w:p>
        </w:tc>
      </w:tr>
      <w:tr>
        <w:trPr>
          <w:cantSplit w:val="0"/>
          <w:tblHeader w:val="0"/>
          <w:cantSplit/>
        </w:trPr>
        <w:tc>
          <w:tcPr>
            <w:tcW w:w="1000" w:type="dxa"/>
            <w:shd w:fill="ffffff" w:val="clear"/>
            <w:tcMar>
              <w:top w:w="60.0" w:type="dxa"/>
              <w:left w:w="80.0" w:type="dxa"/>
              <w:bottom w:w="60.0" w:type="dxa"/>
              <w:right w:w="80.0" w:type="dxa"/>
            </w:tcMar>
          </w:tcPr>
          <w:p w:rsidR="00000000" w:rsidDel="00000000" w:rsidP="00000000" w:rsidRDefault="00000000" w:rsidRPr="00000000" w14:paraId="000000EF">
            <w:pPr>
              <w:keepNext/>
              <w:rPr>
                <w:rFonts w:ascii="Century Gothic" w:cs="Century Gothic" w:eastAsia="Century Gothic" w:hAnsi="Century Gothic"/>
                <w:sz w:val="20"/>
                <w:szCs w:val="20"/>
              </w:rPr>
            </w:pPr>
            <w:r>
              <w:rPr>
                <w:color w:val="000000"/>
                <w:sz w:val="15"/>
              </w:rPr>
              <w:t>INC-001</w:t>
            </w:r>
          </w:p>
        </w:tc>
        <w:tc>
          <w:tcPr>
            <w:tcW w:w="1150" w:type="dxa"/>
            <w:shd w:fill="ffffff" w:val="clear"/>
            <w:tcMar>
              <w:top w:w="60.0" w:type="dxa"/>
              <w:left w:w="80.0" w:type="dxa"/>
              <w:bottom w:w="60.0" w:type="dxa"/>
              <w:right w:w="80.0" w:type="dxa"/>
            </w:tcMar>
          </w:tcPr>
          <w:p w:rsidR="00000000" w:rsidDel="00000000" w:rsidP="00000000" w:rsidRDefault="00000000" w:rsidRPr="00000000" w14:paraId="000000F0">
            <w:pPr>
              <w:keepNext/>
              <w:rPr>
                <w:rFonts w:ascii="Century Gothic" w:cs="Century Gothic" w:eastAsia="Century Gothic" w:hAnsi="Century Gothic"/>
                <w:sz w:val="20"/>
                <w:szCs w:val="20"/>
              </w:rPr>
            </w:pPr>
            <w:r>
              <w:rPr>
                <w:color w:val="000000"/>
                <w:sz w:val="15"/>
              </w:rPr>
              <w:t>12 Mar 2026</w:t>
            </w:r>
          </w:p>
        </w:tc>
        <w:tc>
          <w:tcPr>
            <w:tcW w:w="2900" w:type="dxa"/>
            <w:shd w:fill="ffffff" w:val="clear"/>
            <w:tcMar>
              <w:top w:w="60.0" w:type="dxa"/>
              <w:left w:w="80.0" w:type="dxa"/>
              <w:bottom w:w="60.0" w:type="dxa"/>
              <w:right w:w="80.0" w:type="dxa"/>
            </w:tcMar>
          </w:tcPr>
          <w:p w:rsidR="00000000" w:rsidDel="00000000" w:rsidP="00000000" w:rsidRDefault="00000000" w:rsidRPr="00000000" w14:paraId="000000F1">
            <w:pPr>
              <w:keepNext/>
              <w:rPr>
                <w:rFonts w:ascii="Century Gothic" w:cs="Century Gothic" w:eastAsia="Century Gothic" w:hAnsi="Century Gothic"/>
                <w:sz w:val="20"/>
                <w:szCs w:val="20"/>
              </w:rPr>
            </w:pPr>
            <w:r>
              <w:rPr>
                <w:color w:val="000000"/>
                <w:sz w:val="15"/>
              </w:rPr>
              <w:t>23-minute total outage of FraudScore-API (14:23–14:46 UTC); all pods CrashLoopBackOff; ~3,400 txns unscored; healthy AWS DR not used</w:t>
            </w:r>
          </w:p>
        </w:tc>
        <w:tc>
          <w:tcPr>
            <w:tcW w:w="3300" w:type="dxa"/>
            <w:shd w:fill="ffffff" w:val="clear"/>
            <w:tcMar>
              <w:top w:w="60.0" w:type="dxa"/>
              <w:left w:w="80.0" w:type="dxa"/>
              <w:bottom w:w="60.0" w:type="dxa"/>
              <w:right w:w="80.0" w:type="dxa"/>
            </w:tcMar>
          </w:tcPr>
          <w:p w:rsidR="00000000" w:rsidDel="00000000" w:rsidP="00000000" w:rsidRDefault="00000000" w:rsidRPr="00000000" w14:paraId="000000F2">
            <w:pPr>
              <w:keepNext/>
              <w:rPr>
                <w:rFonts w:ascii="Century Gothic" w:cs="Century Gothic" w:eastAsia="Century Gothic" w:hAnsi="Century Gothic"/>
                <w:sz w:val="20"/>
                <w:szCs w:val="20"/>
              </w:rPr>
            </w:pPr>
            <w:r>
              <w:rPr>
                <w:color w:val="000000"/>
                <w:sz w:val="15"/>
              </w:rPr>
              <w:t>OOM kill (4Gi limit vs 4.1Gi; model grew 1.4→2.3 GB); CPU-only HPA; no automated DR failover, owner unassigned. Partial.</w:t>
            </w:r>
          </w:p>
        </w:tc>
        <w:tc>
          <w:tcPr>
            <w:tcW w:w="1580" w:type="dxa"/>
            <w:shd w:fill="ffffff" w:val="clear"/>
            <w:tcMar>
              <w:top w:w="60.0" w:type="dxa"/>
              <w:left w:w="80.0" w:type="dxa"/>
              <w:bottom w:w="60.0" w:type="dxa"/>
              <w:right w:w="80.0" w:type="dxa"/>
            </w:tcMar>
          </w:tcPr>
          <w:p w:rsidR="00000000" w:rsidDel="00000000" w:rsidP="00000000" w:rsidRDefault="00000000" w:rsidRPr="00000000" w14:paraId="000000F3">
            <w:pPr>
              <w:keepNext/>
              <w:rPr>
                <w:rFonts w:ascii="Century Gothic" w:cs="Century Gothic" w:eastAsia="Century Gothic" w:hAnsi="Century Gothic"/>
                <w:sz w:val="20"/>
                <w:szCs w:val="20"/>
              </w:rPr>
            </w:pPr>
            <w:r>
              <w:rPr>
                <w:color w:val="000000"/>
                <w:sz w:val="15"/>
              </w:rPr>
              <w:t>Reliability</w:t>
            </w:r>
          </w:p>
        </w:tc>
      </w:tr>
      <w:tr>
        <w:trPr>
          <w:cantSplit w:val="0"/>
          <w:tblHeader w:val="0"/>
          <w:cantSplit/>
        </w:trPr>
        <w:tc>
          <w:tcPr>
            <w:tcW w:w="1000" w:type="dxa"/>
            <w:shd w:fill="f2f2f2" w:val="clear"/>
            <w:tcMar>
              <w:top w:w="60.0" w:type="dxa"/>
              <w:left w:w="80.0" w:type="dxa"/>
              <w:bottom w:w="60.0" w:type="dxa"/>
              <w:right w:w="80.0" w:type="dxa"/>
            </w:tcMar>
          </w:tcPr>
          <w:p w:rsidR="00000000" w:rsidDel="00000000" w:rsidP="00000000" w:rsidRDefault="00000000" w:rsidRPr="00000000" w14:paraId="000000F4">
            <w:pPr>
              <w:keepNext/>
              <w:rPr>
                <w:rFonts w:ascii="Century Gothic" w:cs="Century Gothic" w:eastAsia="Century Gothic" w:hAnsi="Century Gothic"/>
                <w:sz w:val="20"/>
                <w:szCs w:val="20"/>
              </w:rPr>
            </w:pPr>
            <w:r>
              <w:rPr>
                <w:color w:val="000000"/>
                <w:sz w:val="15"/>
              </w:rPr>
              <w:t>INC-002</w:t>
            </w:r>
          </w:p>
        </w:tc>
        <w:tc>
          <w:tcPr>
            <w:tcW w:w="1150" w:type="dxa"/>
            <w:shd w:fill="f2f2f2" w:val="clear"/>
            <w:tcMar>
              <w:top w:w="60.0" w:type="dxa"/>
              <w:left w:w="80.0" w:type="dxa"/>
              <w:bottom w:w="60.0" w:type="dxa"/>
              <w:right w:w="80.0" w:type="dxa"/>
            </w:tcMar>
          </w:tcPr>
          <w:p w:rsidR="00000000" w:rsidDel="00000000" w:rsidP="00000000" w:rsidRDefault="00000000" w:rsidRPr="00000000" w14:paraId="000000F5">
            <w:pPr>
              <w:keepNext/>
              <w:rPr>
                <w:rFonts w:ascii="Century Gothic" w:cs="Century Gothic" w:eastAsia="Century Gothic" w:hAnsi="Century Gothic"/>
                <w:sz w:val="20"/>
                <w:szCs w:val="20"/>
              </w:rPr>
            </w:pPr>
            <w:r>
              <w:rPr>
                <w:color w:val="000000"/>
                <w:sz w:val="15"/>
              </w:rPr>
              <w:t>1 Apr 2026</w:t>
            </w:r>
          </w:p>
        </w:tc>
        <w:tc>
          <w:tcPr>
            <w:tcW w:w="2900" w:type="dxa"/>
            <w:shd w:fill="f2f2f2" w:val="clear"/>
            <w:tcMar>
              <w:top w:w="60.0" w:type="dxa"/>
              <w:left w:w="80.0" w:type="dxa"/>
              <w:bottom w:w="60.0" w:type="dxa"/>
              <w:right w:w="80.0" w:type="dxa"/>
            </w:tcMar>
          </w:tcPr>
          <w:p w:rsidR="00000000" w:rsidDel="00000000" w:rsidP="00000000" w:rsidRDefault="00000000" w:rsidRPr="00000000" w14:paraId="000000F6">
            <w:pPr>
              <w:keepNext/>
              <w:rPr>
                <w:rFonts w:ascii="Century Gothic" w:cs="Century Gothic" w:eastAsia="Century Gothic" w:hAnsi="Century Gothic"/>
                <w:sz w:val="20"/>
                <w:szCs w:val="20"/>
              </w:rPr>
            </w:pPr>
            <w:r>
              <w:rPr>
                <w:color w:val="000000"/>
                <w:sz w:val="15"/>
              </w:rPr>
              <w:t>41-minute latency degradation in 800 req/min load test: p95 178→4,200 ms, 12% HTTP 429; 17 min to reach an engineer; no runbook</w:t>
            </w:r>
          </w:p>
        </w:tc>
        <w:tc>
          <w:tcPr>
            <w:tcW w:w="3300" w:type="dxa"/>
            <w:shd w:fill="f2f2f2" w:val="clear"/>
            <w:tcMar>
              <w:top w:w="60.0" w:type="dxa"/>
              <w:left w:w="80.0" w:type="dxa"/>
              <w:bottom w:w="60.0" w:type="dxa"/>
              <w:right w:w="80.0" w:type="dxa"/>
            </w:tcMar>
          </w:tcPr>
          <w:p w:rsidR="00000000" w:rsidDel="00000000" w:rsidP="00000000" w:rsidRDefault="00000000" w:rsidRPr="00000000" w14:paraId="000000F7">
            <w:pPr>
              <w:keepNext/>
              <w:rPr>
                <w:rFonts w:ascii="Century Gothic" w:cs="Century Gothic" w:eastAsia="Century Gothic" w:hAnsi="Century Gothic"/>
                <w:sz w:val="20"/>
                <w:szCs w:val="20"/>
              </w:rPr>
            </w:pPr>
            <w:r>
              <w:rPr>
                <w:color w:val="000000"/>
                <w:sz w:val="15"/>
              </w:rPr>
              <w:t>Retraining job (09:45 UTC) shares the A100 pool with the real-time endpoint; no autoscaling, runbook, escalation matrix or postmortem. Partial.</w:t>
            </w:r>
          </w:p>
        </w:tc>
        <w:tc>
          <w:tcPr>
            <w:tcW w:w="1580" w:type="dxa"/>
            <w:shd w:fill="f2f2f2" w:val="clear"/>
            <w:tcMar>
              <w:top w:w="60.0" w:type="dxa"/>
              <w:left w:w="80.0" w:type="dxa"/>
              <w:bottom w:w="60.0" w:type="dxa"/>
              <w:right w:w="80.0" w:type="dxa"/>
            </w:tcMar>
          </w:tcPr>
          <w:p w:rsidR="00000000" w:rsidDel="00000000" w:rsidP="00000000" w:rsidRDefault="00000000" w:rsidRPr="00000000" w14:paraId="000000F8">
            <w:pPr>
              <w:keepNext/>
              <w:rPr>
                <w:rFonts w:ascii="Century Gothic" w:cs="Century Gothic" w:eastAsia="Century Gothic" w:hAnsi="Century Gothic"/>
                <w:sz w:val="20"/>
                <w:szCs w:val="20"/>
              </w:rPr>
            </w:pPr>
            <w:r>
              <w:rPr>
                <w:color w:val="000000"/>
                <w:sz w:val="15"/>
              </w:rPr>
              <w:t>Operational Excellence (also Cost, Performance)</w:t>
            </w:r>
          </w:p>
        </w:tc>
      </w:tr>
      <w:tr>
        <w:trPr>
          <w:cantSplit w:val="0"/>
          <w:tblHeader w:val="0"/>
          <w:cantSplit/>
        </w:trPr>
        <w:tc>
          <w:tcPr>
            <w:tcW w:w="1000" w:type="dxa"/>
            <w:shd w:fill="ffffff" w:val="clear"/>
            <w:tcMar>
              <w:top w:w="60.0" w:type="dxa"/>
              <w:left w:w="80.0" w:type="dxa"/>
              <w:bottom w:w="60.0" w:type="dxa"/>
              <w:right w:w="80.0" w:type="dxa"/>
            </w:tcMar>
          </w:tcPr>
          <w:p w:rsidR="00000000" w:rsidDel="00000000" w:rsidP="00000000" w:rsidRDefault="00000000" w:rsidRPr="00000000" w14:paraId="000000F9">
            <w:pPr>
              <w:keepNext/>
              <w:rPr>
                <w:rFonts w:ascii="Century Gothic" w:cs="Century Gothic" w:eastAsia="Century Gothic" w:hAnsi="Century Gothic"/>
                <w:sz w:val="20"/>
                <w:szCs w:val="20"/>
              </w:rPr>
            </w:pPr>
            <w:r>
              <w:rPr>
                <w:color w:val="000000"/>
                <w:sz w:val="15"/>
              </w:rPr>
              <w:t>INC-003</w:t>
            </w:r>
          </w:p>
        </w:tc>
        <w:tc>
          <w:tcPr>
            <w:tcW w:w="1150" w:type="dxa"/>
            <w:shd w:fill="ffffff" w:val="clear"/>
            <w:tcMar>
              <w:top w:w="60.0" w:type="dxa"/>
              <w:left w:w="80.0" w:type="dxa"/>
              <w:bottom w:w="60.0" w:type="dxa"/>
              <w:right w:w="80.0" w:type="dxa"/>
            </w:tcMar>
          </w:tcPr>
          <w:p w:rsidR="00000000" w:rsidDel="00000000" w:rsidP="00000000" w:rsidRDefault="00000000" w:rsidRPr="00000000" w14:paraId="000000FA">
            <w:pPr>
              <w:keepNext/>
              <w:rPr>
                <w:rFonts w:ascii="Century Gothic" w:cs="Century Gothic" w:eastAsia="Century Gothic" w:hAnsi="Century Gothic"/>
                <w:sz w:val="20"/>
                <w:szCs w:val="20"/>
              </w:rPr>
            </w:pPr>
            <w:r>
              <w:rPr>
                <w:color w:val="000000"/>
                <w:sz w:val="15"/>
              </w:rPr>
              <w:t>18 Apr 2026</w:t>
            </w:r>
          </w:p>
        </w:tc>
        <w:tc>
          <w:tcPr>
            <w:tcW w:w="2900" w:type="dxa"/>
            <w:shd w:fill="ffffff" w:val="clear"/>
            <w:tcMar>
              <w:top w:w="60.0" w:type="dxa"/>
              <w:left w:w="80.0" w:type="dxa"/>
              <w:bottom w:w="60.0" w:type="dxa"/>
              <w:right w:w="80.0" w:type="dxa"/>
            </w:tcMar>
          </w:tcPr>
          <w:p w:rsidR="00000000" w:rsidDel="00000000" w:rsidP="00000000" w:rsidRDefault="00000000" w:rsidRPr="00000000" w14:paraId="000000FB">
            <w:pPr>
              <w:keepNext/>
              <w:rPr>
                <w:rFonts w:ascii="Century Gothic" w:cs="Century Gothic" w:eastAsia="Century Gothic" w:hAnsi="Century Gothic"/>
                <w:sz w:val="20"/>
                <w:szCs w:val="20"/>
              </w:rPr>
            </w:pPr>
            <w:r>
              <w:rPr>
                <w:color w:val="000000"/>
                <w:sz w:val="15"/>
              </w:rPr>
              <w:t>67-minute quality degradation: three edge nodes on stale model v2.1.3, false positives +8.3%, ~103 mis-flagged txns, ~23 escalations (est.)</w:t>
            </w:r>
          </w:p>
        </w:tc>
        <w:tc>
          <w:tcPr>
            <w:tcW w:w="3300" w:type="dxa"/>
            <w:shd w:fill="ffffff" w:val="clear"/>
            <w:tcMar>
              <w:top w:w="60.0" w:type="dxa"/>
              <w:left w:w="80.0" w:type="dxa"/>
              <w:bottom w:w="60.0" w:type="dxa"/>
              <w:right w:w="80.0" w:type="dxa"/>
            </w:tcMar>
          </w:tcPr>
          <w:p w:rsidR="00000000" w:rsidDel="00000000" w:rsidP="00000000" w:rsidRDefault="00000000" w:rsidRPr="00000000" w14:paraId="000000FC">
            <w:pPr>
              <w:keepNext/>
              <w:rPr>
                <w:rFonts w:ascii="Century Gothic" w:cs="Century Gothic" w:eastAsia="Century Gothic" w:hAnsi="Century Gothic"/>
                <w:sz w:val="20"/>
                <w:szCs w:val="20"/>
              </w:rPr>
            </w:pPr>
            <w:r>
              <w:rPr>
                <w:color w:val="000000"/>
                <w:sz w:val="15"/>
              </w:rPr>
              <w:t>Blob firewall rule (17 Apr 22:17 UTC) blocked edge IPs; sync script returns exit 0 on failure; no version reporting or change control. Partial.</w:t>
            </w:r>
          </w:p>
        </w:tc>
        <w:tc>
          <w:tcPr>
            <w:tcW w:w="1580" w:type="dxa"/>
            <w:shd w:fill="ffffff" w:val="clear"/>
            <w:tcMar>
              <w:top w:w="60.0" w:type="dxa"/>
              <w:left w:w="80.0" w:type="dxa"/>
              <w:bottom w:w="60.0" w:type="dxa"/>
              <w:right w:w="80.0" w:type="dxa"/>
            </w:tcMar>
          </w:tcPr>
          <w:p w:rsidR="00000000" w:rsidDel="00000000" w:rsidP="00000000" w:rsidRDefault="00000000" w:rsidRPr="00000000" w14:paraId="000000FD">
            <w:pPr>
              <w:keepNext/>
              <w:rPr>
                <w:rFonts w:ascii="Century Gothic" w:cs="Century Gothic" w:eastAsia="Century Gothic" w:hAnsi="Century Gothic"/>
                <w:sz w:val="20"/>
                <w:szCs w:val="20"/>
              </w:rPr>
            </w:pPr>
            <w:r>
              <w:rPr>
                <w:color w:val="000000"/>
                <w:sz w:val="15"/>
              </w:rPr>
              <w:t>Reliability (also Operational Excellence, Security)</w:t>
            </w:r>
          </w:p>
        </w:tc>
      </w:tr>
    </w:tbl>
    <w:p w:rsidR="00000000" w:rsidDel="00000000" w:rsidP="00000000" w:rsidRDefault="00000000" w:rsidRPr="00000000" w14:paraId="0000001D">
      <w:pPr>
        <w:rPr>
          <w:rFonts w:ascii="Century Gothic" w:cs="Century Gothic" w:eastAsia="Century Gothic" w:hAnsi="Century Gothic"/>
          <w:b w:val="1"/>
          <w:bCs w:val="1"/>
          <w:color w:val="595959"/>
          <w:sz w:val="20"/>
          <w:szCs w:val="20"/>
        </w:rPr>
      </w:pPr>
      <w:r>
        <w:rPr>
          <w:b/>
          <w:color w:val="000000"/>
          <w:sz w:val="15"/>
        </w:rPr>
        <w:t xml:space="preserve">Data notes: </w:t>
      </w:r>
      <w:r>
        <w:rPr>
          <w:color w:val="000000"/>
          <w:sz w:val="15"/>
        </w:rPr>
        <w:t>INC-002 states “47 minutes” from first alert to resolution; its timeline gives 21 min to the job pause (10:14→10:35) and 29 min to recovery (10:43). INC-003 states ~9 h of mismatch; timestamps give ~10 h 18 min. This brief uses the timestamps.</w:t>
      </w:r>
    </w:p>
    <w:p w:rsidR="00000000" w:rsidDel="00000000" w:rsidP="00000000" w:rsidRDefault="00000000" w:rsidRPr="00000000" w14:paraId="000000FE">
      <w:pPr>
        <w:spacing w:after="0" w:before="0" w:line="100" w:lineRule="exact"/>
        <w:rPr>
          <w:rFonts w:ascii="Century Gothic" w:cs="Century Gothic" w:eastAsia="Century Gothic" w:hAnsi="Century Gothic"/>
          <w:sz w:val="20"/>
          <w:szCs w:val="20"/>
        </w:rPr>
      </w:pPr>
      <w:r w:rsidDel="00000000" w:rsidR="00000000" w:rsidRPr="00000000">
        <w:rPr>
          <w:rtl w:val="0"/>
          <w:sz w:val="8"/>
        </w:rPr>
      </w:r>
    </w:p>
    <w:p w:rsidR="00000000" w:rsidDel="00000000" w:rsidP="00000000" w:rsidRDefault="00000000" w:rsidRPr="00000000" w14:paraId="000000FF">
      <w:pPr>
        <w:pStyle w:val="Heading3"/>
        <w:spacing w:after="60" w:before="1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d6e6e"/>
          <w:sz w:val="20"/>
          <w:szCs w:val="20"/>
          <w:rtl w:val="0"/>
        </w:rPr>
        <w:t xml:space="preserve">Appendix B: Graphics Processing Unit (A specialized electronic circuit designed to accelerate computation, commonly used for AI inference and machine learning workloads.) Cost Snapshot</w:t>
      </w:r>
      <w:r w:rsidDel="00000000" w:rsidR="00000000" w:rsidRPr="00000000">
        <w:rPr>
          <w:rtl w:val="0"/>
        </w:rPr>
      </w:r>
    </w:p>
    <w:tbl>
      <w:tblPr>
        <w:tblStyle w:val="Table11"/>
        <w:tblW w:w="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000"/>
        <w:gridCol w:w="4330"/>
        <w:tblGridChange w:id="0">
          <w:tblGrid>
            <w:gridCol w:w="2880"/>
            <w:gridCol w:w="2875"/>
            <w:gridCol w:w="3600"/>
          </w:tblGrid>
        </w:tblGridChange>
      </w:tblGrid>
      <w:tr>
        <w:trPr>
          <w:cantSplit w:val="0"/>
          <w:tblHeader w:val="1"/>
          <w:cantSplit/>
        </w:trPr>
        <w:tc>
          <w:tcPr>
            <w:tcW w:w="3600" w:type="dxa"/>
            <w:shd w:fill="1f3864" w:val="clear"/>
            <w:tcMar>
              <w:top w:w="60.0" w:type="dxa"/>
              <w:left w:w="80.0" w:type="dxa"/>
              <w:bottom w:w="60.0" w:type="dxa"/>
              <w:right w:w="80.0" w:type="dxa"/>
            </w:tcMar>
          </w:tcPr>
          <w:p w:rsidR="00000000" w:rsidDel="00000000" w:rsidP="00000000" w:rsidRDefault="00000000" w:rsidRPr="00000000" w14:paraId="00000100">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Period</w:t>
            </w:r>
            <w:r w:rsidDel="00000000" w:rsidR="00000000" w:rsidRPr="00000000">
              <w:rPr>
                <w:sz w:val="16"/>
                <w:rtl w:val="0"/>
              </w:rPr>
            </w:r>
          </w:p>
        </w:tc>
        <w:tc>
          <w:tcPr>
            <w:tcW w:w="2000" w:type="dxa"/>
            <w:shd w:fill="1f3864" w:val="clear"/>
            <w:tcMar>
              <w:top w:w="60.0" w:type="dxa"/>
              <w:left w:w="80.0" w:type="dxa"/>
              <w:bottom w:w="60.0" w:type="dxa"/>
              <w:right w:w="80.0" w:type="dxa"/>
            </w:tcMar>
          </w:tcPr>
          <w:p w:rsidR="00000000" w:rsidDel="00000000" w:rsidP="00000000" w:rsidRDefault="00000000" w:rsidRPr="00000000" w14:paraId="0000010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Budget</w:t>
            </w:r>
            <w:r w:rsidDel="00000000" w:rsidR="00000000" w:rsidRPr="00000000">
              <w:rPr>
                <w:sz w:val="16"/>
                <w:rtl w:val="0"/>
              </w:rPr>
            </w:r>
          </w:p>
        </w:tc>
        <w:tc>
          <w:tcPr>
            <w:tcW w:w="4330" w:type="dxa"/>
            <w:shd w:fill="1f3864" w:val="clear"/>
            <w:tcMar>
              <w:top w:w="60.0" w:type="dxa"/>
              <w:left w:w="80.0" w:type="dxa"/>
              <w:bottom w:w="60.0" w:type="dxa"/>
              <w:right w:w="80.0" w:type="dxa"/>
            </w:tcMar>
          </w:tcPr>
          <w:p w:rsidR="00000000" w:rsidDel="00000000" w:rsidP="00000000" w:rsidRDefault="00000000" w:rsidRPr="00000000" w14:paraId="00000102">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sz w:val="16"/>
                <w:szCs w:val="20"/>
                <w:rtl w:val="0"/>
              </w:rPr>
              <w:t xml:space="preserve">Actual</w:t>
            </w:r>
            <w:r w:rsidDel="00000000" w:rsidR="00000000" w:rsidRPr="00000000">
              <w:rPr>
                <w:sz w:val="16"/>
                <w:rtl w:val="0"/>
              </w:rPr>
            </w:r>
          </w:p>
        </w:tc>
      </w:tr>
      <w:tr>
        <w:trPr>
          <w:cantSplit w:val="0"/>
          <w:tblHeader w:val="0"/>
          <w:cantSplit/>
        </w:trPr>
        <w:tc>
          <w:tcPr>
            <w:tcW w:w="3600" w:type="dxa"/>
            <w:shd w:fill="f2f2f2" w:val="clear"/>
            <w:tcMar>
              <w:top w:w="60.0" w:type="dxa"/>
              <w:left w:w="80.0" w:type="dxa"/>
              <w:bottom w:w="60.0" w:type="dxa"/>
              <w:right w:w="80.0" w:type="dxa"/>
            </w:tcMar>
          </w:tcPr>
          <w:p w:rsidR="00000000" w:rsidDel="00000000" w:rsidP="00000000" w:rsidRDefault="00000000" w:rsidRPr="00000000" w14:paraId="00000103">
            <w:pPr>
              <w:rPr>
                <w:rFonts w:ascii="Century Gothic" w:cs="Century Gothic" w:eastAsia="Century Gothic" w:hAnsi="Century Gothic"/>
                <w:sz w:val="20"/>
                <w:szCs w:val="20"/>
              </w:rPr>
            </w:pPr>
            <w:r>
              <w:rPr>
                <w:b/>
                <w:color w:val="000000"/>
                <w:sz w:val="16"/>
              </w:rPr>
              <w:t>Q1 2026 (1 Jan–31 Mar) — total GPU</w:t>
            </w:r>
          </w:p>
        </w:tc>
        <w:tc>
          <w:tcPr>
            <w:tcW w:w="2000" w:type="dxa"/>
            <w:shd w:fill="f2f2f2" w:val="clear"/>
            <w:tcMar>
              <w:top w:w="60.0" w:type="dxa"/>
              <w:left w:w="80.0" w:type="dxa"/>
              <w:bottom w:w="60.0" w:type="dxa"/>
              <w:right w:w="80.0" w:type="dxa"/>
            </w:tcMar>
          </w:tcPr>
          <w:p w:rsidR="00000000" w:rsidDel="00000000" w:rsidP="00000000" w:rsidRDefault="00000000" w:rsidRPr="00000000" w14:paraId="00000104">
            <w:pPr>
              <w:rPr>
                <w:rFonts w:ascii="Century Gothic" w:cs="Century Gothic" w:eastAsia="Century Gothic" w:hAnsi="Century Gothic"/>
                <w:sz w:val="20"/>
                <w:szCs w:val="20"/>
              </w:rPr>
            </w:pPr>
            <w:r>
              <w:rPr>
                <w:b/>
                <w:color w:val="000000"/>
                <w:sz w:val="16"/>
              </w:rPr>
              <w:t>$85,000</w:t>
            </w:r>
          </w:p>
        </w:tc>
        <w:tc>
          <w:tcPr>
            <w:tcW w:w="4330" w:type="dxa"/>
            <w:shd w:fill="f2f2f2" w:val="clear"/>
            <w:tcMar>
              <w:top w:w="60.0" w:type="dxa"/>
              <w:left w:w="80.0" w:type="dxa"/>
              <w:bottom w:w="60.0" w:type="dxa"/>
              <w:right w:w="80.0" w:type="dxa"/>
            </w:tcMar>
          </w:tcPr>
          <w:p w:rsidR="00000000" w:rsidDel="00000000" w:rsidP="00000000" w:rsidRDefault="00000000" w:rsidRPr="00000000" w14:paraId="00000105">
            <w:pPr>
              <w:rPr>
                <w:rFonts w:ascii="Century Gothic" w:cs="Century Gothic" w:eastAsia="Century Gothic" w:hAnsi="Century Gothic"/>
                <w:sz w:val="20"/>
                <w:szCs w:val="20"/>
              </w:rPr>
            </w:pPr>
            <w:r>
              <w:rPr>
                <w:b/>
                <w:color w:val="000000"/>
                <w:sz w:val="16"/>
              </w:rPr>
              <w:t>$119,421 (+$34,421; +40.5% overrun)</w:t>
            </w:r>
          </w:p>
        </w:tc>
      </w:tr>
      <w:tr>
        <w:trPr>
          <w:cantSplit w:val="0"/>
          <w:tblHeader w:val="0"/>
          <w:cantSplit/>
        </w:trPr>
        <w:tc>
          <w:tcPr>
            <w:tcW w:w="3600" w:type="dxa"/>
            <w:shd w:fill="f2f2f2" w:val="clear"/>
            <w:tcMar>
              <w:top w:w="60.0" w:type="dxa"/>
              <w:left w:w="80.0" w:type="dxa"/>
              <w:bottom w:w="60.0" w:type="dxa"/>
              <w:right w:w="80.0" w:type="dxa"/>
            </w:tcMar>
          </w:tcPr>
          <w:p w:rsidR="00000000" w:rsidDel="00000000" w:rsidP="00000000" w:rsidRDefault="00000000" w:rsidRPr="00000000" w14:paraId="00000103">
            <w:pPr>
              <w:rPr>
                <w:rFonts w:ascii="Century Gothic" w:cs="Century Gothic" w:eastAsia="Century Gothic" w:hAnsi="Century Gothic"/>
                <w:sz w:val="20"/>
                <w:szCs w:val="20"/>
              </w:rPr>
            </w:pPr>
            <w:r>
              <w:rPr>
                <w:color w:val="000000"/>
                <w:sz w:val="16"/>
              </w:rPr>
              <w:t xml:space="preserve">  A100 batch retraining</w:t>
            </w:r>
          </w:p>
        </w:tc>
        <w:tc>
          <w:tcPr>
            <w:tcW w:w="2000" w:type="dxa"/>
            <w:shd w:fill="f2f2f2" w:val="clear"/>
            <w:tcMar>
              <w:top w:w="60.0" w:type="dxa"/>
              <w:left w:w="80.0" w:type="dxa"/>
              <w:bottom w:w="60.0" w:type="dxa"/>
              <w:right w:w="80.0" w:type="dxa"/>
            </w:tcMar>
          </w:tcPr>
          <w:p w:rsidR="00000000" w:rsidDel="00000000" w:rsidP="00000000" w:rsidRDefault="00000000" w:rsidRPr="00000000" w14:paraId="00000104">
            <w:pPr>
              <w:rPr>
                <w:rFonts w:ascii="Century Gothic" w:cs="Century Gothic" w:eastAsia="Century Gothic" w:hAnsi="Century Gothic"/>
                <w:sz w:val="20"/>
                <w:szCs w:val="20"/>
              </w:rPr>
            </w:pPr>
            <w:r>
              <w:rPr>
                <w:color w:val="000000"/>
                <w:sz w:val="16"/>
              </w:rPr>
              <w:t>$28,000</w:t>
            </w:r>
          </w:p>
        </w:tc>
        <w:tc>
          <w:tcPr>
            <w:tcW w:w="4330" w:type="dxa"/>
            <w:shd w:fill="f2f2f2" w:val="clear"/>
            <w:tcMar>
              <w:top w:w="60.0" w:type="dxa"/>
              <w:left w:w="80.0" w:type="dxa"/>
              <w:bottom w:w="60.0" w:type="dxa"/>
              <w:right w:w="80.0" w:type="dxa"/>
            </w:tcMar>
          </w:tcPr>
          <w:p w:rsidR="00000000" w:rsidDel="00000000" w:rsidP="00000000" w:rsidRDefault="00000000" w:rsidRPr="00000000" w14:paraId="00000105">
            <w:pPr>
              <w:rPr>
                <w:rFonts w:ascii="Century Gothic" w:cs="Century Gothic" w:eastAsia="Century Gothic" w:hAnsi="Century Gothic"/>
                <w:sz w:val="20"/>
                <w:szCs w:val="20"/>
              </w:rPr>
            </w:pPr>
            <w:r>
              <w:rPr>
                <w:color w:val="000000"/>
                <w:sz w:val="16"/>
              </w:rPr>
              <w:t>$47,840 (+$19,840)</w:t>
            </w:r>
          </w:p>
        </w:tc>
      </w:tr>
      <w:tr>
        <w:trPr>
          <w:cantSplit w:val="0"/>
          <w:tblHeader w:val="0"/>
          <w:cantSplit/>
        </w:trPr>
        <w:tc>
          <w:tcPr>
            <w:tcW w:w="3600" w:type="dxa"/>
            <w:shd w:fill="f2f2f2" w:val="clear"/>
            <w:tcMar>
              <w:top w:w="60.0" w:type="dxa"/>
              <w:left w:w="80.0" w:type="dxa"/>
              <w:bottom w:w="60.0" w:type="dxa"/>
              <w:right w:w="80.0" w:type="dxa"/>
            </w:tcMar>
          </w:tcPr>
          <w:p w:rsidR="00000000" w:rsidDel="00000000" w:rsidP="00000000" w:rsidRDefault="00000000" w:rsidRPr="00000000" w14:paraId="00000103">
            <w:pPr>
              <w:rPr>
                <w:rFonts w:ascii="Century Gothic" w:cs="Century Gothic" w:eastAsia="Century Gothic" w:hAnsi="Century Gothic"/>
                <w:sz w:val="20"/>
                <w:szCs w:val="20"/>
              </w:rPr>
            </w:pPr>
            <w:r>
              <w:rPr>
                <w:color w:val="000000"/>
                <w:sz w:val="16"/>
              </w:rPr>
              <w:t xml:space="preserve">  A100 offline scoring</w:t>
            </w:r>
          </w:p>
        </w:tc>
        <w:tc>
          <w:tcPr>
            <w:tcW w:w="2000" w:type="dxa"/>
            <w:shd w:fill="f2f2f2" w:val="clear"/>
            <w:tcMar>
              <w:top w:w="60.0" w:type="dxa"/>
              <w:left w:w="80.0" w:type="dxa"/>
              <w:bottom w:w="60.0" w:type="dxa"/>
              <w:right w:w="80.0" w:type="dxa"/>
            </w:tcMar>
          </w:tcPr>
          <w:p w:rsidR="00000000" w:rsidDel="00000000" w:rsidP="00000000" w:rsidRDefault="00000000" w:rsidRPr="00000000" w14:paraId="00000104">
            <w:pPr>
              <w:rPr>
                <w:rFonts w:ascii="Century Gothic" w:cs="Century Gothic" w:eastAsia="Century Gothic" w:hAnsi="Century Gothic"/>
                <w:sz w:val="20"/>
                <w:szCs w:val="20"/>
              </w:rPr>
            </w:pPr>
            <w:r>
              <w:rPr>
                <w:color w:val="000000"/>
                <w:sz w:val="16"/>
              </w:rPr>
              <w:t>$8,200</w:t>
            </w:r>
          </w:p>
        </w:tc>
        <w:tc>
          <w:tcPr>
            <w:tcW w:w="4330" w:type="dxa"/>
            <w:shd w:fill="f2f2f2" w:val="clear"/>
            <w:tcMar>
              <w:top w:w="60.0" w:type="dxa"/>
              <w:left w:w="80.0" w:type="dxa"/>
              <w:bottom w:w="60.0" w:type="dxa"/>
              <w:right w:w="80.0" w:type="dxa"/>
            </w:tcMar>
          </w:tcPr>
          <w:p w:rsidR="00000000" w:rsidDel="00000000" w:rsidP="00000000" w:rsidRDefault="00000000" w:rsidRPr="00000000" w14:paraId="00000105">
            <w:pPr>
              <w:rPr>
                <w:rFonts w:ascii="Century Gothic" w:cs="Century Gothic" w:eastAsia="Century Gothic" w:hAnsi="Century Gothic"/>
                <w:sz w:val="20"/>
                <w:szCs w:val="20"/>
              </w:rPr>
            </w:pPr>
            <w:r>
              <w:rPr>
                <w:color w:val="000000"/>
                <w:sz w:val="16"/>
              </w:rPr>
              <w:t>$14,620 (+$6,420)</w:t>
            </w:r>
          </w:p>
        </w:tc>
      </w:tr>
      <w:tr>
        <w:trPr>
          <w:cantSplit w:val="0"/>
          <w:tblHeader w:val="0"/>
          <w:cantSplit/>
        </w:trPr>
        <w:tc>
          <w:tcPr>
            <w:tcW w:w="3600" w:type="dxa"/>
            <w:shd w:fill="f2f2f2" w:val="clear"/>
            <w:tcMar>
              <w:top w:w="60.0" w:type="dxa"/>
              <w:left w:w="80.0" w:type="dxa"/>
              <w:bottom w:w="60.0" w:type="dxa"/>
              <w:right w:w="80.0" w:type="dxa"/>
            </w:tcMar>
          </w:tcPr>
          <w:p w:rsidR="00000000" w:rsidDel="00000000" w:rsidP="00000000" w:rsidRDefault="00000000" w:rsidRPr="00000000" w14:paraId="00000103">
            <w:pPr>
              <w:rPr>
                <w:rFonts w:ascii="Century Gothic" w:cs="Century Gothic" w:eastAsia="Century Gothic" w:hAnsi="Century Gothic"/>
                <w:sz w:val="20"/>
                <w:szCs w:val="20"/>
              </w:rPr>
            </w:pPr>
            <w:r>
              <w:rPr>
                <w:color w:val="000000"/>
                <w:sz w:val="16"/>
              </w:rPr>
              <w:t xml:space="preserve">  T4 real-time inference</w:t>
            </w:r>
          </w:p>
        </w:tc>
        <w:tc>
          <w:tcPr>
            <w:tcW w:w="2000" w:type="dxa"/>
            <w:shd w:fill="f2f2f2" w:val="clear"/>
            <w:tcMar>
              <w:top w:w="60.0" w:type="dxa"/>
              <w:left w:w="80.0" w:type="dxa"/>
              <w:bottom w:w="60.0" w:type="dxa"/>
              <w:right w:w="80.0" w:type="dxa"/>
            </w:tcMar>
          </w:tcPr>
          <w:p w:rsidR="00000000" w:rsidDel="00000000" w:rsidP="00000000" w:rsidRDefault="00000000" w:rsidRPr="00000000" w14:paraId="00000104">
            <w:pPr>
              <w:rPr>
                <w:rFonts w:ascii="Century Gothic" w:cs="Century Gothic" w:eastAsia="Century Gothic" w:hAnsi="Century Gothic"/>
                <w:sz w:val="20"/>
                <w:szCs w:val="20"/>
              </w:rPr>
            </w:pPr>
            <w:r>
              <w:rPr>
                <w:color w:val="000000"/>
                <w:sz w:val="16"/>
              </w:rPr>
              <w:t>$31,200</w:t>
            </w:r>
          </w:p>
        </w:tc>
        <w:tc>
          <w:tcPr>
            <w:tcW w:w="4330" w:type="dxa"/>
            <w:shd w:fill="f2f2f2" w:val="clear"/>
            <w:tcMar>
              <w:top w:w="60.0" w:type="dxa"/>
              <w:left w:w="80.0" w:type="dxa"/>
              <w:bottom w:w="60.0" w:type="dxa"/>
              <w:right w:w="80.0" w:type="dxa"/>
            </w:tcMar>
          </w:tcPr>
          <w:p w:rsidR="00000000" w:rsidDel="00000000" w:rsidP="00000000" w:rsidRDefault="00000000" w:rsidRPr="00000000" w14:paraId="00000105">
            <w:pPr>
              <w:rPr>
                <w:rFonts w:ascii="Century Gothic" w:cs="Century Gothic" w:eastAsia="Century Gothic" w:hAnsi="Century Gothic"/>
                <w:sz w:val="20"/>
                <w:szCs w:val="20"/>
              </w:rPr>
            </w:pPr>
            <w:r>
              <w:rPr>
                <w:color w:val="000000"/>
                <w:sz w:val="16"/>
              </w:rPr>
              <w:t>$38,920 (+$7,720)</w:t>
            </w:r>
          </w:p>
        </w:tc>
      </w:tr>
      <w:tr>
        <w:trPr>
          <w:cantSplit w:val="0"/>
          <w:tblHeader w:val="0"/>
          <w:cantSplit/>
        </w:trPr>
        <w:tc>
          <w:tcPr>
            <w:tcW w:w="3600" w:type="dxa"/>
            <w:shd w:fill="f2f2f2" w:val="clear"/>
            <w:tcMar>
              <w:top w:w="60.0" w:type="dxa"/>
              <w:left w:w="80.0" w:type="dxa"/>
              <w:bottom w:w="60.0" w:type="dxa"/>
              <w:right w:w="80.0" w:type="dxa"/>
            </w:tcMar>
          </w:tcPr>
          <w:p w:rsidR="00000000" w:rsidDel="00000000" w:rsidP="00000000" w:rsidRDefault="00000000" w:rsidRPr="00000000" w14:paraId="00000103">
            <w:pPr>
              <w:rPr>
                <w:rFonts w:ascii="Century Gothic" w:cs="Century Gothic" w:eastAsia="Century Gothic" w:hAnsi="Century Gothic"/>
                <w:sz w:val="20"/>
                <w:szCs w:val="20"/>
              </w:rPr>
            </w:pPr>
            <w:r>
              <w:rPr>
                <w:color w:val="000000"/>
                <w:sz w:val="16"/>
              </w:rPr>
              <w:t xml:space="preserve">  Edge + dev/test</w:t>
            </w:r>
          </w:p>
        </w:tc>
        <w:tc>
          <w:tcPr>
            <w:tcW w:w="2000" w:type="dxa"/>
            <w:shd w:fill="f2f2f2" w:val="clear"/>
            <w:tcMar>
              <w:top w:w="60.0" w:type="dxa"/>
              <w:left w:w="80.0" w:type="dxa"/>
              <w:bottom w:w="60.0" w:type="dxa"/>
              <w:right w:w="80.0" w:type="dxa"/>
            </w:tcMar>
          </w:tcPr>
          <w:p w:rsidR="00000000" w:rsidDel="00000000" w:rsidP="00000000" w:rsidRDefault="00000000" w:rsidRPr="00000000" w14:paraId="00000104">
            <w:pPr>
              <w:rPr>
                <w:rFonts w:ascii="Century Gothic" w:cs="Century Gothic" w:eastAsia="Century Gothic" w:hAnsi="Century Gothic"/>
                <w:sz w:val="20"/>
                <w:szCs w:val="20"/>
              </w:rPr>
            </w:pPr>
            <w:r>
              <w:rPr>
                <w:color w:val="000000"/>
                <w:sz w:val="16"/>
              </w:rPr>
              <w:t>$17,600</w:t>
            </w:r>
          </w:p>
        </w:tc>
        <w:tc>
          <w:tcPr>
            <w:tcW w:w="4330" w:type="dxa"/>
            <w:shd w:fill="f2f2f2" w:val="clear"/>
            <w:tcMar>
              <w:top w:w="60.0" w:type="dxa"/>
              <w:left w:w="80.0" w:type="dxa"/>
              <w:bottom w:w="60.0" w:type="dxa"/>
              <w:right w:w="80.0" w:type="dxa"/>
            </w:tcMar>
          </w:tcPr>
          <w:p w:rsidR="00000000" w:rsidDel="00000000" w:rsidP="00000000" w:rsidRDefault="00000000" w:rsidRPr="00000000" w14:paraId="00000105">
            <w:pPr>
              <w:rPr>
                <w:rFonts w:ascii="Century Gothic" w:cs="Century Gothic" w:eastAsia="Century Gothic" w:hAnsi="Century Gothic"/>
                <w:sz w:val="20"/>
                <w:szCs w:val="20"/>
              </w:rPr>
            </w:pPr>
            <w:r>
              <w:rPr>
                <w:color w:val="000000"/>
                <w:sz w:val="16"/>
              </w:rPr>
              <w:t>$18,041 (+$441)</w:t>
            </w:r>
          </w:p>
        </w:tc>
      </w:tr>
    </w:tbl>
    <w:p w:rsidR="00000000" w:rsidDel="00000000" w:rsidP="00000000" w:rsidRDefault="00000000" w:rsidRPr="00000000" w14:paraId="00000106">
      <w:pPr>
        <w:pStyle w:val="Heading3"/>
        <w:spacing w:after="60" w:before="1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d6e6e"/>
          <w:sz w:val="20"/>
          <w:szCs w:val="20"/>
          <w:rtl w:val="0"/>
        </w:rPr>
        <w:t xml:space="preserve">Appendix C: Policy / Configuration Status Summary</w:t>
      </w:r>
      <w:r w:rsidDel="00000000" w:rsidR="00000000" w:rsidRPr="00000000">
        <w:rPr>
          <w:rtl w:val="0"/>
        </w:rPr>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color w:val="000000"/>
          <w:sz w:val="17"/>
        </w:rPr>
        <w:t xml:space="preserve">Azure Policy compliance 67% (target 90% before Q3 launch); report dated 20 Apr 2026; edge nodes excluded from Azure Policy scope. </w:t>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b/>
          <w:color w:val="000000"/>
          <w:sz w:val="17"/>
        </w:rPr>
        <w:t xml:space="preserve">Gap 1 Encryption (NON-COMPLIANT): </w:t>
      </w:r>
      <w:r>
        <w:rPr>
          <w:color w:val="000000"/>
          <w:sz w:val="17"/>
        </w:rPr>
        <w:t>fraud-models storage (prod, staging, archive) on Microsoft-managed keys; policy 6fac406b-40ca-413b-bf8e-0bf964659c25, ASB DP-5. &lt;1 day; Sprint 1 if capacity allows.</w:t>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b/>
          <w:color w:val="000000"/>
          <w:sz w:val="17"/>
        </w:rPr>
        <w:t xml:space="preserve">Gap 2 Network segmentation (NON-COMPLIANT): </w:t>
      </w:r>
      <w:r>
        <w:rPr>
          <w:color w:val="000000"/>
          <w:sz w:val="17"/>
        </w:rPr>
        <w:t>AKS to Azure OpenAI / Cognitive Services over public endpoints; policy 2e80a7ec-ac58-48ba-8a6e-a1a46f4e5394, ASB NS-3 / NS-7. 1–2 weeks; Finding 2B.</w:t>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b/>
          <w:color w:val="000000"/>
          <w:sz w:val="17"/>
        </w:rPr>
        <w:t xml:space="preserve">Gap 3 Secrets (NON-COMPLIANT, CRITICAL): </w:t>
      </w:r>
      <w:r>
        <w:rPr>
          <w:color w:val="000000"/>
          <w:sz w:val="17"/>
        </w:rPr>
        <w:t>SAS token in Git commit 7a3f2c1; Cognitive Services key as env var; ASB IM-8. Rank 1.</w:t>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b/>
          <w:color w:val="000000"/>
          <w:sz w:val="17"/>
        </w:rPr>
        <w:t xml:space="preserve">Gap 4 AWS DR exposure (AT RISK): </w:t>
      </w:r>
      <w:r>
        <w:rPr>
          <w:color w:val="000000"/>
          <w:sz w:val="17"/>
        </w:rPr>
        <w:t>0.0.0.0/0 on TCP/22 and 443; public inter-cloud path; outside Azure Policy; owner unassigned. Rank 2.</w:t>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b/>
          <w:color w:val="000000"/>
          <w:sz w:val="17"/>
        </w:rPr>
        <w:t xml:space="preserve">Gap 5 Data residency (UNDER REVIEW — not resolved): </w:t>
      </w:r>
      <w:r>
        <w:rPr>
          <w:color w:val="000000"/>
          <w:sz w:val="17"/>
        </w:rPr>
        <w:t>Singapore DR vs CONUS primary; Legal review opened 28 Mar 2026, sign-off pending at 20 Apr (estimated 15 May); escalate to the CTO if unanswered. Re-region (Option B) 4–6 weeks. Rank 3.</w:t>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b/>
          <w:color w:val="000000"/>
          <w:sz w:val="17"/>
        </w:rPr>
        <w:t xml:space="preserve">Gap 6 Audit logging (NON-COMPLIANT): </w:t>
      </w:r>
      <w:r>
        <w:rPr>
          <w:color w:val="000000"/>
          <w:sz w:val="17"/>
        </w:rPr>
        <w:t>AKS kube-audit and AML endpoint logs not retained; two AKS / App Service diagnostic-log policies, ASB LT-3, PCI DSS Req 10. Rank 4.</w:t>
      </w:r>
    </w:p>
    <w:p w:rsidR="00000000" w:rsidDel="00000000" w:rsidP="00000000" w:rsidRDefault="00000000" w:rsidRPr="00000000" w14:paraId="00000106">
      <w:pPr>
        <w:pStyle w:val="Heading3"/>
        <w:spacing w:after="60" w:before="160" w:lineRule="auto"/>
        <w:rPr>
          <w:rFonts w:ascii="Century Gothic" w:cs="Century Gothic" w:eastAsia="Century Gothic" w:hAnsi="Century Gothic"/>
          <w:sz w:val="20"/>
          <w:szCs w:val="20"/>
        </w:rPr>
      </w:pPr>
      <w:r>
        <w:rPr>
          <w:b/>
          <w:color w:val="0D6E6E"/>
          <w:sz w:val="20"/>
        </w:rPr>
        <w:t>Appendix D: Prioritization Scoring</w:t>
      </w:r>
    </w:p>
    <w:p w:rsidR="00000000" w:rsidDel="00000000" w:rsidP="00000000" w:rsidRDefault="00000000" w:rsidRPr="00000000" w14:paraId="00000107">
      <w:pPr>
        <w:spacing w:after="80" w:lineRule="auto"/>
        <w:rPr>
          <w:rFonts w:ascii="Century Gothic" w:cs="Century Gothic" w:eastAsia="Century Gothic" w:hAnsi="Century Gothic"/>
          <w:sz w:val="20"/>
          <w:szCs w:val="20"/>
        </w:rPr>
      </w:pPr>
      <w:r>
        <w:rPr>
          <w:color w:val="000000"/>
          <w:sz w:val="15"/>
        </w:rPr>
        <w:t xml:space="preserve">Impact 1–5 (5 = removes a launch-blocking security, compliance or availability risk; 3 = cost or contained operational risk); Effort 1–5 (1 &lt;2 d, 2 2–5 d, 3 1–2 w, 4 2–4 w, 5 &gt;4 w or externally gated). Order = template quadrant, then impact, then impact ÷ effort. Scores (impact, effort): </w:t>
      </w:r>
      <w:r>
        <w:rPr>
          <w:color w:val="000000"/>
          <w:sz w:val="15"/>
        </w:rPr>
        <w:t>SAS rotation 5,1 (Rank 1); AWS public SSH 5,1 (2); DR failover + Gap 5 5,5 (3); audit logging + runbooks 4,3 — touches all 3 incidents and PCI Req 10 (4); A100 deallocation + endpoint autoscale 3,1 (5); Private Endpoints + AWS 443 4,3 (next); GPU pool isolation 4,3 (next); edge sync fix 3,2 (in Rank 3); CMK on fraud-models 2,1 (Sprint 1 if capacity); Spot for batch 3,3 (after Rank 5).</w:t>
      </w:r>
    </w:p>
    <w:p w:rsidR="00000000" w:rsidDel="00000000" w:rsidP="00000000" w:rsidRDefault="00000000" w:rsidRPr="00000000" w14:paraId="00000108">
      <w:pPr>
        <w:pBdr>
          <w:bottom w:color="1f3864" w:space="4" w:sz="6" w:val="single"/>
        </w:pBdr>
        <w:spacing w:after="0" w:lineRule="exact" w:before="0" w:line="100"/>
        <w:rPr>
          <w:rFonts w:ascii="Century Gothic" w:cs="Century Gothic" w:eastAsia="Century Gothic" w:hAnsi="Century Gothic"/>
          <w:sz w:val="20"/>
          <w:szCs w:val="20"/>
        </w:rPr>
      </w:pPr>
      <w:r w:rsidDel="00000000" w:rsidR="00000000" w:rsidRPr="00000000">
        <w:rPr>
          <w:rtl w:val="0"/>
          <w:sz w:val="8"/>
        </w:rPr>
      </w:r>
    </w:p>
    <w:p w:rsidR="00000000" w:rsidDel="00000000" w:rsidP="00000000" w:rsidRDefault="00000000" w:rsidRPr="00000000" w14:paraId="00000109">
      <w:pPr>
        <w:spacing w:before="60" w:lineRule="auto"/>
        <w:rPr>
          <w:rFonts w:ascii="Century Gothic" w:cs="Century Gothic" w:eastAsia="Century Gothic" w:hAnsi="Century Gothic"/>
          <w:b w:val="1"/>
          <w:bCs w:val="1"/>
          <w:color w:val="7030a0"/>
          <w:sz w:val="20"/>
          <w:szCs w:val="20"/>
        </w:rPr>
      </w:pPr>
      <w:r>
        <w:rPr>
          <w:b/>
          <w:color w:val="404040"/>
          <w:sz w:val="16"/>
        </w:rPr>
        <w:t>Framework alignment and sources: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Century Gothic" w:cs="Century Gothic" w:eastAsia="Century Gothic" w:hAnsi="Century Gothic"/>
          <w:i w:val="0"/>
          <w:iCs w:val="0"/>
          <w:smallCaps w:val="0"/>
          <w:strike w:val="0"/>
          <w:sz w:val="20"/>
          <w:szCs w:val="20"/>
          <w:shd w:fill="auto" w:val="clear"/>
          <w:vertAlign w:val="baseline"/>
        </w:rPr>
      </w:pPr>
      <w:r>
        <w:rPr>
          <w:color w:val="404040"/>
          <w:sz w:val="15"/>
        </w:rPr>
        <w:t>Azure Well-Architected Framework 2026 and Azure Well-Architected Review (learn.microsoft.com/en-us/azure/well-architected; /assessments/azure-architecture-review); Azure compliance — PCI DSS and SOC 2 Type II (learn.microsoft.com/en-us/azure/compliance). PCI DSS v4.0 and SOC 2 criteria are reviewer-mapped where the policy report gives none.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Century Gothic" w:cs="Century Gothic" w:eastAsia="Century Gothic" w:hAnsi="Century Gothic"/>
          <w:i w:val="0"/>
          <w:iCs w:val="0"/>
          <w:smallCaps w:val="0"/>
          <w:strike w:val="0"/>
          <w:sz w:val="20"/>
          <w:szCs w:val="20"/>
          <w:shd w:fill="auto" w:val="clear"/>
          <w:vertAlign w:val="baseline"/>
        </w:rPr>
      </w:pPr>
      <w:r>
        <w:rPr>
          <w:color w:val="404040"/>
          <w:sz w:val="15"/>
        </w:rPr>
        <w:t>Effort bands (Quick win / Moderate / Significant) are course-defined; Azure Advisor uses High/Medium/Low impact categories.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Calibri" w:cs="Calibri" w:eastAsia="Calibri" w:hAnsi="Calibri"/>
          <w:b w:val="0"/>
          <w:bCs w:val="0"/>
          <w:i w:val="0"/>
          <w:iCs w:val="0"/>
          <w:smallCaps w:val="0"/>
          <w:strike w:val="0"/>
          <w:sz w:val="20"/>
          <w:szCs w:val="20"/>
          <w:u w:val="none"/>
          <w:shd w:fill="auto" w:val="clear"/>
          <w:vertAlign w:val="baseline"/>
        </w:rPr>
      </w:pPr>
      <w:r>
        <w:rPr>
          <w:color w:val="404040"/>
          <w:sz w:val="15"/>
        </w:rPr>
        <w:t>Evidence: Scenario_Data_Package.zip (README, INC-2026-0312-001, INC-2026-0401-002, INC-2026-0418-003, GPU_Cost_Snapshot_Q1_2026.csv, Policy_Configuration_Status.txt); Azure_Well_Architected_Framework_Summary.docx.</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Century Gothic" w:cs="Century Gothic" w:eastAsia="Century Gothic" w:hAnsi="Century Gothic"/>
          <w:i w:val="0"/>
          <w:iCs w:val="0"/>
          <w:smallCaps w:val="0"/>
          <w:strike w:val="0"/>
          <w:sz w:val="20"/>
          <w:szCs w:val="20"/>
          <w:shd w:fill="auto" w:val="clear"/>
          <w:vertAlign w:val="baseline"/>
        </w:rPr>
      </w:pPr>
      <w:r>
        <w:rPr>
          <w:color w:val="404040"/>
          <w:sz w:val="15"/>
        </w:rPr>
        <w:t>AWS DR components are reviewed through the Azure WAF lens only; a real engagement would assess them against the AWS Well-Architected Framework (principle applies; AWS-native tooling differs).</w:t>
      </w:r>
    </w:p>
    <w:sectPr>
      <w:pgSz w:h="16838" w:w="11906" w:orient="portrait"/>
      <w:pgMar w:bottom="864" w:top="72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7030a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CnMjMtUDbLOKa5R6BW9fJ7C3w==">CgMxLjA4AHIhMVY1NV9jRWF6aVlOd0NEd1l3SndkcXc3S0FPcThaX25Q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