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1F3864"/>
          <w:sz w:val="40"/>
          <w:szCs w:val="40"/>
        </w:rPr>
        <w:t xml:space="preserve">Secure Integration Architecture Package</w:t>
      </w:r>
    </w:p>
    <w:p>
      <w:pPr>
        <w:pBdr>
          <w:bottom w:val="single" w:color="1F3864" w:sz="8" w:space="4"/>
        </w:pBdr>
        <w:spacing w:after="90"/>
      </w:pPr>
      <w:r>
        <w:rPr>
          <w:rFonts w:ascii="Calibri" w:cs="Calibri" w:eastAsia="Calibri" w:hAnsi="Calibri"/>
          <w:color w:val="0F6CBD"/>
          <w:sz w:val="21"/>
          <w:szCs w:val="21"/>
        </w:rPr>
        <w:t xml:space="preserve">CareSignal secure healthcare integration and decision-support platform  |  Contoso Health Insights (fictional)</w:t>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2"/>
        <w:gridCol w:w="3604"/>
        <w:gridCol w:w="1652"/>
        <w:gridCol w:w="3604"/>
      </w:tblGrid>
      <w:tr>
        <w:trPr>
          <w:cantSplit/>
          <w:tblHeader/>
        </w:trPr>
        <w:tc>
          <w:tcPr>
            <w:tcW w:type="dxa" w:w="1652"/>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6"/>
                <w:szCs w:val="16"/>
              </w:rPr>
              <w:t xml:space="preserve">Prepared by</w:t>
            </w:r>
          </w:p>
        </w:tc>
        <w:tc>
          <w:tcPr>
            <w:tcW w:type="dxa" w:w="3604"/>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6"/>
                <w:szCs w:val="16"/>
              </w:rPr>
              <w:t xml:space="preserve">Dennis Lam</w:t>
            </w:r>
          </w:p>
        </w:tc>
        <w:tc>
          <w:tcPr>
            <w:tcW w:type="dxa" w:w="1652"/>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6"/>
                <w:szCs w:val="16"/>
              </w:rPr>
              <w:t xml:space="preserve">Version / date</w:t>
            </w:r>
          </w:p>
        </w:tc>
        <w:tc>
          <w:tcPr>
            <w:tcW w:type="dxa" w:w="3604"/>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6"/>
                <w:szCs w:val="16"/>
              </w:rPr>
              <w:t xml:space="preserve">1.0  |  11 October 2026</w:t>
            </w:r>
          </w:p>
        </w:tc>
      </w:tr>
      <w:tr>
        <w:trPr>
          <w:cantSplit/>
          <w:tblHeader w:val="false"/>
        </w:trPr>
        <w:tc>
          <w:tcPr>
            <w:tcW w:type="dxa" w:w="165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6"/>
                <w:szCs w:val="16"/>
              </w:rPr>
              <w:t xml:space="preserve">Scenario date</w:t>
            </w:r>
          </w:p>
        </w:tc>
        <w:tc>
          <w:tcPr>
            <w:tcW w:type="dxa" w:w="360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6"/>
                <w:szCs w:val="16"/>
              </w:rPr>
              <w:t xml:space="preserve">2 August 2026  |  Azure East US 2</w:t>
            </w:r>
          </w:p>
        </w:tc>
        <w:tc>
          <w:tcPr>
            <w:tcW w:type="dxa" w:w="165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6"/>
                <w:szCs w:val="16"/>
              </w:rPr>
              <w:t xml:space="preserve">Data rule</w:t>
            </w:r>
          </w:p>
        </w:tc>
        <w:tc>
          <w:tcPr>
            <w:tcW w:type="dxa" w:w="360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6"/>
                <w:szCs w:val="16"/>
              </w:rPr>
              <w:t xml:space="preserve">Synthetic ePHI-like data only. No real PHI, secrets, tenant IDs or production endpoints appear in this package.</w:t>
            </w:r>
          </w:p>
        </w:tc>
      </w:tr>
      <w:tr>
        <w:trPr>
          <w:cantSplit/>
          <w:tblHeader w:val="false"/>
        </w:trPr>
        <w:tc>
          <w:tcPr>
            <w:tcW w:type="dxa" w:w="165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6"/>
                <w:szCs w:val="16"/>
              </w:rPr>
              <w:t xml:space="preserve">Scope</w:t>
            </w:r>
          </w:p>
        </w:tc>
        <w:tc>
          <w:tcPr>
            <w:tcW w:type="dxa" w:w="360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6"/>
                <w:szCs w:val="16"/>
              </w:rPr>
              <w:t xml:space="preserve">Connectivity, ingestion, FHIR store, identity, monitoring, automation, operations (C-01 to C-09 + 4 new components)</w:t>
            </w:r>
          </w:p>
        </w:tc>
        <w:tc>
          <w:tcPr>
            <w:tcW w:type="dxa" w:w="165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6"/>
                <w:szCs w:val="16"/>
              </w:rPr>
              <w:t xml:space="preserve">Out of scope</w:t>
            </w:r>
          </w:p>
        </w:tc>
        <w:tc>
          <w:tcPr>
            <w:tcW w:type="dxa" w:w="360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6"/>
                <w:szCs w:val="16"/>
              </w:rPr>
              <w:t xml:space="preserve">Partner-internal systems; clinical validation of the model</w:t>
            </w:r>
          </w:p>
        </w:tc>
      </w:tr>
    </w:tbl>
    <w:p>
      <w:pPr>
        <w:pStyle w:val="Heading2"/>
        <w:keepNext/>
        <w:spacing w:after="40" w:before="90"/>
      </w:pPr>
      <w:r>
        <w:rPr>
          <w:rFonts w:ascii="Calibri" w:cs="Calibri" w:eastAsia="Calibri" w:hAnsi="Calibri"/>
          <w:b/>
          <w:bCs/>
          <w:color w:val="0F6CBD"/>
          <w:sz w:val="20"/>
          <w:szCs w:val="20"/>
        </w:rPr>
        <w:t xml:space="preserve">Executive summary</w:t>
      </w:r>
    </w:p>
    <w:p>
      <w:pPr>
        <w:spacing w:after="60" w:before="0" w:line="236"/>
        <w:jc w:val="left"/>
      </w:pPr>
      <w:r>
        <w:rPr>
          <w:rFonts w:ascii="Calibri" w:cs="Calibri" w:eastAsia="Calibri" w:hAnsi="Calibri"/>
          <w:color w:val="1F2937"/>
          <w:sz w:val="18"/>
          <w:szCs w:val="18"/>
        </w:rPr>
        <w:t xml:space="preserve">CareSignal receives about </w:t>
      </w:r>
      <w:r>
        <w:rPr>
          <w:rFonts w:ascii="Calibri" w:cs="Calibri" w:eastAsia="Calibri" w:hAnsi="Calibri"/>
          <w:b/>
          <w:bCs/>
          <w:color w:val="1F2937"/>
          <w:sz w:val="18"/>
          <w:szCs w:val="18"/>
        </w:rPr>
        <w:t xml:space="preserve">1.85 million</w:t>
      </w:r>
      <w:r>
        <w:rPr>
          <w:rFonts w:ascii="Calibri" w:cs="Calibri" w:eastAsia="Calibri" w:hAnsi="Calibri"/>
          <w:color w:val="1F2937"/>
          <w:sz w:val="18"/>
          <w:szCs w:val="18"/>
        </w:rPr>
        <w:t xml:space="preserve"> synthetic ePHI-like messages and resources a day from three partner hospitals (HL7v2 over MLLP, FHIR R4 REST, nightly FHIR NDJSON) and stores them in the FHIR service in Azure Health Data Services for decision support that a clinician always reviews. This package specifies the target architecture and the operating model for a four-engineer on-call rotation; every control traces to a provided constraint (PC), an incident (INC) or a labelled assumption (A). It closes every gap in the current architecture: the ADF client secret goes; ADF, Log Analytics and the incident workflow leave public networks (one documented exception); the self-hosted IR becomes highly available; audit-log continuity is enforced by policy and a 20-minute freshness alert; every write is idempotent and every replay approval-gated. </w:t>
      </w:r>
      <w:r>
        <w:rPr>
          <w:rFonts w:ascii="Calibri" w:cs="Calibri" w:eastAsia="Calibri" w:hAnsi="Calibri"/>
          <w:b/>
          <w:bCs/>
          <w:color w:val="1F2937"/>
          <w:sz w:val="18"/>
          <w:szCs w:val="18"/>
        </w:rPr>
        <w:t xml:space="preserve">Ten remediation items (Table 14) and seven open questions (Table 1) must close before go-live.</w:t>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12"/>
      </w:tblGrid>
      <w:tr>
        <w:trPr>
          <w:cantSplit/>
        </w:trPr>
        <w:tc>
          <w:tcPr>
            <w:tcW w:type="dxa" w:w="10512"/>
            <w:tcBorders>
              <w:top w:val="single" w:color="BFC7D5" w:sz="4"/>
              <w:left w:val="single" w:color="1F3864" w:sz="24"/>
              <w:bottom w:val="single" w:color="BFC7D5" w:sz="4"/>
              <w:right w:val="single" w:color="BFC7D5" w:sz="4"/>
            </w:tcBorders>
            <w:shd w:fill="EEF4FB" w:color="auto" w:val="clear"/>
            <w:tcMar>
              <w:top w:type="dxa" w:w="60"/>
              <w:left w:type="dxa" w:w="120"/>
              <w:bottom w:type="dxa" w:w="40"/>
              <w:right w:type="dxa" w:w="100"/>
            </w:tcMar>
          </w:tcPr>
          <w:p>
            <w:pPr>
              <w:spacing w:after="30" w:before="0" w:line="240"/>
            </w:pPr>
            <w:r>
              <w:rPr>
                <w:rFonts w:ascii="Calibri" w:cs="Calibri" w:eastAsia="Calibri" w:hAnsi="Calibri"/>
                <w:b/>
                <w:bCs/>
                <w:color w:val="1F2937"/>
                <w:sz w:val="18"/>
                <w:szCs w:val="18"/>
              </w:rPr>
              <w:t xml:space="preserve">Design rationale.</w:t>
            </w:r>
            <w:r>
              <w:rPr>
                <w:rFonts w:ascii="Calibri" w:cs="Calibri" w:eastAsia="Calibri" w:hAnsi="Calibri"/>
                <w:color w:val="1F2937"/>
                <w:sz w:val="18"/>
                <w:szCs w:val="18"/>
              </w:rPr>
              <w:t xml:space="preserve"> I made every write into the FHIR service idempotent and every replay approval-gated: each resource gets a deterministic ID derived from the partner's business identifier, a partnerId:batchId ledger is checked before any retry, and every replay needs a recorded approval within that partner's limit. INC-2026-052 showed that retries which cannot tell a lost write from a failed one create duplicate clinical resources, and with only four engineers on call, automation has to be safe to re-run without anyone checking every record by hand.</w:t>
            </w:r>
          </w:p>
        </w:tc>
      </w:tr>
    </w:tbl>
    <w:p>
      <w:pPr>
        <w:pStyle w:val="Heading1"/>
        <w:keepNext/>
        <w:pBdr>
          <w:bottom w:val="single" w:color="1F3864" w:sz="6" w:space="2"/>
        </w:pBdr>
        <w:spacing w:after="70" w:before="120"/>
      </w:pPr>
      <w:r>
        <w:rPr>
          <w:rFonts w:ascii="Calibri" w:cs="Calibri" w:eastAsia="Calibri" w:hAnsi="Calibri"/>
          <w:b/>
          <w:bCs/>
          <w:color w:val="1F3864"/>
          <w:sz w:val="26"/>
          <w:szCs w:val="26"/>
        </w:rPr>
        <w:t xml:space="preserve">1  Architecture Overview</w:t>
      </w:r>
    </w:p>
    <w:p>
      <w:pPr>
        <w:pStyle w:val="Heading2"/>
        <w:keepNext/>
        <w:spacing w:after="40" w:before="90"/>
      </w:pPr>
      <w:r>
        <w:rPr>
          <w:rFonts w:ascii="Calibri" w:cs="Calibri" w:eastAsia="Calibri" w:hAnsi="Calibri"/>
          <w:b/>
          <w:bCs/>
          <w:color w:val="0F6CBD"/>
          <w:sz w:val="20"/>
          <w:szCs w:val="20"/>
        </w:rPr>
        <w:t xml:space="preserve">1.1  Target architecture in brief</w:t>
      </w:r>
    </w:p>
    <w:p>
      <w:pPr>
        <w:spacing w:after="60" w:before="0" w:line="236"/>
        <w:jc w:val="left"/>
      </w:pPr>
      <w:r>
        <w:rPr>
          <w:rFonts w:ascii="Calibri" w:cs="Calibri" w:eastAsia="Calibri" w:hAnsi="Calibri"/>
          <w:color w:val="1F2937"/>
          <w:sz w:val="18"/>
          <w:szCs w:val="18"/>
        </w:rPr>
        <w:t xml:space="preserve">Each partner keeps its stated interface (D-01). </w:t>
      </w:r>
      <w:r>
        <w:rPr>
          <w:rFonts w:ascii="Calibri" w:cs="Calibri" w:eastAsia="Calibri" w:hAnsi="Calibri"/>
          <w:b/>
          <w:bCs/>
          <w:color w:val="1F2937"/>
          <w:sz w:val="18"/>
          <w:szCs w:val="18"/>
        </w:rPr>
        <w:t xml:space="preserve">Northwind</w:t>
      </w:r>
      <w:r>
        <w:rPr>
          <w:rFonts w:ascii="Calibri" w:cs="Calibri" w:eastAsia="Calibri" w:hAnsi="Calibri"/>
          <w:color w:val="1F2937"/>
          <w:sz w:val="18"/>
          <w:szCs w:val="18"/>
        </w:rPr>
        <w:t xml:space="preserve"> (P-001): a private MLLP/TLS listener ACKs only after the message is committed to a zone-redundant Service Bus queue; Functions convert, validate and write it. </w:t>
      </w:r>
      <w:r>
        <w:rPr>
          <w:rFonts w:ascii="Calibri" w:cs="Calibri" w:eastAsia="Calibri" w:hAnsi="Calibri"/>
          <w:b/>
          <w:bCs/>
          <w:color w:val="1F2937"/>
          <w:sz w:val="18"/>
          <w:szCs w:val="18"/>
        </w:rPr>
        <w:t xml:space="preserve">Fabrikam</w:t>
      </w:r>
      <w:r>
        <w:rPr>
          <w:rFonts w:ascii="Calibri" w:cs="Calibri" w:eastAsia="Calibri" w:hAnsi="Calibri"/>
          <w:color w:val="1F2937"/>
          <w:sz w:val="18"/>
          <w:szCs w:val="18"/>
        </w:rPr>
        <w:t xml:space="preserve"> (P-002): an internal API Management gateway checks the partner token and rate-limits before the FHIR private endpoint. </w:t>
      </w:r>
      <w:r>
        <w:rPr>
          <w:rFonts w:ascii="Calibri" w:cs="Calibri" w:eastAsia="Calibri" w:hAnsi="Calibri"/>
          <w:b/>
          <w:bCs/>
          <w:color w:val="1F2937"/>
          <w:sz w:val="18"/>
          <w:szCs w:val="18"/>
        </w:rPr>
        <w:t xml:space="preserve">Litware</w:t>
      </w:r>
      <w:r>
        <w:rPr>
          <w:rFonts w:ascii="Calibri" w:cs="Calibri" w:eastAsia="Calibri" w:hAnsi="Calibri"/>
          <w:color w:val="1F2937"/>
          <w:sz w:val="18"/>
          <w:szCs w:val="18"/>
        </w:rPr>
        <w:t xml:space="preserve"> (P-003): a nightly NDJSON file lands in a write-only SFTP container; ADF validates and imports it. ADF also runs reconciliation, approved replays and contract tests, but stays off the real-time path because it cannot receive MLLP and its run model does not fit 120 msg/s within a 90–120 s budget (D-08). Six trust boundaries apply (Figure 1). </w:t>
      </w:r>
      <w:r>
        <w:rPr>
          <w:rFonts w:ascii="Calibri" w:cs="Calibri" w:eastAsia="Calibri" w:hAnsi="Calibri"/>
          <w:b/>
          <w:bCs/>
          <w:color w:val="1F2937"/>
          <w:sz w:val="18"/>
          <w:szCs w:val="18"/>
        </w:rPr>
        <w:t xml:space="preserve">Labels:</w:t>
      </w:r>
      <w:r>
        <w:rPr>
          <w:rFonts w:ascii="Calibri" w:cs="Calibri" w:eastAsia="Calibri" w:hAnsi="Calibri"/>
          <w:color w:val="1F2937"/>
          <w:sz w:val="18"/>
          <w:szCs w:val="18"/>
        </w:rPr>
        <w:t xml:space="preserve"> PC constraint, A assumption, OQ open question, D decision, EX exception, C component, H hop, AUT automation, REM remediation.</w:t>
      </w:r>
    </w:p>
    <w:p>
      <w:pPr>
        <w:pStyle w:val="Heading2"/>
        <w:keepNext/>
        <w:spacing w:after="40" w:before="90"/>
      </w:pPr>
      <w:r>
        <w:rPr>
          <w:rFonts w:ascii="Calibri" w:cs="Calibri" w:eastAsia="Calibri" w:hAnsi="Calibri"/>
          <w:b/>
          <w:bCs/>
          <w:color w:val="0F6CBD"/>
          <w:sz w:val="20"/>
          <w:szCs w:val="20"/>
        </w:rPr>
        <w:t xml:space="preserve">1.2  Scenario constraints, assumptions and open questions (M0)</w:t>
      </w:r>
    </w:p>
    <w:p>
      <w:pPr>
        <w:keepNext/>
        <w:spacing w:after="30" w:before="60"/>
      </w:pPr>
      <w:r>
        <w:rPr>
          <w:rFonts w:ascii="Calibri" w:cs="Calibri" w:eastAsia="Calibri" w:hAnsi="Calibri"/>
          <w:b/>
          <w:bCs/>
          <w:color w:val="1F3864"/>
          <w:sz w:val="16"/>
          <w:szCs w:val="16"/>
        </w:rPr>
        <w:t xml:space="preserve">Table 1. Constraint register. Provided constraints are scenario facts and are never overwritten by an assumption.</w:t>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2"/>
        <w:gridCol w:w="5400"/>
        <w:gridCol w:w="4320"/>
      </w:tblGrid>
      <w:tr>
        <w:trPr>
          <w:cantSplit/>
          <w:tblHeader/>
        </w:trPr>
        <w:tc>
          <w:tcPr>
            <w:tcW w:type="dxa" w:w="792"/>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ID</w:t>
            </w:r>
          </w:p>
        </w:tc>
        <w:tc>
          <w:tcPr>
            <w:tcW w:type="dxa" w:w="5400"/>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Statement (source)</w:t>
            </w:r>
          </w:p>
        </w:tc>
        <w:tc>
          <w:tcPr>
            <w:tcW w:type="dxa" w:w="4320"/>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Design consequence</w:t>
            </w:r>
          </w:p>
        </w:tc>
      </w:tr>
      <w:tr>
        <w:trPr>
          <w:cantSplit/>
          <w:tblHeader w:val="false"/>
        </w:trPr>
        <w:tc>
          <w:tcPr>
            <w:tcW w:type="dxa" w:w="79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PC-01</w:t>
            </w:r>
          </w:p>
        </w:tc>
        <w:tc>
          <w:tcPr>
            <w:tcW w:type="dxa" w:w="540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Decision support only; an authorized clinician reviews every output; no autonomous diagnosis or treatment action.</w:t>
            </w:r>
          </w:p>
        </w:tc>
        <w:tc>
          <w:tcPr>
            <w:tcW w:type="dxa" w:w="432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Analytics output is advisory; any automated clinical action is prohibited (AUT-12).</w:t>
            </w:r>
          </w:p>
        </w:tc>
      </w:tr>
      <w:tr>
        <w:trPr>
          <w:cantSplit/>
          <w:tblHeader w:val="false"/>
        </w:trPr>
        <w:tc>
          <w:tcPr>
            <w:tcW w:type="dxa" w:w="79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PC-02</w:t>
            </w:r>
          </w:p>
        </w:tc>
        <w:tc>
          <w:tcPr>
            <w:tcW w:type="dxa" w:w="540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Disable public network access where supported; document any exception.</w:t>
            </w:r>
          </w:p>
        </w:tc>
        <w:tc>
          <w:tcPr>
            <w:tcW w:type="dxa" w:w="432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Private endpoints plus Azure Policy deny; exceptions EX-01 to EX-07 (Table 7).</w:t>
            </w:r>
          </w:p>
        </w:tc>
      </w:tr>
      <w:tr>
        <w:trPr>
          <w:cantSplit/>
          <w:tblHeader w:val="false"/>
        </w:trPr>
        <w:tc>
          <w:tcPr>
            <w:tcW w:type="dxa" w:w="79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PC-03</w:t>
            </w:r>
          </w:p>
        </w:tc>
        <w:tc>
          <w:tcPr>
            <w:tcW w:type="dxa" w:w="540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Managed identities for Azure workloads; no client secrets; a service-principal exception requires review. (Overview, INC-2026-014)</w:t>
            </w:r>
          </w:p>
        </w:tc>
        <w:tc>
          <w:tcPr>
            <w:tcW w:type="dxa" w:w="432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ADF secret removed (REM-01); Fabrikam service principal reviewed as EX-06.</w:t>
            </w:r>
          </w:p>
        </w:tc>
      </w:tr>
      <w:tr>
        <w:trPr>
          <w:cantSplit/>
          <w:tblHeader w:val="false"/>
        </w:trPr>
        <w:tc>
          <w:tcPr>
            <w:tcW w:type="dxa" w:w="79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PC-04</w:t>
            </w:r>
          </w:p>
        </w:tc>
        <w:tc>
          <w:tcPr>
            <w:tcW w:type="dxa" w:w="540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FHIR service in Azure Health Data Services; do not use Azure API for FHIR.</w:t>
            </w:r>
          </w:p>
        </w:tc>
        <w:tc>
          <w:tcPr>
            <w:tcW w:type="dxa" w:w="432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All FHIR operations target C-06 (Azure API for FHIR retired 30 Sep 2026).</w:t>
            </w:r>
          </w:p>
        </w:tc>
      </w:tr>
      <w:tr>
        <w:trPr>
          <w:cantSplit/>
          <w:tblHeader w:val="false"/>
        </w:trPr>
        <w:tc>
          <w:tcPr>
            <w:tcW w:type="dxa" w:w="79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PC-05</w:t>
            </w:r>
          </w:p>
        </w:tc>
        <w:tc>
          <w:tcPr>
            <w:tcW w:type="dxa" w:w="540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No PHI, payloads, secrets or raw clinical values in logs; use correlation IDs and metadata. (Overview, Data Classification)</w:t>
            </w:r>
          </w:p>
        </w:tc>
        <w:tc>
          <w:tcPr>
            <w:tcW w:type="dxa" w:w="432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Allow-listed telemetry schema, payload-leak scan (KQL-10), restricted audit table (EX-07).</w:t>
            </w:r>
          </w:p>
        </w:tc>
      </w:tr>
      <w:tr>
        <w:trPr>
          <w:cantSplit/>
          <w:tblHeader w:val="false"/>
        </w:trPr>
        <w:tc>
          <w:tcPr>
            <w:tcW w:type="dxa" w:w="79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PC-06</w:t>
            </w:r>
          </w:p>
        </w:tc>
        <w:tc>
          <w:tcPr>
            <w:tcW w:type="dxa" w:w="540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FHIR and pipeline logs visible within 20 minutes; 15-minute checks. (SLO-03)</w:t>
            </w:r>
          </w:p>
        </w:tc>
        <w:tc>
          <w:tcPr>
            <w:tcW w:type="dxa" w:w="432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Freshness alert KQL-03 every 15 min; synthetic canary read every 5 min.</w:t>
            </w:r>
          </w:p>
        </w:tc>
      </w:tr>
      <w:tr>
        <w:trPr>
          <w:cantSplit/>
          <w:tblHeader w:val="false"/>
        </w:trPr>
        <w:tc>
          <w:tcPr>
            <w:tcW w:type="dxa" w:w="79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PC-07</w:t>
            </w:r>
          </w:p>
        </w:tc>
        <w:tc>
          <w:tcPr>
            <w:tcW w:type="dxa" w:w="540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≥99.5% accepted and reconciled records per 15 min; quarantined validation failures reported separately. (SLO-01)</w:t>
            </w:r>
          </w:p>
        </w:tc>
        <w:tc>
          <w:tcPr>
            <w:tcW w:type="dxa" w:w="432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Reconciliation pipeline every 15 min writes counts used by KQL-01.</w:t>
            </w:r>
          </w:p>
        </w:tc>
      </w:tr>
      <w:tr>
        <w:trPr>
          <w:cantSplit/>
          <w:tblHeader w:val="false"/>
        </w:trPr>
        <w:tc>
          <w:tcPr>
            <w:tcW w:type="dxa" w:w="79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PC-08</w:t>
            </w:r>
          </w:p>
        </w:tc>
        <w:tc>
          <w:tcPr>
            <w:tcW w:type="dxa" w:w="540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P1: acknowledge within 10 min, contain within 30 min (organization target, not a HIPAA mandate).</w:t>
            </w:r>
          </w:p>
        </w:tc>
        <w:tc>
          <w:tcPr>
            <w:tcW w:type="dxa" w:w="432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Only P1 alerts page; escalation timers in Section 5.2.</w:t>
            </w:r>
          </w:p>
        </w:tc>
      </w:tr>
      <w:tr>
        <w:trPr>
          <w:cantSplit/>
          <w:tblHeader w:val="false"/>
        </w:trPr>
        <w:tc>
          <w:tcPr>
            <w:tcW w:type="dxa" w:w="79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PC-09</w:t>
            </w:r>
          </w:p>
        </w:tc>
        <w:tc>
          <w:tcPr>
            <w:tcW w:type="dxa" w:w="540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RTO 2 h; ingestion-queue RPO 15 min; quarterly test; analytics output can be regenerated.</w:t>
            </w:r>
          </w:p>
        </w:tc>
        <w:tc>
          <w:tcPr>
            <w:tcW w:type="dxa" w:w="432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ACK-after-commit, zone-redundant queue, queue-age alert at 10 min, quarterly DR test.</w:t>
            </w:r>
          </w:p>
        </w:tc>
      </w:tr>
      <w:tr>
        <w:trPr>
          <w:cantSplit/>
          <w:tblHeader w:val="false"/>
        </w:trPr>
        <w:tc>
          <w:tcPr>
            <w:tcW w:type="dxa" w:w="79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PC-10</w:t>
            </w:r>
          </w:p>
        </w:tc>
        <w:tc>
          <w:tcPr>
            <w:tcW w:type="dxa" w:w="540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P-001: 1.2M msg/day, 120 msg/s peak, 95% ≤2 min, replay 10,000/approval, custom Z-segment. P-002: 500k/day, 40 req/s, 95% ≤90 s, US Core, conditional update, replay 5,000/approval. P-003: 150k nightly from 01:00, done by 05:00, full-batch replay needs duty manager. (Partners)</w:t>
            </w:r>
          </w:p>
        </w:tc>
        <w:tc>
          <w:tcPr>
            <w:tcW w:type="dxa" w:w="432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One path per partner (D-01); per-partner thresholds and replay limits (Sections 5–7).</w:t>
            </w:r>
          </w:p>
        </w:tc>
      </w:tr>
      <w:tr>
        <w:trPr>
          <w:cantSplit/>
          <w:tblHeader w:val="false"/>
        </w:trPr>
        <w:tc>
          <w:tcPr>
            <w:tcW w:type="dxa" w:w="79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PC-11</w:t>
            </w:r>
          </w:p>
        </w:tc>
        <w:tc>
          <w:tcPr>
            <w:tcW w:type="dxa" w:w="540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Four platform/integration engineers on a 24x7 rotation; Security Operations (3) 24x7 escalation; Privacy Officer (1) and Clinical Operations (2) in business hours plus P1. (Team &amp; Escalation)</w:t>
            </w:r>
          </w:p>
        </w:tc>
        <w:tc>
          <w:tcPr>
            <w:tcW w:type="dxa" w:w="432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At most eight alert rules can page; runbooks stay inside each role's approval rights.</w:t>
            </w:r>
          </w:p>
        </w:tc>
      </w:tr>
      <w:tr>
        <w:trPr>
          <w:cantSplit/>
          <w:tblHeader w:val="false"/>
        </w:trPr>
        <w:tc>
          <w:tcPr>
            <w:tcW w:type="dxa" w:w="79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PC-12</w:t>
            </w:r>
          </w:p>
        </w:tc>
        <w:tc>
          <w:tcPr>
            <w:tcW w:type="dxa" w:w="540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No universal log-retention period is supplied; it is organization-defined. (Decisions Needed D-05)</w:t>
            </w:r>
          </w:p>
        </w:tc>
        <w:tc>
          <w:tcPr>
            <w:tcW w:type="dxa" w:w="432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Retention proposal D-05 awaits Privacy, Security and Legal approval.</w:t>
            </w:r>
          </w:p>
        </w:tc>
      </w:tr>
      <w:tr>
        <w:trPr>
          <w:cantSplit/>
          <w:tblHeader w:val="false"/>
        </w:trPr>
        <w:tc>
          <w:tcPr>
            <w:tcW w:type="dxa" w:w="79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PC-13</w:t>
            </w:r>
          </w:p>
        </w:tc>
        <w:tc>
          <w:tcPr>
            <w:tcW w:type="dxa" w:w="540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Four incidents: secret near miss, 47-min audit gap, Z-segment drift (2.4% failures), 1,200 replay duplicates. (Incident History)</w:t>
            </w:r>
          </w:p>
        </w:tc>
        <w:tc>
          <w:tcPr>
            <w:tcW w:type="dxa" w:w="432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Each incident maps to controls, alerts and a runbook (Appendix F).</w:t>
            </w:r>
          </w:p>
        </w:tc>
      </w:tr>
      <w:tr>
        <w:trPr>
          <w:cantSplit/>
          <w:tblHeader w:val="false"/>
        </w:trPr>
        <w:tc>
          <w:tcPr>
            <w:tcW w:type="dxa" w:w="79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A-01</w:t>
            </w:r>
          </w:p>
        </w:tc>
        <w:tc>
          <w:tcPr>
            <w:tcW w:type="dxa" w:w="540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Northwind's interface engine supports MLLP over TLS.</w:t>
            </w:r>
          </w:p>
        </w:tc>
        <w:tc>
          <w:tcPr>
            <w:tcW w:type="dxa" w:w="432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If not, the IPsec tunnel alone protects transit (compensating); see OQ-01.</w:t>
            </w:r>
          </w:p>
        </w:tc>
      </w:tr>
      <w:tr>
        <w:trPr>
          <w:cantSplit/>
          <w:tblHeader w:val="false"/>
        </w:trPr>
        <w:tc>
          <w:tcPr>
            <w:tcW w:type="dxa" w:w="79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A-02</w:t>
            </w:r>
          </w:p>
        </w:tc>
        <w:tc>
          <w:tcPr>
            <w:tcW w:type="dxa" w:w="540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"Duty manager" (P-003 replay rule) means the shift On-call Lead; the team table has no duty-manager role.</w:t>
            </w:r>
          </w:p>
        </w:tc>
        <w:tc>
          <w:tcPr>
            <w:tcW w:type="dxa" w:w="432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On-call Lead approves full-batch replay (AUT-06); see OQ-02.</w:t>
            </w:r>
          </w:p>
        </w:tc>
      </w:tr>
      <w:tr>
        <w:trPr>
          <w:cantSplit/>
          <w:tblHeader w:val="false"/>
        </w:trPr>
        <w:tc>
          <w:tcPr>
            <w:tcW w:type="dxa" w:w="79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A-03</w:t>
            </w:r>
          </w:p>
        </w:tc>
        <w:tc>
          <w:tcPr>
            <w:tcW w:type="dxa" w:w="540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Fabrikam can authenticate with an Entra app registration using a certificate or federated credential.</w:t>
            </w:r>
          </w:p>
        </w:tc>
        <w:tc>
          <w:tcPr>
            <w:tcW w:type="dxa" w:w="432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No partner client secret anywhere (EX-06).</w:t>
            </w:r>
          </w:p>
        </w:tc>
      </w:tr>
      <w:tr>
        <w:trPr>
          <w:cantSplit/>
          <w:tblHeader w:val="false"/>
        </w:trPr>
        <w:tc>
          <w:tcPr>
            <w:tcW w:type="dxa" w:w="79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A-04</w:t>
            </w:r>
          </w:p>
        </w:tc>
        <w:tc>
          <w:tcPr>
            <w:tcW w:type="dxa" w:w="540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Litware reaches the SFTP landing zone over an approved private path.</w:t>
            </w:r>
          </w:p>
        </w:tc>
        <w:tc>
          <w:tcPr>
            <w:tcW w:type="dxa" w:w="432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If not, an IP-restricted endpoint becomes a new exception; see OQ-03.</w:t>
            </w:r>
          </w:p>
        </w:tc>
      </w:tr>
      <w:tr>
        <w:trPr>
          <w:cantSplit/>
          <w:tblHeader w:val="false"/>
        </w:trPr>
        <w:tc>
          <w:tcPr>
            <w:tcW w:type="dxa" w:w="79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A-05</w:t>
            </w:r>
          </w:p>
        </w:tc>
        <w:tc>
          <w:tcPr>
            <w:tcW w:type="dxa" w:w="540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Diagnostic settings write resource-specific tables (MicrosoftHealthcareApisAuditLogs, ADFPipelineRun, ADFActivityRun).</w:t>
            </w:r>
          </w:p>
        </w:tc>
        <w:tc>
          <w:tcPr>
            <w:tcW w:type="dxa" w:w="432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KQL uses these names; AzureDiagnostics mode would need rewrites.</w:t>
            </w:r>
          </w:p>
        </w:tc>
      </w:tr>
      <w:tr>
        <w:trPr>
          <w:cantSplit/>
          <w:tblHeader w:val="false"/>
        </w:trPr>
        <w:tc>
          <w:tcPr>
            <w:tcW w:type="dxa" w:w="79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A-06</w:t>
            </w:r>
          </w:p>
        </w:tc>
        <w:tc>
          <w:tcPr>
            <w:tcW w:type="dxa" w:w="540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Pipeline telemetry is written to DCR-based custom tables IngestLedger_CL and AutomationAudit_CL (no type suffixes).</w:t>
            </w:r>
          </w:p>
        </w:tc>
        <w:tc>
          <w:tcPr>
            <w:tcW w:type="dxa" w:w="432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Schema in Appendix A; metadata only.</w:t>
            </w:r>
          </w:p>
        </w:tc>
      </w:tr>
      <w:tr>
        <w:trPr>
          <w:cantSplit/>
          <w:tblHeader w:val="false"/>
        </w:trPr>
        <w:tc>
          <w:tcPr>
            <w:tcW w:type="dxa" w:w="79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A-07</w:t>
            </w:r>
          </w:p>
        </w:tc>
        <w:tc>
          <w:tcPr>
            <w:tcW w:type="dxa" w:w="540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Microsoft's BAA covers every in-scope service; Contoso holds a BAA with each partner hospital.</w:t>
            </w:r>
          </w:p>
        </w:tc>
        <w:tc>
          <w:tcPr>
            <w:tcW w:type="dxa" w:w="432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Go-live gate; see OQ-04.</w:t>
            </w:r>
          </w:p>
        </w:tc>
      </w:tr>
      <w:tr>
        <w:trPr>
          <w:cantSplit/>
          <w:tblHeader w:val="false"/>
        </w:trPr>
        <w:tc>
          <w:tcPr>
            <w:tcW w:type="dxa" w:w="79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A-08</w:t>
            </w:r>
          </w:p>
        </w:tc>
        <w:tc>
          <w:tcPr>
            <w:tcW w:type="dxa" w:w="540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Latency budgets in Section 6 are estimates until load test LT-01 at 1.5x peak (180 msg/s).</w:t>
            </w:r>
          </w:p>
        </w:tc>
        <w:tc>
          <w:tcPr>
            <w:tcW w:type="dxa" w:w="432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SLO-02 thresholds tuned after two weeks of baseline.</w:t>
            </w:r>
          </w:p>
        </w:tc>
      </w:tr>
      <w:tr>
        <w:trPr>
          <w:cantSplit/>
          <w:tblHeader w:val="false"/>
        </w:trPr>
        <w:tc>
          <w:tcPr>
            <w:tcW w:type="dxa" w:w="79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A-09</w:t>
            </w:r>
          </w:p>
        </w:tc>
        <w:tc>
          <w:tcPr>
            <w:tcW w:type="dxa" w:w="540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Litware "01:00 local" is US Eastern time.</w:t>
            </w:r>
          </w:p>
        </w:tc>
        <w:tc>
          <w:tcPr>
            <w:tcW w:type="dxa" w:w="432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Batch alerts use America/New_York (KQL-06b).</w:t>
            </w:r>
          </w:p>
        </w:tc>
      </w:tr>
      <w:tr>
        <w:trPr>
          <w:cantSplit/>
          <w:tblHeader w:val="false"/>
        </w:trPr>
        <w:tc>
          <w:tcPr>
            <w:tcW w:type="dxa" w:w="79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OQ-01</w:t>
            </w:r>
          </w:p>
        </w:tc>
        <w:tc>
          <w:tcPr>
            <w:tcW w:type="dxa" w:w="540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MLLP/TLS and mutual TLS support at Northwind? (P-001 contact)</w:t>
            </w:r>
          </w:p>
        </w:tc>
        <w:tc>
          <w:tcPr>
            <w:tcW w:type="dxa" w:w="432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Due before P-001 production onboarding.</w:t>
            </w:r>
          </w:p>
        </w:tc>
      </w:tr>
      <w:tr>
        <w:trPr>
          <w:cantSplit/>
          <w:tblHeader w:val="false"/>
        </w:trPr>
        <w:tc>
          <w:tcPr>
            <w:tcW w:type="dxa" w:w="79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OQ-02</w:t>
            </w:r>
          </w:p>
        </w:tc>
        <w:tc>
          <w:tcPr>
            <w:tcW w:type="dxa" w:w="540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Who is the duty manager for Litware full-batch replay? (Engineering Manager)</w:t>
            </w:r>
          </w:p>
        </w:tc>
        <w:tc>
          <w:tcPr>
            <w:tcW w:type="dxa" w:w="432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Due before first P-003 replay.</w:t>
            </w:r>
          </w:p>
        </w:tc>
      </w:tr>
      <w:tr>
        <w:trPr>
          <w:cantSplit/>
          <w:tblHeader w:val="false"/>
        </w:trPr>
        <w:tc>
          <w:tcPr>
            <w:tcW w:type="dxa" w:w="79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OQ-03</w:t>
            </w:r>
          </w:p>
        </w:tc>
        <w:tc>
          <w:tcPr>
            <w:tcW w:type="dxa" w:w="540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Which private path does Litware use? (P-003 contact, Network Security)</w:t>
            </w:r>
          </w:p>
        </w:tc>
        <w:tc>
          <w:tcPr>
            <w:tcW w:type="dxa" w:w="432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Due before P-003 onboarding.</w:t>
            </w:r>
          </w:p>
        </w:tc>
      </w:tr>
      <w:tr>
        <w:trPr>
          <w:cantSplit/>
          <w:tblHeader w:val="false"/>
        </w:trPr>
        <w:tc>
          <w:tcPr>
            <w:tcW w:type="dxa" w:w="79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OQ-04</w:t>
            </w:r>
          </w:p>
        </w:tc>
        <w:tc>
          <w:tcPr>
            <w:tcW w:type="dxa" w:w="540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Do the BAAs cover holding and replaying quarantined payloads? (Privacy, Legal)</w:t>
            </w:r>
          </w:p>
        </w:tc>
        <w:tc>
          <w:tcPr>
            <w:tcW w:type="dxa" w:w="432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Go-live gate.</w:t>
            </w:r>
          </w:p>
        </w:tc>
      </w:tr>
      <w:tr>
        <w:trPr>
          <w:cantSplit/>
          <w:tblHeader w:val="false"/>
        </w:trPr>
        <w:tc>
          <w:tcPr>
            <w:tcW w:type="dxa" w:w="79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OQ-05</w:t>
            </w:r>
          </w:p>
        </w:tc>
        <w:tc>
          <w:tcPr>
            <w:tcW w:type="dxa" w:w="540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Approval of D-05 retention periods (Privacy, Security, Legal)</w:t>
            </w:r>
          </w:p>
        </w:tc>
        <w:tc>
          <w:tcPr>
            <w:tcW w:type="dxa" w:w="432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Within 30 days (REM-08).</w:t>
            </w:r>
          </w:p>
        </w:tc>
      </w:tr>
      <w:tr>
        <w:trPr>
          <w:cantSplit/>
          <w:tblHeader w:val="false"/>
        </w:trPr>
        <w:tc>
          <w:tcPr>
            <w:tcW w:type="dxa" w:w="79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OQ-06</w:t>
            </w:r>
          </w:p>
        </w:tc>
        <w:tc>
          <w:tcPr>
            <w:tcW w:type="dxa" w:w="540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Z-segment change notice period; proposed 10 business days with samples (Integration Eng, P-001)</w:t>
            </w:r>
          </w:p>
        </w:tc>
        <w:tc>
          <w:tcPr>
            <w:tcW w:type="dxa" w:w="432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Feeds D-02.</w:t>
            </w:r>
          </w:p>
        </w:tc>
      </w:tr>
      <w:tr>
        <w:trPr>
          <w:cantSplit/>
          <w:tblHeader w:val="false"/>
        </w:trPr>
        <w:tc>
          <w:tcPr>
            <w:tcW w:type="dxa" w:w="79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OQ-07</w:t>
            </w:r>
          </w:p>
        </w:tc>
        <w:tc>
          <w:tcPr>
            <w:tcW w:type="dxa" w:w="540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Regional DR region; is Service Bus geo-replication approved? (Platform Eng)</w:t>
            </w:r>
          </w:p>
        </w:tc>
        <w:tc>
          <w:tcPr>
            <w:tcW w:type="dxa" w:w="432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Feeds quarterly DR test.</w:t>
            </w:r>
          </w:p>
        </w:tc>
      </w:tr>
    </w:tbl>
    <w:p>
      <w:pPr>
        <w:pStyle w:val="Heading2"/>
        <w:keepNext/>
        <w:spacing w:after="40" w:before="90"/>
      </w:pPr>
      <w:r>
        <w:rPr>
          <w:rFonts w:ascii="Calibri" w:cs="Calibri" w:eastAsia="Calibri" w:hAnsi="Calibri"/>
          <w:b/>
          <w:bCs/>
          <w:color w:val="0F6CBD"/>
          <w:sz w:val="20"/>
          <w:szCs w:val="20"/>
        </w:rPr>
        <w:t xml:space="preserve">1.3  Decision record</w:t>
      </w:r>
    </w:p>
    <w:p>
      <w:pPr>
        <w:keepNext/>
        <w:spacing w:after="30" w:before="60"/>
      </w:pPr>
      <w:r>
        <w:rPr>
          <w:rFonts w:ascii="Calibri" w:cs="Calibri" w:eastAsia="Calibri" w:hAnsi="Calibri"/>
          <w:b/>
          <w:bCs/>
          <w:color w:val="1F3864"/>
          <w:sz w:val="16"/>
          <w:szCs w:val="16"/>
        </w:rPr>
        <w:t xml:space="preserve">Table 2. Decisions D-01 to D-05 from the scenario, plus three design decisions (D-06 to D-08).</w:t>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1"/>
        <w:gridCol w:w="4956"/>
        <w:gridCol w:w="3304"/>
        <w:gridCol w:w="1501"/>
      </w:tblGrid>
      <w:tr>
        <w:trPr>
          <w:cantSplit/>
          <w:tblHeader/>
        </w:trPr>
        <w:tc>
          <w:tcPr>
            <w:tcW w:type="dxa" w:w="751"/>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ID</w:t>
            </w:r>
          </w:p>
        </w:tc>
        <w:tc>
          <w:tcPr>
            <w:tcW w:type="dxa" w:w="4956"/>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Decision (options rejected)</w:t>
            </w:r>
          </w:p>
        </w:tc>
        <w:tc>
          <w:tcPr>
            <w:tcW w:type="dxa" w:w="3304"/>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Rationale and trade-off</w:t>
            </w:r>
          </w:p>
        </w:tc>
        <w:tc>
          <w:tcPr>
            <w:tcW w:type="dxa" w:w="1501"/>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Approver; evidence</w:t>
            </w:r>
          </w:p>
        </w:tc>
      </w:tr>
      <w:tr>
        <w:trPr>
          <w:cantSplit/>
          <w:tblHeader w:val="false"/>
        </w:trPr>
        <w:tc>
          <w:tcPr>
            <w:tcW w:type="dxa" w:w="75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D-01</w:t>
            </w:r>
          </w:p>
        </w:tc>
        <w:tc>
          <w:tcPr>
            <w:tcW w:type="dxa" w:w="495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Connectivity per partner.</w:t>
            </w:r>
            <w:r>
              <w:rPr>
                <w:rFonts w:ascii="Calibri" w:cs="Calibri" w:eastAsia="Calibri" w:hAnsi="Calibri"/>
                <w:b w:val="false"/>
                <w:bCs w:val="false"/>
                <w:color w:val="1F2937"/>
                <w:sz w:val="14"/>
                <w:szCs w:val="14"/>
              </w:rPr>
              <w:t xml:space="preserve"> P-001: justified hybrid, S2S VPN to an internal MLLP/TLS listener for real time; the self-hosted IR (rebuilt as two nodes) only for re-exports. P-002: private path to internal API Management, then the FHIR private endpoint. P-003: managed VNet and private endpoints; write-only SFTP landing. Rejected: SHIR micro-batch for P-001.</w:t>
            </w:r>
          </w:p>
        </w:tc>
        <w:tc>
          <w:tcPr>
            <w:tcW w:type="dxa" w:w="330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Keeps each partner's stated interface (PC-10) and meets the 120 s and 90 s targets. Cost: two new components for on-call to run.</w:t>
            </w:r>
          </w:p>
        </w:tc>
        <w:tc>
          <w:tcPr>
            <w:tcW w:type="dxa" w:w="150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Platform + Security; DNS and public-deny tests</w:t>
            </w:r>
          </w:p>
        </w:tc>
      </w:tr>
      <w:tr>
        <w:trPr>
          <w:cantSplit/>
          <w:tblHeader w:val="false"/>
        </w:trPr>
        <w:tc>
          <w:tcPr>
            <w:tcW w:type="dxa" w:w="75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D-02</w:t>
            </w:r>
          </w:p>
        </w:tc>
        <w:tc>
          <w:tcPr>
            <w:tcW w:type="dxa" w:w="495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Template governance.</w:t>
            </w:r>
            <w:r>
              <w:rPr>
                <w:rFonts w:ascii="Calibri" w:cs="Calibri" w:eastAsia="Calibri" w:hAnsi="Calibri"/>
                <w:b w:val="false"/>
                <w:bCs w:val="false"/>
                <w:color w:val="1F2937"/>
                <w:sz w:val="14"/>
                <w:szCs w:val="14"/>
              </w:rPr>
              <w:t xml:space="preserve"> Custom Liquid templates in Container Registry, referenced by immutable digest, one per Z-segment version; CI contract test on golden synthetic messages; unknown version → quarantine; rollback = previous digest. Rejected: mutable tags.</w:t>
            </w:r>
          </w:p>
        </w:tc>
        <w:tc>
          <w:tcPr>
            <w:tcW w:type="dxa" w:w="330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INC-2026-041 (2.4% failures from an unannounced change). Cost: partner notice period (OQ-06).</w:t>
            </w:r>
          </w:p>
        </w:tc>
        <w:tc>
          <w:tcPr>
            <w:tcW w:type="dxa" w:w="150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Integration Eng; contract-test report</w:t>
            </w:r>
          </w:p>
        </w:tc>
      </w:tr>
      <w:tr>
        <w:trPr>
          <w:cantSplit/>
          <w:tblHeader w:val="false"/>
        </w:trPr>
        <w:tc>
          <w:tcPr>
            <w:tcW w:type="dxa" w:w="75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D-03</w:t>
            </w:r>
          </w:p>
        </w:tc>
        <w:tc>
          <w:tcPr>
            <w:tcW w:type="dxa" w:w="495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Idempotency (composite).</w:t>
            </w:r>
            <w:r>
              <w:rPr>
                <w:rFonts w:ascii="Calibri" w:cs="Calibri" w:eastAsia="Calibri" w:hAnsi="Calibri"/>
                <w:b w:val="false"/>
                <w:bCs w:val="false"/>
                <w:color w:val="1F2937"/>
                <w:sz w:val="14"/>
                <w:szCs w:val="14"/>
              </w:rPr>
              <w:t xml:space="preserve"> Deterministic IDs = hash(partnerId|resourceType|identifier), so writes are PUT upserts; Fabrikam conditional update; partnerId:batchId ledger read before any retry; Service Bus duplicate detection; post-replay duplicate check = 0. Rejected: ledger alone; identifier alone (collides across partners).</w:t>
            </w:r>
          </w:p>
        </w:tc>
        <w:tc>
          <w:tcPr>
            <w:tcW w:type="dxa" w:w="330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INC-2026-052 (1,200 duplicates). A replay adds a version, never a second resource. Cost: longer version history.</w:t>
            </w:r>
          </w:p>
        </w:tc>
        <w:tc>
          <w:tcPr>
            <w:tcW w:type="dxa" w:w="150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Integration + Data Gov; replay test, KQL-08</w:t>
            </w:r>
          </w:p>
        </w:tc>
      </w:tr>
      <w:tr>
        <w:trPr>
          <w:cantSplit/>
          <w:tblHeader w:val="false"/>
        </w:trPr>
        <w:tc>
          <w:tcPr>
            <w:tcW w:type="dxa" w:w="75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D-04</w:t>
            </w:r>
          </w:p>
        </w:tc>
        <w:tc>
          <w:tcPr>
            <w:tcW w:type="dxa" w:w="495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Approval gates.</w:t>
            </w:r>
            <w:r>
              <w:rPr>
                <w:rFonts w:ascii="Calibri" w:cs="Calibri" w:eastAsia="Calibri" w:hAnsi="Calibri"/>
                <w:b w:val="false"/>
                <w:bCs w:val="false"/>
                <w:color w:val="1F2937"/>
                <w:sz w:val="14"/>
                <w:szCs w:val="14"/>
              </w:rPr>
              <w:t xml:space="preserve"> Automatic: incidents, quarantine, scale-out, pause ≤30 min. Approval-gated: every replay, pause &gt;30 min, disabling a partner identity. Manual: human access revocation, isolation, delete, retention change. Prohibited: clinical action.</w:t>
            </w:r>
          </w:p>
        </w:tc>
        <w:tc>
          <w:tcPr>
            <w:tcW w:type="dxa" w:w="330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Routine work automated for a four-person rotation; volume-changing actions need a human (Table 12).</w:t>
            </w:r>
          </w:p>
        </w:tc>
        <w:tc>
          <w:tcPr>
            <w:tcW w:type="dxa" w:w="150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On-call Lead + Security/Privacy; Table 12</w:t>
            </w:r>
          </w:p>
        </w:tc>
      </w:tr>
      <w:tr>
        <w:trPr>
          <w:cantSplit/>
          <w:tblHeader w:val="false"/>
        </w:trPr>
        <w:tc>
          <w:tcPr>
            <w:tcW w:type="dxa" w:w="75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D-05</w:t>
            </w:r>
          </w:p>
        </w:tc>
        <w:tc>
          <w:tcPr>
            <w:tcW w:type="dxa" w:w="495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Retention (proposed).</w:t>
            </w:r>
            <w:r>
              <w:rPr>
                <w:rFonts w:ascii="Calibri" w:cs="Calibri" w:eastAsia="Calibri" w:hAnsi="Calibri"/>
                <w:b w:val="false"/>
                <w:bCs w:val="false"/>
                <w:color w:val="1F2937"/>
                <w:sz w:val="14"/>
                <w:szCs w:val="14"/>
              </w:rPr>
              <w:t xml:space="preserve"> Audit and automation evidence 6 years (90 days interactive + long-term retention + daily immutable export); quarantine payloads 30 days after resolution, then manual disposal; metrics 90 days (Table 4b).</w:t>
            </w:r>
          </w:p>
        </w:tc>
        <w:tc>
          <w:tcPr>
            <w:tcW w:type="dxa" w:w="330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HIPAA keeps required documentation 6 years (164.316(b)(2)(i)) but sets no log period; 6 years is an organizational choice.</w:t>
            </w:r>
          </w:p>
        </w:tc>
        <w:tc>
          <w:tcPr>
            <w:tcW w:type="dxa" w:w="150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Privacy + Security + Legal (OQ-05)</w:t>
            </w:r>
          </w:p>
        </w:tc>
      </w:tr>
      <w:tr>
        <w:trPr>
          <w:cantSplit/>
          <w:tblHeader w:val="false"/>
        </w:trPr>
        <w:tc>
          <w:tcPr>
            <w:tcW w:type="dxa" w:w="75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D-06</w:t>
            </w:r>
          </w:p>
        </w:tc>
        <w:tc>
          <w:tcPr>
            <w:tcW w:type="dxa" w:w="495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Keys.</w:t>
            </w:r>
            <w:r>
              <w:rPr>
                <w:rFonts w:ascii="Calibri" w:cs="Calibri" w:eastAsia="Calibri" w:hAnsi="Calibri"/>
                <w:b w:val="false"/>
                <w:bCs w:val="false"/>
                <w:color w:val="1F2937"/>
                <w:sz w:val="14"/>
                <w:szCs w:val="14"/>
              </w:rPr>
              <w:t xml:space="preserve"> Platform-managed AES-256 at rest; customer-managed keys deferred.</w:t>
            </w:r>
          </w:p>
        </w:tc>
        <w:tc>
          <w:tcPr>
            <w:tcW w:type="dxa" w:w="330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A lost or mis-rotated CMK stops ingestion; revisit if a contract requires it.</w:t>
            </w:r>
          </w:p>
        </w:tc>
        <w:tc>
          <w:tcPr>
            <w:tcW w:type="dxa" w:w="150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Platform Security</w:t>
            </w:r>
          </w:p>
        </w:tc>
      </w:tr>
      <w:tr>
        <w:trPr>
          <w:cantSplit/>
          <w:tblHeader w:val="false"/>
        </w:trPr>
        <w:tc>
          <w:tcPr>
            <w:tcW w:type="dxa" w:w="75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D-07</w:t>
            </w:r>
          </w:p>
        </w:tc>
        <w:tc>
          <w:tcPr>
            <w:tcW w:type="dxa" w:w="495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Monitoring network.</w:t>
            </w:r>
            <w:r>
              <w:rPr>
                <w:rFonts w:ascii="Calibri" w:cs="Calibri" w:eastAsia="Calibri" w:hAnsi="Calibri"/>
                <w:b w:val="false"/>
                <w:bCs w:val="false"/>
                <w:color w:val="1F2937"/>
                <w:sz w:val="14"/>
                <w:szCs w:val="14"/>
              </w:rPr>
              <w:t xml:space="preserve"> Azure Monitor Private Link Scope, private-only.</w:t>
            </w:r>
          </w:p>
        </w:tc>
        <w:tc>
          <w:tcPr>
            <w:tcW w:type="dxa" w:w="330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Closes C-08; AMPLS changes Azure Monitor DNS VNet-wide, so it ships as its own change.</w:t>
            </w:r>
          </w:p>
        </w:tc>
        <w:tc>
          <w:tcPr>
            <w:tcW w:type="dxa" w:w="150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Platform + Security</w:t>
            </w:r>
          </w:p>
        </w:tc>
      </w:tr>
      <w:tr>
        <w:trPr>
          <w:cantSplit/>
          <w:tblHeader w:val="false"/>
        </w:trPr>
        <w:tc>
          <w:tcPr>
            <w:tcW w:type="dxa" w:w="75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D-08</w:t>
            </w:r>
          </w:p>
        </w:tc>
        <w:tc>
          <w:tcPr>
            <w:tcW w:type="dxa" w:w="495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Engine choice.</w:t>
            </w:r>
            <w:r>
              <w:rPr>
                <w:rFonts w:ascii="Calibri" w:cs="Calibri" w:eastAsia="Calibri" w:hAnsi="Calibri"/>
                <w:b w:val="false"/>
                <w:bCs w:val="false"/>
                <w:color w:val="1F2937"/>
                <w:sz w:val="14"/>
                <w:szCs w:val="14"/>
              </w:rPr>
              <w:t xml:space="preserve"> Event path (Service Bus + Functions) for P-001; synchronous API for P-002; ADF for P-003 batch, reconciliation, replay, contract tests.</w:t>
            </w:r>
          </w:p>
        </w:tc>
        <w:tc>
          <w:tcPr>
            <w:tcW w:type="dxa" w:w="330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Per-message calls at 120 msg/s do not fit ADF runs; micro-batching gives up the latency target.</w:t>
            </w:r>
          </w:p>
        </w:tc>
        <w:tc>
          <w:tcPr>
            <w:tcW w:type="dxa" w:w="150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Integration Eng; load test LT-01</w:t>
            </w:r>
          </w:p>
        </w:tc>
      </w:tr>
    </w:tbl>
    <w:p>
      <w:pPr>
        <w:sectPr>
          <w:headerReference w:type="default" r:id="rId7"/>
          <w:footerReference w:type="default" r:id="rId8"/>
          <w:pgSz w:w="12240" w:h="15840" w:orient="portrait"/>
          <w:pgMar w:top="880" w:right="864" w:bottom="800" w:left="864" w:header="400" w:footer="380" w:gutter="0"/>
          <w:pgNumType/>
          <w:docGrid w:linePitch="360"/>
        </w:sectPr>
      </w:pPr>
    </w:p>
    <w:p>
      <w:pPr>
        <w:keepNext/>
        <w:spacing w:after="20" w:before="40"/>
        <w:jc w:val="center"/>
      </w:pPr>
      <w:r>
        <w:drawing>
          <wp:inline distT="0" distB="0" distL="0" distR="0">
            <wp:extent cx="8867775" cy="573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867775" cy="5734050"/>
                    </a:xfrm>
                    <a:prstGeom prst="rect">
                      <a:avLst/>
                    </a:prstGeom>
                  </pic:spPr>
                </pic:pic>
              </a:graphicData>
            </a:graphic>
          </wp:inline>
        </w:drawing>
      </w:r>
    </w:p>
    <w:p>
      <w:pPr>
        <w:spacing w:after="40" w:before="40"/>
      </w:pPr>
      <w:r>
        <w:rPr>
          <w:rFonts w:ascii="Calibri" w:cs="Calibri" w:eastAsia="Calibri" w:hAnsi="Calibri"/>
          <w:i w:val="false"/>
          <w:iCs w:val="false"/>
          <w:color w:val="4B5563"/>
          <w:sz w:val="16"/>
          <w:szCs w:val="16"/>
        </w:rPr>
        <w:t xml:space="preserve">Figure 1. Target security architecture (M1). Dashed orange outlines are trust boundaries TB-1 to TB-6. Badges show where managed identities (MI), Key Vault objects (KV), Azure RBAC assignments (RBAC) and private endpoints (PE) apply. Hop IDs H1–H13 match Figure 2 and Table 4.</w:t>
      </w:r>
    </w:p>
    <w:p>
      <w:pPr>
        <w:spacing w:after="0" w:before="0" w:line="236"/>
        <w:jc w:val="left"/>
      </w:pPr>
      <w:r>
        <w:rPr>
          <w:rFonts w:ascii="Calibri" w:cs="Calibri" w:eastAsia="Calibri" w:hAnsi="Calibri"/>
          <w:b/>
          <w:bCs/>
          <w:color w:val="1F2937"/>
          <w:sz w:val="17"/>
          <w:szCs w:val="17"/>
        </w:rPr>
        <w:t xml:space="preserve">Key Vault</w:t>
      </w:r>
      <w:r>
        <w:rPr>
          <w:rFonts w:ascii="Calibri" w:cs="Calibri" w:eastAsia="Calibri" w:hAnsi="Calibri"/>
          <w:color w:val="1F2937"/>
          <w:sz w:val="17"/>
          <w:szCs w:val="17"/>
        </w:rPr>
        <w:t xml:space="preserve"> holds only objects that cannot be eliminated: the MLLP listener and API Management TLS certificates, the self-hosted IR authentication key (EX-05) and the HMAC key that tokenises business identifiers in telemetry. </w:t>
      </w:r>
      <w:r>
        <w:rPr>
          <w:rFonts w:ascii="Calibri" w:cs="Calibri" w:eastAsia="Calibri" w:hAnsi="Calibri"/>
          <w:b/>
          <w:bCs/>
          <w:color w:val="1F2937"/>
          <w:sz w:val="17"/>
          <w:szCs w:val="17"/>
        </w:rPr>
        <w:t xml:space="preserve">No Azure workload reads a client secret</w:t>
      </w:r>
      <w:r>
        <w:rPr>
          <w:rFonts w:ascii="Calibri" w:cs="Calibri" w:eastAsia="Calibri" w:hAnsi="Calibri"/>
          <w:color w:val="1F2937"/>
          <w:sz w:val="17"/>
          <w:szCs w:val="17"/>
        </w:rPr>
        <w:t xml:space="preserve">; the only non-managed credentials are partner-held (Fabrikam certificate, Litware SSH key: EX-06, EX-03).</w:t>
      </w:r>
    </w:p>
    <w:p>
      <w:pPr>
        <w:sectPr>
          <w:headerReference w:type="default" r:id="rId9"/>
          <w:footerReference w:type="default" r:id="rId10"/>
          <w:pgSz w:w="15840" w:h="12240" w:orient="landscape"/>
          <w:pgMar w:top="780" w:right="864" w:bottom="720" w:left="864" w:header="360" w:footer="340" w:gutter="0"/>
          <w:pgNumType/>
          <w:docGrid w:linePitch="360"/>
        </w:sectPr>
      </w:pPr>
    </w:p>
    <w:p>
      <w:pPr>
        <w:keepNext/>
        <w:spacing w:after="30" w:before="60"/>
      </w:pPr>
      <w:r>
        <w:rPr>
          <w:rFonts w:ascii="Calibri" w:cs="Calibri" w:eastAsia="Calibri" w:hAnsi="Calibri"/>
          <w:b/>
          <w:bCs/>
          <w:color w:val="1F3864"/>
          <w:sz w:val="16"/>
          <w:szCs w:val="16"/>
        </w:rPr>
        <w:t xml:space="preserve">Table 3. Shared-responsibility matrix (from the template, completed for this scenario). A completed matrix documents ownership and gaps; it does not certify HIPAA compliance. Microsoft responsibilities are limited to documented platform capabilities and the scope of Microsoft's BAA (A-07).</w:t>
      </w:r>
    </w:p>
    <w:tbl>
      <w:tblPr>
        <w:tblW w:type="dxa" w:w="141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82"/>
        <w:gridCol w:w="1588"/>
        <w:gridCol w:w="1705"/>
        <w:gridCol w:w="2705"/>
        <w:gridCol w:w="1470"/>
        <w:gridCol w:w="1588"/>
        <w:gridCol w:w="2234"/>
        <w:gridCol w:w="1940"/>
      </w:tblGrid>
      <w:tr>
        <w:trPr>
          <w:cantSplit/>
          <w:tblHeader/>
        </w:trPr>
        <w:tc>
          <w:tcPr>
            <w:tcW w:type="dxa" w:w="882"/>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Control</w:t>
            </w:r>
          </w:p>
        </w:tc>
        <w:tc>
          <w:tcPr>
            <w:tcW w:type="dxa" w:w="1588"/>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Intent</w:t>
            </w:r>
          </w:p>
        </w:tc>
        <w:tc>
          <w:tcPr>
            <w:tcW w:type="dxa" w:w="1705"/>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Microsoft</w:t>
            </w:r>
          </w:p>
        </w:tc>
        <w:tc>
          <w:tcPr>
            <w:tcW w:type="dxa" w:w="2705"/>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Contoso (customer)</w:t>
            </w:r>
          </w:p>
        </w:tc>
        <w:tc>
          <w:tcPr>
            <w:tcW w:type="dxa" w:w="1470"/>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Partner</w:t>
            </w:r>
          </w:p>
        </w:tc>
        <w:tc>
          <w:tcPr>
            <w:tcW w:type="dxa" w:w="1588"/>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Accountable / operator</w:t>
            </w:r>
          </w:p>
        </w:tc>
        <w:tc>
          <w:tcPr>
            <w:tcW w:type="dxa" w:w="2234"/>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Evidence; test; cadence</w:t>
            </w:r>
          </w:p>
        </w:tc>
        <w:tc>
          <w:tcPr>
            <w:tcW w:type="dxa" w:w="1940"/>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Current state → target</w:t>
            </w:r>
          </w:p>
        </w:tc>
      </w:tr>
      <w:tr>
        <w:trPr>
          <w:cantSplit/>
          <w:tblHeader w:val="false"/>
        </w:trPr>
        <w:tc>
          <w:tcPr>
            <w:tcW w:type="dxa" w:w="88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CTRL-001 Identity</w:t>
            </w:r>
          </w:p>
        </w:tc>
        <w:tc>
          <w:tcPr>
            <w:tcW w:type="dxa" w:w="158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Workloads authenticate without stored secrets</w:t>
            </w:r>
          </w:p>
        </w:tc>
        <w:tc>
          <w:tcPr>
            <w:tcW w:type="dxa" w:w="170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Entra ID and managed identity platform</w:t>
            </w:r>
          </w:p>
        </w:tc>
        <w:tc>
          <w:tcPr>
            <w:tcW w:type="dxa" w:w="270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MI on every workload; least-privilege RBAC (Table 5); secret scanning with push protection; SP exceptions reviewed</w:t>
            </w:r>
          </w:p>
        </w:tc>
        <w:tc>
          <w:tcPr>
            <w:tcW w:type="dxa" w:w="147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Protect partner certificate and SSH key</w:t>
            </w:r>
          </w:p>
        </w:tc>
        <w:tc>
          <w:tcPr>
            <w:tcW w:type="dxa" w:w="158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Identity &amp; Security / Platform Eng</w:t>
            </w:r>
          </w:p>
        </w:tc>
        <w:tc>
          <w:tcPr>
            <w:tcW w:type="dxa" w:w="223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Role assignments, sign-in logs; token test + denied-permission test; quarterly</w:t>
            </w:r>
          </w:p>
        </w:tc>
        <w:tc>
          <w:tcPr>
            <w:tcW w:type="dxa" w:w="194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Gap:</w:t>
            </w:r>
            <w:r>
              <w:rPr>
                <w:rFonts w:ascii="Calibri" w:cs="Calibri" w:eastAsia="Calibri" w:hAnsi="Calibri"/>
                <w:b w:val="false"/>
                <w:bCs w:val="false"/>
                <w:color w:val="1F2937"/>
                <w:sz w:val="14"/>
                <w:szCs w:val="14"/>
              </w:rPr>
              <w:t xml:space="preserve"> ADF client secret (C-05, INC-2026-014) → REM-01</w:t>
            </w:r>
          </w:p>
        </w:tc>
      </w:tr>
      <w:tr>
        <w:trPr>
          <w:cantSplit/>
          <w:tblHeader w:val="false"/>
        </w:trPr>
        <w:tc>
          <w:tcPr>
            <w:tcW w:type="dxa" w:w="88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CTRL-002 Privileged access</w:t>
            </w:r>
          </w:p>
        </w:tc>
        <w:tc>
          <w:tcPr>
            <w:tcW w:type="dxa" w:w="158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Time-bound human elevation</w:t>
            </w:r>
          </w:p>
        </w:tc>
        <w:tc>
          <w:tcPr>
            <w:tcW w:type="dxa" w:w="170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Entra ID, RBAC, PIM</w:t>
            </w:r>
          </w:p>
        </w:tc>
        <w:tc>
          <w:tcPr>
            <w:tcW w:type="dxa" w:w="270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Groups, MFA via Conditional Access, PIM ≤4 h, quarterly access review, two break-glass accounts</w:t>
            </w:r>
          </w:p>
        </w:tc>
        <w:tc>
          <w:tcPr>
            <w:tcW w:type="dxa" w:w="147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Name contacts; report leavers within 1 business day</w:t>
            </w:r>
          </w:p>
        </w:tc>
        <w:tc>
          <w:tcPr>
            <w:tcW w:type="dxa" w:w="158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Identity &amp; Security / SecOps</w:t>
            </w:r>
          </w:p>
        </w:tc>
        <w:tc>
          <w:tcPr>
            <w:tcW w:type="dxa" w:w="223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PIM activations, access-review record; quarterly</w:t>
            </w:r>
          </w:p>
        </w:tc>
        <w:tc>
          <w:tcPr>
            <w:tcW w:type="dxa" w:w="194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Target design (Table 6)</w:t>
            </w:r>
          </w:p>
        </w:tc>
      </w:tr>
      <w:tr>
        <w:trPr>
          <w:cantSplit/>
          <w:tblHeader w:val="false"/>
        </w:trPr>
        <w:tc>
          <w:tcPr>
            <w:tcW w:type="dxa" w:w="88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CTRL-003 Keys</w:t>
            </w:r>
          </w:p>
        </w:tc>
        <w:tc>
          <w:tcPr>
            <w:tcW w:type="dxa" w:w="158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Protect non-eliminable keys and certs</w:t>
            </w:r>
          </w:p>
        </w:tc>
        <w:tc>
          <w:tcPr>
            <w:tcW w:type="dxa" w:w="170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Operates Key Vault service</w:t>
            </w:r>
          </w:p>
        </w:tc>
        <w:tc>
          <w:tcPr>
            <w:tcW w:type="dxa" w:w="270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RBAC model, private endpoint, soft delete + purge protection, object-scoped roles, rotate ≥30 days before expiry</w:t>
            </w:r>
          </w:p>
        </w:tc>
        <w:tc>
          <w:tcPr>
            <w:tcW w:type="dxa" w:w="147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Protect partner private keys</w:t>
            </w:r>
          </w:p>
        </w:tc>
        <w:tc>
          <w:tcPr>
            <w:tcW w:type="dxa" w:w="158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Platform Security / Platform Eng</w:t>
            </w:r>
          </w:p>
        </w:tc>
        <w:tc>
          <w:tcPr>
            <w:tcW w:type="dxa" w:w="223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Vault config, rotation record; recovery test; quarterly</w:t>
            </w:r>
          </w:p>
        </w:tc>
        <w:tc>
          <w:tcPr>
            <w:tcW w:type="dxa" w:w="194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New control</w:t>
            </w:r>
          </w:p>
        </w:tc>
      </w:tr>
      <w:tr>
        <w:trPr>
          <w:cantSplit/>
          <w:tblHeader w:val="false"/>
        </w:trPr>
        <w:tc>
          <w:tcPr>
            <w:tcW w:type="dxa" w:w="88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CTRL-004 Network</w:t>
            </w:r>
          </w:p>
        </w:tc>
        <w:tc>
          <w:tcPr>
            <w:tcW w:type="dxa" w:w="158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ePHI only on private paths</w:t>
            </w:r>
          </w:p>
        </w:tc>
        <w:tc>
          <w:tcPr>
            <w:tcW w:type="dxa" w:w="170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Private Link, VPN gateway features</w:t>
            </w:r>
          </w:p>
        </w:tc>
        <w:tc>
          <w:tcPr>
            <w:tcW w:type="dxa" w:w="270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Public access disabled (Policy deny); private DNS; exceptions in Table 7</w:t>
            </w:r>
          </w:p>
        </w:tc>
        <w:tc>
          <w:tcPr>
            <w:tcW w:type="dxa" w:w="147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Maintain VPN or private path and firewall</w:t>
            </w:r>
          </w:p>
        </w:tc>
        <w:tc>
          <w:tcPr>
            <w:tcW w:type="dxa" w:w="158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Network Security / Platform Eng</w:t>
            </w:r>
          </w:p>
        </w:tc>
        <w:tc>
          <w:tcPr>
            <w:tcW w:type="dxa" w:w="223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PE state, DNS and public-deny tests; quarterly + change</w:t>
            </w:r>
          </w:p>
        </w:tc>
        <w:tc>
          <w:tcPr>
            <w:tcW w:type="dxa" w:w="194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Gap:</w:t>
            </w:r>
            <w:r>
              <w:rPr>
                <w:rFonts w:ascii="Calibri" w:cs="Calibri" w:eastAsia="Calibri" w:hAnsi="Calibri"/>
                <w:b w:val="false"/>
                <w:bCs w:val="false"/>
                <w:color w:val="1F2937"/>
                <w:sz w:val="14"/>
                <w:szCs w:val="14"/>
              </w:rPr>
              <w:t xml:space="preserve"> ADF public (C-05); FHIR Private Link only planned (C-06); workspace (C-08); Logic App (C-09) → REM-02</w:t>
            </w:r>
          </w:p>
        </w:tc>
      </w:tr>
      <w:tr>
        <w:trPr>
          <w:cantSplit/>
          <w:tblHeader w:val="false"/>
        </w:trPr>
        <w:tc>
          <w:tcPr>
            <w:tcW w:type="dxa" w:w="88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CTRL-005 Audit logging</w:t>
            </w:r>
          </w:p>
        </w:tc>
        <w:tc>
          <w:tcPr>
            <w:tcW w:type="dxa" w:w="158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Record and examine system activity</w:t>
            </w:r>
          </w:p>
        </w:tc>
        <w:tc>
          <w:tcPr>
            <w:tcW w:type="dxa" w:w="170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Emits documented logs once diagnostic settings exist</w:t>
            </w:r>
          </w:p>
        </w:tc>
        <w:tc>
          <w:tcPr>
            <w:tcW w:type="dxa" w:w="270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DINE policy for diagnostic settings; delete alert; 20-min freshness alert; canary; immutable archive</w:t>
            </w:r>
          </w:p>
        </w:tc>
        <w:tc>
          <w:tcPr>
            <w:tcW w:type="dxa" w:w="147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Supply source-side logs on request</w:t>
            </w:r>
          </w:p>
        </w:tc>
        <w:tc>
          <w:tcPr>
            <w:tcW w:type="dxa" w:w="158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SecOps / Platform Ops</w:t>
            </w:r>
          </w:p>
        </w:tc>
        <w:tc>
          <w:tcPr>
            <w:tcW w:type="dxa" w:w="223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KQL-03, KQL-04; end-to-end correlation trace; continuous</w:t>
            </w:r>
          </w:p>
        </w:tc>
        <w:tc>
          <w:tcPr>
            <w:tcW w:type="dxa" w:w="194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Gap:</w:t>
            </w:r>
            <w:r>
              <w:rPr>
                <w:rFonts w:ascii="Calibri" w:cs="Calibri" w:eastAsia="Calibri" w:hAnsi="Calibri"/>
                <w:b w:val="false"/>
                <w:bCs w:val="false"/>
                <w:color w:val="1F2937"/>
                <w:sz w:val="14"/>
                <w:szCs w:val="14"/>
              </w:rPr>
              <w:t xml:space="preserve"> settings drift (C-06, INC-2026-027) → REM-03</w:t>
            </w:r>
          </w:p>
        </w:tc>
      </w:tr>
      <w:tr>
        <w:trPr>
          <w:cantSplit/>
          <w:tblHeader w:val="false"/>
        </w:trPr>
        <w:tc>
          <w:tcPr>
            <w:tcW w:type="dxa" w:w="88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CTRL-006 Telemetry privacy</w:t>
            </w:r>
          </w:p>
        </w:tc>
        <w:tc>
          <w:tcPr>
            <w:tcW w:type="dxa" w:w="158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No ePHI or secrets in telemetry</w:t>
            </w:r>
          </w:p>
        </w:tc>
        <w:tc>
          <w:tcPr>
            <w:tcW w:type="dxa" w:w="170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Configurable logging services</w:t>
            </w:r>
          </w:p>
        </w:tc>
        <w:tc>
          <w:tcPr>
            <w:tcW w:type="dxa" w:w="270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Allow-listed fields; tokenised identifiers; payload-leak scan; audit-table restriction (EX-07)</w:t>
            </w:r>
          </w:p>
        </w:tc>
        <w:tc>
          <w:tcPr>
            <w:tcW w:type="dxa" w:w="147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Keep PHI out of support tickets</w:t>
            </w:r>
          </w:p>
        </w:tc>
        <w:tc>
          <w:tcPr>
            <w:tcW w:type="dxa" w:w="158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Privacy Officer / Engineering</w:t>
            </w:r>
          </w:p>
        </w:tc>
        <w:tc>
          <w:tcPr>
            <w:tcW w:type="dxa" w:w="223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KQL-10; release review; monthly + release</w:t>
            </w:r>
          </w:p>
        </w:tc>
        <w:tc>
          <w:tcPr>
            <w:tcW w:type="dxa" w:w="194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Gap:</w:t>
            </w:r>
            <w:r>
              <w:rPr>
                <w:rFonts w:ascii="Calibri" w:cs="Calibri" w:eastAsia="Calibri" w:hAnsi="Calibri"/>
                <w:b w:val="false"/>
                <w:bCs w:val="false"/>
                <w:color w:val="1F2937"/>
                <w:sz w:val="14"/>
                <w:szCs w:val="14"/>
              </w:rPr>
              <w:t xml:space="preserve"> no unified correlation ID (C-02) → REM-04</w:t>
            </w:r>
          </w:p>
        </w:tc>
      </w:tr>
      <w:tr>
        <w:trPr>
          <w:cantSplit/>
          <w:tblHeader w:val="false"/>
        </w:trPr>
        <w:tc>
          <w:tcPr>
            <w:tcW w:type="dxa" w:w="88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CTRL-007 Conversion</w:t>
            </w:r>
          </w:p>
        </w:tc>
        <w:tc>
          <w:tcPr>
            <w:tcW w:type="dxa" w:w="158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Convert HL7v2 to valid FHIR R4</w:t>
            </w:r>
          </w:p>
        </w:tc>
        <w:tc>
          <w:tcPr>
            <w:tcW w:type="dxa" w:w="170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$convert-data capability</w:t>
            </w:r>
          </w:p>
        </w:tc>
        <w:tc>
          <w:tcPr>
            <w:tcW w:type="dxa" w:w="270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Digest-pinned templates, contract tests, version gate (D-02)</w:t>
            </w:r>
          </w:p>
        </w:tc>
        <w:tc>
          <w:tcPr>
            <w:tcW w:type="dxa" w:w="147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Give notice of format changes; supply synthetic samples</w:t>
            </w:r>
          </w:p>
        </w:tc>
        <w:tc>
          <w:tcPr>
            <w:tcW w:type="dxa" w:w="158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Integration Eng</w:t>
            </w:r>
          </w:p>
        </w:tc>
        <w:tc>
          <w:tcPr>
            <w:tcW w:type="dxa" w:w="223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Contract-test report, conversion error rate; per release</w:t>
            </w:r>
          </w:p>
        </w:tc>
        <w:tc>
          <w:tcPr>
            <w:tcW w:type="dxa" w:w="194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Gap:</w:t>
            </w:r>
            <w:r>
              <w:rPr>
                <w:rFonts w:ascii="Calibri" w:cs="Calibri" w:eastAsia="Calibri" w:hAnsi="Calibri"/>
                <w:b w:val="false"/>
                <w:bCs w:val="false"/>
                <w:color w:val="1F2937"/>
                <w:sz w:val="14"/>
                <w:szCs w:val="14"/>
              </w:rPr>
              <w:t xml:space="preserve"> INC-2026-041 → REM-05</w:t>
            </w:r>
          </w:p>
        </w:tc>
      </w:tr>
      <w:tr>
        <w:trPr>
          <w:cantSplit/>
          <w:tblHeader w:val="false"/>
        </w:trPr>
        <w:tc>
          <w:tcPr>
            <w:tcW w:type="dxa" w:w="88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CTRL-008 Validation</w:t>
            </w:r>
          </w:p>
        </w:tc>
        <w:tc>
          <w:tcPr>
            <w:tcW w:type="dxa" w:w="158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Quarantine invalid data before persistence</w:t>
            </w:r>
          </w:p>
        </w:tc>
        <w:tc>
          <w:tcPr>
            <w:tcW w:type="dxa" w:w="170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FHIR API behaviour</w:t>
            </w:r>
          </w:p>
        </w:tc>
        <w:tc>
          <w:tcPr>
            <w:tcW w:type="dxa" w:w="270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Profile, terminology, required fields, references; never retry validation errors</w:t>
            </w:r>
          </w:p>
        </w:tc>
        <w:tc>
          <w:tcPr>
            <w:tcW w:type="dxa" w:w="147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Provide profiles and mapping rules</w:t>
            </w:r>
          </w:p>
        </w:tc>
        <w:tc>
          <w:tcPr>
            <w:tcW w:type="dxa" w:w="158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Data Governance / Integration Eng</w:t>
            </w:r>
          </w:p>
        </w:tc>
        <w:tc>
          <w:tcPr>
            <w:tcW w:type="dxa" w:w="223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Validation results; invalid-sample injection; per release</w:t>
            </w:r>
          </w:p>
        </w:tc>
        <w:tc>
          <w:tcPr>
            <w:tcW w:type="dxa" w:w="194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Target design (Section 6.1)</w:t>
            </w:r>
          </w:p>
        </w:tc>
      </w:tr>
      <w:tr>
        <w:trPr>
          <w:cantSplit/>
          <w:tblHeader w:val="false"/>
        </w:trPr>
        <w:tc>
          <w:tcPr>
            <w:tcW w:type="dxa" w:w="88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CTRL-009 Resilience</w:t>
            </w:r>
          </w:p>
        </w:tc>
        <w:tc>
          <w:tcPr>
            <w:tcW w:type="dxa" w:w="158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Recover from transient faults without duplicates</w:t>
            </w:r>
          </w:p>
        </w:tc>
        <w:tc>
          <w:tcPr>
            <w:tcW w:type="dxa" w:w="170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Service availability features</w:t>
            </w:r>
          </w:p>
        </w:tc>
        <w:tc>
          <w:tcPr>
            <w:tcW w:type="dxa" w:w="270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Bounded retry, idempotency (D-03), reconciliation, 2-node SHIR, zone-redundant queue</w:t>
            </w:r>
          </w:p>
        </w:tc>
        <w:tc>
          <w:tcPr>
            <w:tcW w:type="dxa" w:w="147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Respect replay limits and windows</w:t>
            </w:r>
          </w:p>
        </w:tc>
        <w:tc>
          <w:tcPr>
            <w:tcW w:type="dxa" w:w="158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Integration Eng / Platform Ops</w:t>
            </w:r>
          </w:p>
        </w:tc>
        <w:tc>
          <w:tcPr>
            <w:tcW w:type="dxa" w:w="223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Ledger, duplicate report; failure-injection test; quarterly</w:t>
            </w:r>
          </w:p>
        </w:tc>
        <w:tc>
          <w:tcPr>
            <w:tcW w:type="dxa" w:w="194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Gap:</w:t>
            </w:r>
            <w:r>
              <w:rPr>
                <w:rFonts w:ascii="Calibri" w:cs="Calibri" w:eastAsia="Calibri" w:hAnsi="Calibri"/>
                <w:b w:val="false"/>
                <w:bCs w:val="false"/>
                <w:color w:val="1F2937"/>
                <w:sz w:val="14"/>
                <w:szCs w:val="14"/>
              </w:rPr>
              <w:t xml:space="preserve"> single-node SHIR (C-03); INC-2026-052 → REM-06, REM-07</w:t>
            </w:r>
          </w:p>
        </w:tc>
      </w:tr>
      <w:tr>
        <w:trPr>
          <w:cantSplit/>
          <w:tblHeader w:val="false"/>
        </w:trPr>
        <w:tc>
          <w:tcPr>
            <w:tcW w:type="dxa" w:w="88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CTRL-010 Automation safety</w:t>
            </w:r>
          </w:p>
        </w:tc>
        <w:tc>
          <w:tcPr>
            <w:tcW w:type="dxa" w:w="158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Control high-impact remediation</w:t>
            </w:r>
          </w:p>
        </w:tc>
        <w:tc>
          <w:tcPr>
            <w:tcW w:type="dxa" w:w="170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Workflow runtime and identity</w:t>
            </w:r>
          </w:p>
        </w:tc>
        <w:tc>
          <w:tcPr>
            <w:tcW w:type="dxa" w:w="270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Action classes (Table 12); approval, expiry, rollback, audit record</w:t>
            </w:r>
          </w:p>
        </w:tc>
        <w:tc>
          <w:tcPr>
            <w:tcW w:type="dxa" w:w="147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Approve partner-impacting actions</w:t>
            </w:r>
          </w:p>
        </w:tc>
        <w:tc>
          <w:tcPr>
            <w:tcW w:type="dxa" w:w="158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On-call Lead / Platform Ops</w:t>
            </w:r>
          </w:p>
        </w:tc>
        <w:tc>
          <w:tcPr>
            <w:tcW w:type="dxa" w:w="223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Run history, approval ledger; dry run; quarterly + change</w:t>
            </w:r>
          </w:p>
        </w:tc>
        <w:tc>
          <w:tcPr>
            <w:tcW w:type="dxa" w:w="194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Gap:</w:t>
            </w:r>
            <w:r>
              <w:rPr>
                <w:rFonts w:ascii="Calibri" w:cs="Calibri" w:eastAsia="Calibri" w:hAnsi="Calibri"/>
                <w:b w:val="false"/>
                <w:bCs w:val="false"/>
                <w:color w:val="1F2937"/>
                <w:sz w:val="14"/>
                <w:szCs w:val="14"/>
              </w:rPr>
              <w:t xml:space="preserve"> no replay approval gate (C-09) → REM-07</w:t>
            </w:r>
          </w:p>
        </w:tc>
      </w:tr>
      <w:tr>
        <w:trPr>
          <w:cantSplit/>
          <w:tblHeader w:val="false"/>
        </w:trPr>
        <w:tc>
          <w:tcPr>
            <w:tcW w:type="dxa" w:w="88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CTRL-011 Evidence retention</w:t>
            </w:r>
          </w:p>
        </w:tc>
        <w:tc>
          <w:tcPr>
            <w:tcW w:type="dxa" w:w="158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Keep evidence per approved policy</w:t>
            </w:r>
          </w:p>
        </w:tc>
        <w:tc>
          <w:tcPr>
            <w:tcW w:type="dxa" w:w="170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Retention and immutability features</w:t>
            </w:r>
          </w:p>
        </w:tc>
        <w:tc>
          <w:tcPr>
            <w:tcW w:type="dxa" w:w="270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Approved retention (D-05), legal hold, disposal record, named owner</w:t>
            </w:r>
          </w:p>
        </w:tc>
        <w:tc>
          <w:tcPr>
            <w:tcW w:type="dxa" w:w="147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Retain partner evidence per agreement</w:t>
            </w:r>
          </w:p>
        </w:tc>
        <w:tc>
          <w:tcPr>
            <w:tcW w:type="dxa" w:w="158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Privacy &amp; Security / SecOps</w:t>
            </w:r>
          </w:p>
        </w:tc>
        <w:tc>
          <w:tcPr>
            <w:tcW w:type="dxa" w:w="223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Retention config, sample retrieval; annual</w:t>
            </w:r>
          </w:p>
        </w:tc>
        <w:tc>
          <w:tcPr>
            <w:tcW w:type="dxa" w:w="194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Gap:</w:t>
            </w:r>
            <w:r>
              <w:rPr>
                <w:rFonts w:ascii="Calibri" w:cs="Calibri" w:eastAsia="Calibri" w:hAnsi="Calibri"/>
                <w:b w:val="false"/>
                <w:bCs w:val="false"/>
                <w:color w:val="1F2937"/>
                <w:sz w:val="14"/>
                <w:szCs w:val="14"/>
              </w:rPr>
              <w:t xml:space="preserve"> retention not approved (C-04); owner unclear (C-08) → REM-08</w:t>
            </w:r>
          </w:p>
        </w:tc>
      </w:tr>
      <w:tr>
        <w:trPr>
          <w:cantSplit/>
          <w:tblHeader w:val="false"/>
        </w:trPr>
        <w:tc>
          <w:tcPr>
            <w:tcW w:type="dxa" w:w="88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CTRL-012 Incident response</w:t>
            </w:r>
          </w:p>
        </w:tc>
        <w:tc>
          <w:tcPr>
            <w:tcW w:type="dxa" w:w="158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Actionable runbooks and escalation</w:t>
            </w:r>
          </w:p>
        </w:tc>
        <w:tc>
          <w:tcPr>
            <w:tcW w:type="dxa" w:w="170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Service support only</w:t>
            </w:r>
          </w:p>
        </w:tc>
        <w:tc>
          <w:tcPr>
            <w:tcW w:type="dxa" w:w="270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Tested runbooks, on-call roles, communications, evidence capture</w:t>
            </w:r>
          </w:p>
        </w:tc>
        <w:tc>
          <w:tcPr>
            <w:tcW w:type="dxa" w:w="147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Escalation path, maintenance windows</w:t>
            </w:r>
          </w:p>
        </w:tc>
        <w:tc>
          <w:tcPr>
            <w:tcW w:type="dxa" w:w="158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Operations Manager / On-call</w:t>
            </w:r>
          </w:p>
        </w:tc>
        <w:tc>
          <w:tcPr>
            <w:tcW w:type="dxa" w:w="223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Runbook version, tabletop record; semiannual</w:t>
            </w:r>
          </w:p>
        </w:tc>
        <w:tc>
          <w:tcPr>
            <w:tcW w:type="dxa" w:w="194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Target design (Sections 8–9)</w:t>
            </w:r>
          </w:p>
        </w:tc>
      </w:tr>
      <w:tr>
        <w:trPr>
          <w:cantSplit/>
          <w:tblHeader w:val="false"/>
        </w:trPr>
        <w:tc>
          <w:tcPr>
            <w:tcW w:type="dxa" w:w="88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CTRL-013 Output lineage</w:t>
            </w:r>
          </w:p>
        </w:tc>
        <w:tc>
          <w:tcPr>
            <w:tcW w:type="dxa" w:w="158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Trace each analytics output to its inputs</w:t>
            </w:r>
          </w:p>
        </w:tc>
        <w:tc>
          <w:tcPr>
            <w:tcW w:type="dxa" w:w="170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n/a</w:t>
            </w:r>
          </w:p>
        </w:tc>
        <w:tc>
          <w:tcPr>
            <w:tcW w:type="dxa" w:w="270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Lineage ID = source resource versions + model version on every output</w:t>
            </w:r>
          </w:p>
        </w:tc>
        <w:tc>
          <w:tcPr>
            <w:tcW w:type="dxa" w:w="147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n/a</w:t>
            </w:r>
          </w:p>
        </w:tc>
        <w:tc>
          <w:tcPr>
            <w:tcW w:type="dxa" w:w="158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Clinical Ops / Data Governance</w:t>
            </w:r>
          </w:p>
        </w:tc>
        <w:tc>
          <w:tcPr>
            <w:tcW w:type="dxa" w:w="223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Sample output trace; per release</w:t>
            </w:r>
          </w:p>
        </w:tc>
        <w:tc>
          <w:tcPr>
            <w:tcW w:type="dxa" w:w="194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Gap:</w:t>
            </w:r>
            <w:r>
              <w:rPr>
                <w:rFonts w:ascii="Calibri" w:cs="Calibri" w:eastAsia="Calibri" w:hAnsi="Calibri"/>
                <w:b w:val="false"/>
                <w:bCs w:val="false"/>
                <w:color w:val="1F2937"/>
                <w:sz w:val="14"/>
                <w:szCs w:val="14"/>
              </w:rPr>
              <w:t xml:space="preserve"> no lineage ID (C-07) → REM-09</w:t>
            </w:r>
          </w:p>
        </w:tc>
      </w:tr>
    </w:tbl>
    <w:p>
      <w:pPr>
        <w:sectPr>
          <w:headerReference w:type="default" r:id="rId11"/>
          <w:footerReference w:type="default" r:id="rId12"/>
          <w:pgSz w:w="15840" w:h="12240" w:orient="landscape"/>
          <w:pgMar w:top="780" w:right="864" w:bottom="720" w:left="864" w:header="360" w:footer="340" w:gutter="0"/>
          <w:pgNumType/>
          <w:docGrid w:linePitch="360"/>
        </w:sectPr>
      </w:pPr>
    </w:p>
    <w:p>
      <w:pPr>
        <w:pStyle w:val="Heading1"/>
        <w:keepNext/>
        <w:pBdr>
          <w:bottom w:val="single" w:color="1F3864" w:sz="6" w:space="2"/>
        </w:pBdr>
        <w:spacing w:after="70" w:before="120"/>
      </w:pPr>
      <w:r>
        <w:rPr>
          <w:rFonts w:ascii="Calibri" w:cs="Calibri" w:eastAsia="Calibri" w:hAnsi="Calibri"/>
          <w:b/>
          <w:bCs/>
          <w:color w:val="1F3864"/>
          <w:sz w:val="26"/>
          <w:szCs w:val="26"/>
        </w:rPr>
        <w:t xml:space="preserve">2  PHI Data-Flow Diagram</w:t>
      </w:r>
    </w:p>
    <w:p>
      <w:pPr>
        <w:spacing w:after="60" w:before="0" w:line="236"/>
        <w:jc w:val="left"/>
      </w:pPr>
      <w:r>
        <w:rPr>
          <w:rFonts w:ascii="Calibri" w:cs="Calibri" w:eastAsia="Calibri" w:hAnsi="Calibri"/>
          <w:color w:val="1F2937"/>
          <w:sz w:val="17"/>
          <w:szCs w:val="17"/>
        </w:rPr>
        <w:t xml:space="preserve">Figure 2 traces ePHI-like data from each partner to the clinician. Data is ePHI-like at every numbered hop </w:t>
      </w:r>
      <w:r>
        <w:rPr>
          <w:rFonts w:ascii="Calibri" w:cs="Calibri" w:eastAsia="Calibri" w:hAnsi="Calibri"/>
          <w:b/>
          <w:bCs/>
          <w:color w:val="1F2937"/>
          <w:sz w:val="17"/>
          <w:szCs w:val="17"/>
        </w:rPr>
        <w:t xml:space="preserve">H1–H13</w:t>
      </w:r>
      <w:r>
        <w:rPr>
          <w:rFonts w:ascii="Calibri" w:cs="Calibri" w:eastAsia="Calibri" w:hAnsi="Calibri"/>
          <w:color w:val="1F2937"/>
          <w:sz w:val="17"/>
          <w:szCs w:val="17"/>
        </w:rPr>
        <w:t xml:space="preserve">; telemetry </w:t>
      </w:r>
      <w:r>
        <w:rPr>
          <w:rFonts w:ascii="Calibri" w:cs="Calibri" w:eastAsia="Calibri" w:hAnsi="Calibri"/>
          <w:b/>
          <w:bCs/>
          <w:color w:val="1F2937"/>
          <w:sz w:val="17"/>
          <w:szCs w:val="17"/>
        </w:rPr>
        <w:t xml:space="preserve">T1/T2</w:t>
      </w:r>
      <w:r>
        <w:rPr>
          <w:rFonts w:ascii="Calibri" w:cs="Calibri" w:eastAsia="Calibri" w:hAnsi="Calibri"/>
          <w:color w:val="1F2937"/>
          <w:sz w:val="17"/>
          <w:szCs w:val="17"/>
        </w:rPr>
        <w:t xml:space="preserve"> carries operational metadata only. ePHI rests in exactly five encrypted stores: the Service Bus queue, the quarantine store, SFTP landing, NDJSON staging and the FHIR service. Table 4 records the ten required attributes for each hop. Business identifiers never appear in telemetry; where a key is needed for duplicate checks, it is an HMAC token (key in Key Vault).</w:t>
      </w:r>
    </w:p>
    <w:p>
      <w:pPr>
        <w:keepNext/>
        <w:spacing w:after="20" w:before="40"/>
        <w:jc w:val="center"/>
      </w:pPr>
      <w:r>
        <w:drawing>
          <wp:inline distT="0" distB="0" distL="0" distR="0">
            <wp:extent cx="7953375"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7953375" cy="3667125"/>
                    </a:xfrm>
                    <a:prstGeom prst="rect">
                      <a:avLst/>
                    </a:prstGeom>
                  </pic:spPr>
                </pic:pic>
              </a:graphicData>
            </a:graphic>
          </wp:inline>
        </w:drawing>
      </w:r>
    </w:p>
    <w:p>
      <w:pPr>
        <w:spacing w:after="0" w:before="40"/>
      </w:pPr>
      <w:r>
        <w:rPr>
          <w:rFonts w:ascii="Calibri" w:cs="Calibri" w:eastAsia="Calibri" w:hAnsi="Calibri"/>
          <w:i w:val="false"/>
          <w:iCs w:val="false"/>
          <w:color w:val="4B5563"/>
          <w:sz w:val="16"/>
          <w:szCs w:val="16"/>
        </w:rPr>
        <w:t xml:space="preserve">Figure 2. End-to-end ePHI data flow (M2), with hop IDs, protocols, storage points, the failure path to quarantine, approved replay and the metadata-only telemetry path. Vertical dashed lines are trust-boundary crossings.</w:t>
      </w:r>
    </w:p>
    <w:p>
      <w:pPr>
        <w:keepNext/>
        <w:spacing w:after="30" w:before="60"/>
      </w:pPr>
      <w:r>
        <w:rPr>
          <w:rFonts w:ascii="Calibri" w:cs="Calibri" w:eastAsia="Calibri" w:hAnsi="Calibri"/>
          <w:b/>
          <w:bCs/>
          <w:color w:val="1F3864"/>
          <w:sz w:val="16"/>
          <w:szCs w:val="16"/>
        </w:rPr>
        <w:t xml:space="preserve">Table 4. Per-hop register: classification, protocol, identity, authorization, protection, validation, audit event, failure path, retention and evidence owner.</w:t>
      </w:r>
    </w:p>
    <w:tbl>
      <w:tblPr>
        <w:tblW w:type="dxa" w:w="141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9"/>
        <w:gridCol w:w="971"/>
        <w:gridCol w:w="1230"/>
        <w:gridCol w:w="1295"/>
        <w:gridCol w:w="1359"/>
        <w:gridCol w:w="1359"/>
        <w:gridCol w:w="1489"/>
        <w:gridCol w:w="1424"/>
        <w:gridCol w:w="1489"/>
        <w:gridCol w:w="1165"/>
        <w:gridCol w:w="972"/>
      </w:tblGrid>
      <w:tr>
        <w:trPr>
          <w:cantSplit/>
          <w:tblHeader/>
        </w:trPr>
        <w:tc>
          <w:tcPr>
            <w:tcW w:type="dxa" w:w="1359"/>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3"/>
                <w:szCs w:val="13"/>
              </w:rPr>
              <w:t xml:space="preserve">Hop</w:t>
            </w:r>
          </w:p>
        </w:tc>
        <w:tc>
          <w:tcPr>
            <w:tcW w:type="dxa" w:w="971"/>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3"/>
                <w:szCs w:val="13"/>
              </w:rPr>
              <w:t xml:space="preserve">Class</w:t>
            </w:r>
          </w:p>
        </w:tc>
        <w:tc>
          <w:tcPr>
            <w:tcW w:type="dxa" w:w="1230"/>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3"/>
                <w:szCs w:val="13"/>
              </w:rPr>
              <w:t xml:space="preserve">Protocol</w:t>
            </w:r>
          </w:p>
        </w:tc>
        <w:tc>
          <w:tcPr>
            <w:tcW w:type="dxa" w:w="1295"/>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3"/>
                <w:szCs w:val="13"/>
              </w:rPr>
              <w:t xml:space="preserve">Identity</w:t>
            </w:r>
          </w:p>
        </w:tc>
        <w:tc>
          <w:tcPr>
            <w:tcW w:type="dxa" w:w="1359"/>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3"/>
                <w:szCs w:val="13"/>
              </w:rPr>
              <w:t xml:space="preserve">Authorization</w:t>
            </w:r>
          </w:p>
        </w:tc>
        <w:tc>
          <w:tcPr>
            <w:tcW w:type="dxa" w:w="1359"/>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3"/>
                <w:szCs w:val="13"/>
              </w:rPr>
              <w:t xml:space="preserve">Transport / storage protection</w:t>
            </w:r>
          </w:p>
        </w:tc>
        <w:tc>
          <w:tcPr>
            <w:tcW w:type="dxa" w:w="1489"/>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3"/>
                <w:szCs w:val="13"/>
              </w:rPr>
              <w:t xml:space="preserve">Validation</w:t>
            </w:r>
          </w:p>
        </w:tc>
        <w:tc>
          <w:tcPr>
            <w:tcW w:type="dxa" w:w="1424"/>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3"/>
                <w:szCs w:val="13"/>
              </w:rPr>
              <w:t xml:space="preserve">Audit event</w:t>
            </w:r>
          </w:p>
        </w:tc>
        <w:tc>
          <w:tcPr>
            <w:tcW w:type="dxa" w:w="1489"/>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3"/>
                <w:szCs w:val="13"/>
              </w:rPr>
              <w:t xml:space="preserve">Failure path</w:t>
            </w:r>
          </w:p>
        </w:tc>
        <w:tc>
          <w:tcPr>
            <w:tcW w:type="dxa" w:w="1165"/>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3"/>
                <w:szCs w:val="13"/>
              </w:rPr>
              <w:t xml:space="preserve">Retention</w:t>
            </w:r>
          </w:p>
        </w:tc>
        <w:tc>
          <w:tcPr>
            <w:tcW w:type="dxa" w:w="972"/>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3"/>
                <w:szCs w:val="13"/>
              </w:rPr>
              <w:t xml:space="preserve">Evidence owner</w:t>
            </w:r>
          </w:p>
        </w:tc>
      </w:tr>
      <w:tr>
        <w:trPr>
          <w:cantSplit/>
          <w:tblHeader w:val="false"/>
        </w:trPr>
        <w:tc>
          <w:tcPr>
            <w:tcW w:type="dxa" w:w="135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3"/>
                <w:szCs w:val="13"/>
              </w:rPr>
              <w:t xml:space="preserve">H1</w:t>
            </w:r>
            <w:r>
              <w:rPr>
                <w:rFonts w:ascii="Calibri" w:cs="Calibri" w:eastAsia="Calibri" w:hAnsi="Calibri"/>
                <w:b w:val="false"/>
                <w:bCs w:val="false"/>
                <w:color w:val="1F2937"/>
                <w:sz w:val="13"/>
                <w:szCs w:val="13"/>
              </w:rPr>
              <w:t xml:space="preserve"> Northwind engine → MLLP listener</w:t>
            </w:r>
          </w:p>
        </w:tc>
        <w:tc>
          <w:tcPr>
            <w:tcW w:type="dxa" w:w="97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ePHI-like HL7v2</w:t>
            </w:r>
          </w:p>
        </w:tc>
        <w:tc>
          <w:tcPr>
            <w:tcW w:type="dxa" w:w="123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MLLP over TLS 1.2 inside IPsec VPN</w:t>
            </w:r>
          </w:p>
        </w:tc>
        <w:tc>
          <w:tcPr>
            <w:tcW w:type="dxa" w:w="129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Listener server cert (KV); partner by VPN peer + source IP</w:t>
            </w:r>
          </w:p>
        </w:tc>
        <w:tc>
          <w:tcPr>
            <w:tcW w:type="dxa" w:w="135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NSG allows only Northwind subnet</w:t>
            </w:r>
          </w:p>
        </w:tc>
        <w:tc>
          <w:tcPr>
            <w:tcW w:type="dxa" w:w="135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TLS (A-01) + IPsec; no storage</w:t>
            </w:r>
          </w:p>
        </w:tc>
        <w:tc>
          <w:tcPr>
            <w:tcW w:type="dxa" w:w="148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MLLP framing, MSH present, size ≤1 MB</w:t>
            </w:r>
          </w:p>
        </w:tc>
        <w:tc>
          <w:tcPr>
            <w:tcW w:type="dxa" w:w="142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Ledger Received: msgIdHash, correlationId</w:t>
            </w:r>
          </w:p>
        </w:tc>
        <w:tc>
          <w:tcPr>
            <w:tcW w:type="dxa" w:w="148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NACK (AE); partner engine retries</w:t>
            </w:r>
          </w:p>
        </w:tc>
        <w:tc>
          <w:tcPr>
            <w:tcW w:type="dxa" w:w="116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None (transit)</w:t>
            </w:r>
          </w:p>
        </w:tc>
        <w:tc>
          <w:tcPr>
            <w:tcW w:type="dxa" w:w="97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Integration Eng</w:t>
            </w:r>
          </w:p>
        </w:tc>
      </w:tr>
      <w:tr>
        <w:trPr>
          <w:cantSplit/>
          <w:tblHeader w:val="false"/>
        </w:trPr>
        <w:tc>
          <w:tcPr>
            <w:tcW w:type="dxa" w:w="1359"/>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3"/>
                <w:szCs w:val="13"/>
              </w:rPr>
              <w:t xml:space="preserve">H2</w:t>
            </w:r>
            <w:r>
              <w:rPr>
                <w:rFonts w:ascii="Calibri" w:cs="Calibri" w:eastAsia="Calibri" w:hAnsi="Calibri"/>
                <w:b w:val="false"/>
                <w:bCs w:val="false"/>
                <w:color w:val="1F2937"/>
                <w:sz w:val="13"/>
                <w:szCs w:val="13"/>
              </w:rPr>
              <w:t xml:space="preserve"> Listener → Service Bus</w:t>
            </w:r>
          </w:p>
        </w:tc>
        <w:tc>
          <w:tcPr>
            <w:tcW w:type="dxa" w:w="97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ePHI-like</w:t>
            </w:r>
          </w:p>
        </w:tc>
        <w:tc>
          <w:tcPr>
            <w:tcW w:type="dxa" w:w="123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AMQP/TLS 1.2 via PE</w:t>
            </w:r>
          </w:p>
        </w:tc>
        <w:tc>
          <w:tcPr>
            <w:tcW w:type="dxa" w:w="129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uami-ingest-listener</w:t>
            </w:r>
          </w:p>
        </w:tc>
        <w:tc>
          <w:tcPr>
            <w:tcW w:type="dxa" w:w="1359"/>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Service Bus Data Sender on one queue</w:t>
            </w:r>
          </w:p>
        </w:tc>
        <w:tc>
          <w:tcPr>
            <w:tcW w:type="dxa" w:w="1359"/>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TLS; Premium, zone-redundant, encrypted at rest</w:t>
            </w:r>
          </w:p>
        </w:tc>
        <w:tc>
          <w:tcPr>
            <w:tcW w:type="dxa" w:w="1489"/>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partnerId stamp; MessageId duplicate detection</w:t>
            </w:r>
          </w:p>
        </w:tc>
        <w:tc>
          <w:tcPr>
            <w:tcW w:type="dxa" w:w="142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Ledger Enqueued</w:t>
            </w:r>
          </w:p>
        </w:tc>
        <w:tc>
          <w:tcPr>
            <w:tcW w:type="dxa" w:w="1489"/>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Enqueue fails → NACK; nothing ACKed is lost</w:t>
            </w:r>
          </w:p>
        </w:tc>
        <w:tc>
          <w:tcPr>
            <w:tcW w:type="dxa" w:w="116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TTL 7 days; removed on completion</w:t>
            </w:r>
          </w:p>
        </w:tc>
        <w:tc>
          <w:tcPr>
            <w:tcW w:type="dxa" w:w="97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Platform Eng</w:t>
            </w:r>
          </w:p>
        </w:tc>
      </w:tr>
      <w:tr>
        <w:trPr>
          <w:cantSplit/>
          <w:tblHeader w:val="false"/>
        </w:trPr>
        <w:tc>
          <w:tcPr>
            <w:tcW w:type="dxa" w:w="135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3"/>
                <w:szCs w:val="13"/>
              </w:rPr>
              <w:t xml:space="preserve">H3</w:t>
            </w:r>
            <w:r>
              <w:rPr>
                <w:rFonts w:ascii="Calibri" w:cs="Calibri" w:eastAsia="Calibri" w:hAnsi="Calibri"/>
                <w:b w:val="false"/>
                <w:bCs w:val="false"/>
                <w:color w:val="1F2937"/>
                <w:sz w:val="13"/>
                <w:szCs w:val="13"/>
              </w:rPr>
              <w:t xml:space="preserve"> Queue → ingest Function</w:t>
            </w:r>
          </w:p>
        </w:tc>
        <w:tc>
          <w:tcPr>
            <w:tcW w:type="dxa" w:w="97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ePHI-like</w:t>
            </w:r>
          </w:p>
        </w:tc>
        <w:tc>
          <w:tcPr>
            <w:tcW w:type="dxa" w:w="123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AMQP/TLS via PE</w:t>
            </w:r>
          </w:p>
        </w:tc>
        <w:tc>
          <w:tcPr>
            <w:tcW w:type="dxa" w:w="129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uami-ingest-worker</w:t>
            </w:r>
          </w:p>
        </w:tc>
        <w:tc>
          <w:tcPr>
            <w:tcW w:type="dxa" w:w="135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Service Bus Data Receiver on the queue</w:t>
            </w:r>
          </w:p>
        </w:tc>
        <w:tc>
          <w:tcPr>
            <w:tcW w:type="dxa" w:w="135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TLS; processed in memory, no disk writes</w:t>
            </w:r>
          </w:p>
        </w:tc>
        <w:tc>
          <w:tcPr>
            <w:tcW w:type="dxa" w:w="148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Peek-lock; ledger dedupe on msgIdHash</w:t>
            </w:r>
          </w:p>
        </w:tc>
        <w:tc>
          <w:tcPr>
            <w:tcW w:type="dxa" w:w="142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Ledger Dequeued, deliveryCount</w:t>
            </w:r>
          </w:p>
        </w:tc>
        <w:tc>
          <w:tcPr>
            <w:tcW w:type="dxa" w:w="148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Abandon + backoff; 5 deliveries → DLQ → H5</w:t>
            </w:r>
          </w:p>
        </w:tc>
        <w:tc>
          <w:tcPr>
            <w:tcW w:type="dxa" w:w="116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n/a</w:t>
            </w:r>
          </w:p>
        </w:tc>
        <w:tc>
          <w:tcPr>
            <w:tcW w:type="dxa" w:w="97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Integration Eng</w:t>
            </w:r>
          </w:p>
        </w:tc>
      </w:tr>
      <w:tr>
        <w:trPr>
          <w:cantSplit/>
          <w:tblHeader w:val="false"/>
        </w:trPr>
        <w:tc>
          <w:tcPr>
            <w:tcW w:type="dxa" w:w="1359"/>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3"/>
                <w:szCs w:val="13"/>
              </w:rPr>
              <w:t xml:space="preserve">H4</w:t>
            </w:r>
            <w:r>
              <w:rPr>
                <w:rFonts w:ascii="Calibri" w:cs="Calibri" w:eastAsia="Calibri" w:hAnsi="Calibri"/>
                <w:b w:val="false"/>
                <w:bCs w:val="false"/>
                <w:color w:val="1F2937"/>
                <w:sz w:val="13"/>
                <w:szCs w:val="13"/>
              </w:rPr>
              <w:t xml:space="preserve"> Function → FHIR ($convert-data, write)</w:t>
            </w:r>
          </w:p>
        </w:tc>
        <w:tc>
          <w:tcPr>
            <w:tcW w:type="dxa" w:w="97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ePHI-like HL7v2 → FHIR R4</w:t>
            </w:r>
          </w:p>
        </w:tc>
        <w:tc>
          <w:tcPr>
            <w:tcW w:type="dxa" w:w="123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HTTPS TLS 1.2 via PE</w:t>
            </w:r>
          </w:p>
        </w:tc>
        <w:tc>
          <w:tcPr>
            <w:tcW w:type="dxa" w:w="129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uami-ingest-worker</w:t>
            </w:r>
          </w:p>
        </w:tc>
        <w:tc>
          <w:tcPr>
            <w:tcW w:type="dxa" w:w="1359"/>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FHIR Data Converter + FHIR Data Writer</w:t>
            </w:r>
          </w:p>
        </w:tc>
        <w:tc>
          <w:tcPr>
            <w:tcW w:type="dxa" w:w="1359"/>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TLS; FHIR encrypted at rest (D-06)</w:t>
            </w:r>
          </w:p>
        </w:tc>
        <w:tc>
          <w:tcPr>
            <w:tcW w:type="dxa" w:w="1489"/>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Template version gate; profile, terminology, references</w:t>
            </w:r>
          </w:p>
        </w:tc>
        <w:tc>
          <w:tcPr>
            <w:tcW w:type="dxa" w:w="142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FHIR AuditLogs (caller object ID); ledger Persisted</w:t>
            </w:r>
          </w:p>
        </w:tc>
        <w:tc>
          <w:tcPr>
            <w:tcW w:type="dxa" w:w="1489"/>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5xx/429 retry 3x; unknown → read-before-retry; invalid → H5</w:t>
            </w:r>
          </w:p>
        </w:tc>
        <w:tc>
          <w:tcPr>
            <w:tcW w:type="dxa" w:w="116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System of record (partner agreement)</w:t>
            </w:r>
          </w:p>
        </w:tc>
        <w:tc>
          <w:tcPr>
            <w:tcW w:type="dxa" w:w="97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Integration Eng / Data Gov</w:t>
            </w:r>
          </w:p>
        </w:tc>
      </w:tr>
      <w:tr>
        <w:trPr>
          <w:cantSplit/>
          <w:tblHeader w:val="false"/>
        </w:trPr>
        <w:tc>
          <w:tcPr>
            <w:tcW w:type="dxa" w:w="135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3"/>
                <w:szCs w:val="13"/>
              </w:rPr>
              <w:t xml:space="preserve">H5</w:t>
            </w:r>
            <w:r>
              <w:rPr>
                <w:rFonts w:ascii="Calibri" w:cs="Calibri" w:eastAsia="Calibri" w:hAnsi="Calibri"/>
                <w:b w:val="false"/>
                <w:bCs w:val="false"/>
                <w:color w:val="1F2937"/>
                <w:sz w:val="13"/>
                <w:szCs w:val="13"/>
              </w:rPr>
              <w:t xml:space="preserve"> Function or ADF → quarantine</w:t>
            </w:r>
          </w:p>
        </w:tc>
        <w:tc>
          <w:tcPr>
            <w:tcW w:type="dxa" w:w="97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ePHI-like (invalid item)</w:t>
            </w:r>
          </w:p>
        </w:tc>
        <w:tc>
          <w:tcPr>
            <w:tcW w:type="dxa" w:w="123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HTTPS via PE</w:t>
            </w:r>
          </w:p>
        </w:tc>
        <w:tc>
          <w:tcPr>
            <w:tcW w:type="dxa" w:w="129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uami-ingest-worker; ADF MI</w:t>
            </w:r>
          </w:p>
        </w:tc>
        <w:tc>
          <w:tcPr>
            <w:tcW w:type="dxa" w:w="135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Custom Quarantine Writer (no delete)</w:t>
            </w:r>
          </w:p>
        </w:tc>
        <w:tc>
          <w:tcPr>
            <w:tcW w:type="dxa" w:w="135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Encrypted; time-based immutability</w:t>
            </w:r>
          </w:p>
        </w:tc>
        <w:tc>
          <w:tcPr>
            <w:tcW w:type="dxa" w:w="148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failureCode and failureStage required</w:t>
            </w:r>
          </w:p>
        </w:tc>
        <w:tc>
          <w:tcPr>
            <w:tcW w:type="dxa" w:w="142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Ledger Quarantined (metadata only)</w:t>
            </w:r>
          </w:p>
        </w:tc>
        <w:tc>
          <w:tcPr>
            <w:tcW w:type="dxa" w:w="148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Write fails → item stays in queue/DLQ; SLO-06</w:t>
            </w:r>
          </w:p>
        </w:tc>
        <w:tc>
          <w:tcPr>
            <w:tcW w:type="dxa" w:w="116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30 days after resolution; manual disposal (D-05)</w:t>
            </w:r>
          </w:p>
        </w:tc>
        <w:tc>
          <w:tcPr>
            <w:tcW w:type="dxa" w:w="97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Integration Eng</w:t>
            </w:r>
          </w:p>
        </w:tc>
      </w:tr>
      <w:tr>
        <w:trPr>
          <w:cantSplit/>
          <w:tblHeader w:val="false"/>
        </w:trPr>
        <w:tc>
          <w:tcPr>
            <w:tcW w:type="dxa" w:w="1359"/>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3"/>
                <w:szCs w:val="13"/>
              </w:rPr>
              <w:t xml:space="preserve">H6</w:t>
            </w:r>
            <w:r>
              <w:rPr>
                <w:rFonts w:ascii="Calibri" w:cs="Calibri" w:eastAsia="Calibri" w:hAnsi="Calibri"/>
                <w:b w:val="false"/>
                <w:bCs w:val="false"/>
                <w:color w:val="1F2937"/>
                <w:sz w:val="13"/>
                <w:szCs w:val="13"/>
              </w:rPr>
              <w:t xml:space="preserve"> Fabrikam → API Management</w:t>
            </w:r>
          </w:p>
        </w:tc>
        <w:tc>
          <w:tcPr>
            <w:tcW w:type="dxa" w:w="97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ePHI-like FHIR R4</w:t>
            </w:r>
          </w:p>
        </w:tc>
        <w:tc>
          <w:tcPr>
            <w:tcW w:type="dxa" w:w="123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HTTPS TLS 1.2 over private path</w:t>
            </w:r>
          </w:p>
        </w:tc>
        <w:tc>
          <w:tcPr>
            <w:tcW w:type="dxa" w:w="129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Fabrikam app, certificate credential (EX-06)</w:t>
            </w:r>
          </w:p>
        </w:tc>
        <w:tc>
          <w:tcPr>
            <w:tcW w:type="dxa" w:w="1359"/>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validate-jwt: issuer, audience, client ID</w:t>
            </w:r>
          </w:p>
        </w:tc>
        <w:tc>
          <w:tcPr>
            <w:tcW w:type="dxa" w:w="1359"/>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TLS; no storage; body logging off</w:t>
            </w:r>
          </w:p>
        </w:tc>
        <w:tc>
          <w:tcPr>
            <w:tcW w:type="dxa" w:w="1489"/>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Method allow-list; 40 req/s limit</w:t>
            </w:r>
          </w:p>
        </w:tc>
        <w:tc>
          <w:tcPr>
            <w:tcW w:type="dxa" w:w="142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APIM gateway log (no body)</w:t>
            </w:r>
          </w:p>
        </w:tc>
        <w:tc>
          <w:tcPr>
            <w:tcW w:type="dxa" w:w="1489"/>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401/403 → SLO-05; 429 → partner backs off</w:t>
            </w:r>
          </w:p>
        </w:tc>
        <w:tc>
          <w:tcPr>
            <w:tcW w:type="dxa" w:w="116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None</w:t>
            </w:r>
          </w:p>
        </w:tc>
        <w:tc>
          <w:tcPr>
            <w:tcW w:type="dxa" w:w="97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Platform Eng</w:t>
            </w:r>
          </w:p>
        </w:tc>
      </w:tr>
      <w:tr>
        <w:trPr>
          <w:cantSplit/>
          <w:tblHeader w:val="false"/>
        </w:trPr>
        <w:tc>
          <w:tcPr>
            <w:tcW w:type="dxa" w:w="135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3"/>
                <w:szCs w:val="13"/>
              </w:rPr>
              <w:t xml:space="preserve">H7</w:t>
            </w:r>
            <w:r>
              <w:rPr>
                <w:rFonts w:ascii="Calibri" w:cs="Calibri" w:eastAsia="Calibri" w:hAnsi="Calibri"/>
                <w:b w:val="false"/>
                <w:bCs w:val="false"/>
                <w:color w:val="1F2937"/>
                <w:sz w:val="13"/>
                <w:szCs w:val="13"/>
              </w:rPr>
              <w:t xml:space="preserve"> API Management → FHIR</w:t>
            </w:r>
          </w:p>
        </w:tc>
        <w:tc>
          <w:tcPr>
            <w:tcW w:type="dxa" w:w="97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ePHI-like</w:t>
            </w:r>
          </w:p>
        </w:tc>
        <w:tc>
          <w:tcPr>
            <w:tcW w:type="dxa" w:w="123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HTTPS via PE</w:t>
            </w:r>
          </w:p>
        </w:tc>
        <w:tc>
          <w:tcPr>
            <w:tcW w:type="dxa" w:w="129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Fabrikam token passed through</w:t>
            </w:r>
          </w:p>
        </w:tc>
        <w:tc>
          <w:tcPr>
            <w:tcW w:type="dxa" w:w="135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FHIR Data Writer (Fabrikam SP)</w:t>
            </w:r>
          </w:p>
        </w:tc>
        <w:tc>
          <w:tcPr>
            <w:tcW w:type="dxa" w:w="135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TLS; encrypted at rest</w:t>
            </w:r>
          </w:p>
        </w:tc>
        <w:tc>
          <w:tcPr>
            <w:tcW w:type="dxa" w:w="148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US Core profile validation; conditional update</w:t>
            </w:r>
          </w:p>
        </w:tc>
        <w:tc>
          <w:tcPr>
            <w:tcW w:type="dxa" w:w="142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FHIR AuditLogs as Fabrikam</w:t>
            </w:r>
          </w:p>
        </w:tc>
        <w:tc>
          <w:tcPr>
            <w:tcW w:type="dxa" w:w="148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4xx OperationOutcome → partner fixes and resends</w:t>
            </w:r>
          </w:p>
        </w:tc>
        <w:tc>
          <w:tcPr>
            <w:tcW w:type="dxa" w:w="116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System of record</w:t>
            </w:r>
          </w:p>
        </w:tc>
        <w:tc>
          <w:tcPr>
            <w:tcW w:type="dxa" w:w="97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Integration Eng</w:t>
            </w:r>
          </w:p>
        </w:tc>
      </w:tr>
      <w:tr>
        <w:trPr>
          <w:cantSplit/>
          <w:tblHeader w:val="false"/>
        </w:trPr>
        <w:tc>
          <w:tcPr>
            <w:tcW w:type="dxa" w:w="1359"/>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3"/>
                <w:szCs w:val="13"/>
              </w:rPr>
              <w:t xml:space="preserve">H8</w:t>
            </w:r>
            <w:r>
              <w:rPr>
                <w:rFonts w:ascii="Calibri" w:cs="Calibri" w:eastAsia="Calibri" w:hAnsi="Calibri"/>
                <w:b w:val="false"/>
                <w:bCs w:val="false"/>
                <w:color w:val="1F2937"/>
                <w:sz w:val="13"/>
                <w:szCs w:val="13"/>
              </w:rPr>
              <w:t xml:space="preserve"> Litware → SFTP landing</w:t>
            </w:r>
          </w:p>
        </w:tc>
        <w:tc>
          <w:tcPr>
            <w:tcW w:type="dxa" w:w="97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ePHI-like NDJSON</w:t>
            </w:r>
          </w:p>
        </w:tc>
        <w:tc>
          <w:tcPr>
            <w:tcW w:type="dxa" w:w="123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SFTP (SSH) over private path (A-04)</w:t>
            </w:r>
          </w:p>
        </w:tc>
        <w:tc>
          <w:tcPr>
            <w:tcW w:type="dxa" w:w="129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Local user, SSH public key (EX-03)</w:t>
            </w:r>
          </w:p>
        </w:tc>
        <w:tc>
          <w:tcPr>
            <w:tcW w:type="dxa" w:w="1359"/>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Create + write on one container only</w:t>
            </w:r>
          </w:p>
        </w:tc>
        <w:tc>
          <w:tcPr>
            <w:tcW w:type="dxa" w:w="1359"/>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SSH; blob encrypted; public access off</w:t>
            </w:r>
          </w:p>
        </w:tc>
        <w:tc>
          <w:tcPr>
            <w:tcW w:type="dxa" w:w="1489"/>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Manifest present; file count and size match</w:t>
            </w:r>
          </w:p>
        </w:tc>
        <w:tc>
          <w:tcPr>
            <w:tcW w:type="dxa" w:w="142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StorageBlobLogs SFTP write</w:t>
            </w:r>
          </w:p>
        </w:tc>
        <w:tc>
          <w:tcPr>
            <w:tcW w:type="dxa" w:w="1489"/>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No manifest by 02:00 → P2 alert</w:t>
            </w:r>
          </w:p>
        </w:tc>
        <w:tc>
          <w:tcPr>
            <w:tcW w:type="dxa" w:w="116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Landing files 7 days after import</w:t>
            </w:r>
          </w:p>
        </w:tc>
        <w:tc>
          <w:tcPr>
            <w:tcW w:type="dxa" w:w="97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Platform Eng</w:t>
            </w:r>
          </w:p>
        </w:tc>
      </w:tr>
      <w:tr>
        <w:trPr>
          <w:cantSplit/>
          <w:tblHeader w:val="false"/>
        </w:trPr>
        <w:tc>
          <w:tcPr>
            <w:tcW w:type="dxa" w:w="135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3"/>
                <w:szCs w:val="13"/>
              </w:rPr>
              <w:t xml:space="preserve">H9</w:t>
            </w:r>
            <w:r>
              <w:rPr>
                <w:rFonts w:ascii="Calibri" w:cs="Calibri" w:eastAsia="Calibri" w:hAnsi="Calibri"/>
                <w:b w:val="false"/>
                <w:bCs w:val="false"/>
                <w:color w:val="1F2937"/>
                <w:sz w:val="13"/>
                <w:szCs w:val="13"/>
              </w:rPr>
              <w:t xml:space="preserve"> Landing → ADF → staging</w:t>
            </w:r>
          </w:p>
        </w:tc>
        <w:tc>
          <w:tcPr>
            <w:tcW w:type="dxa" w:w="97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ePHI-like</w:t>
            </w:r>
          </w:p>
        </w:tc>
        <w:tc>
          <w:tcPr>
            <w:tcW w:type="dxa" w:w="123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HTTPS via managed PE</w:t>
            </w:r>
          </w:p>
        </w:tc>
        <w:tc>
          <w:tcPr>
            <w:tcW w:type="dxa" w:w="129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ADF system MI; validation Function MI</w:t>
            </w:r>
          </w:p>
        </w:tc>
        <w:tc>
          <w:tcPr>
            <w:tcW w:type="dxa" w:w="135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Blob Data Reader (landing); Contributor (staging)</w:t>
            </w:r>
          </w:p>
        </w:tc>
        <w:tc>
          <w:tcPr>
            <w:tcW w:type="dxa" w:w="135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TLS; staging encrypted</w:t>
            </w:r>
          </w:p>
        </w:tc>
        <w:tc>
          <w:tcPr>
            <w:tcW w:type="dxa" w:w="148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Profile, terminology, references; ID assignment; SHA-256 per file</w:t>
            </w:r>
          </w:p>
        </w:tc>
        <w:tc>
          <w:tcPr>
            <w:tcW w:type="dxa" w:w="142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ADFPipelineRun / ActivityRun; ledger batch counts</w:t>
            </w:r>
          </w:p>
        </w:tc>
        <w:tc>
          <w:tcPr>
            <w:tcW w:type="dxa" w:w="148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Transient retry 3x; invalid lines → H5</w:t>
            </w:r>
          </w:p>
        </w:tc>
        <w:tc>
          <w:tcPr>
            <w:tcW w:type="dxa" w:w="116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Staging 7 days after reconcile</w:t>
            </w:r>
          </w:p>
        </w:tc>
        <w:tc>
          <w:tcPr>
            <w:tcW w:type="dxa" w:w="97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Integration Eng</w:t>
            </w:r>
          </w:p>
        </w:tc>
      </w:tr>
      <w:tr>
        <w:trPr>
          <w:cantSplit/>
          <w:tblHeader w:val="false"/>
        </w:trPr>
        <w:tc>
          <w:tcPr>
            <w:tcW w:type="dxa" w:w="1359"/>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3"/>
                <w:szCs w:val="13"/>
              </w:rPr>
              <w:t xml:space="preserve">H10</w:t>
            </w:r>
            <w:r>
              <w:rPr>
                <w:rFonts w:ascii="Calibri" w:cs="Calibri" w:eastAsia="Calibri" w:hAnsi="Calibri"/>
                <w:b w:val="false"/>
                <w:bCs w:val="false"/>
                <w:color w:val="1F2937"/>
                <w:sz w:val="13"/>
                <w:szCs w:val="13"/>
              </w:rPr>
              <w:t xml:space="preserve"> Staging → FHIR ($import)</w:t>
            </w:r>
          </w:p>
        </w:tc>
        <w:tc>
          <w:tcPr>
            <w:tcW w:type="dxa" w:w="97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ePHI-like</w:t>
            </w:r>
          </w:p>
        </w:tc>
        <w:tc>
          <w:tcPr>
            <w:tcW w:type="dxa" w:w="123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HTTPS; trusted-service access with MI</w:t>
            </w:r>
          </w:p>
        </w:tc>
        <w:tc>
          <w:tcPr>
            <w:tcW w:type="dxa" w:w="129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ADF MI starts job; FHIR system MI reads</w:t>
            </w:r>
          </w:p>
        </w:tc>
        <w:tc>
          <w:tcPr>
            <w:tcW w:type="dxa" w:w="1359"/>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FHIR Data Importer; Blob Contributor on staging (FHIR MI)</w:t>
            </w:r>
          </w:p>
        </w:tc>
        <w:tc>
          <w:tcPr>
            <w:tcW w:type="dxa" w:w="1359"/>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TLS; encrypted</w:t>
            </w:r>
          </w:p>
        </w:tc>
        <w:tc>
          <w:tcPr>
            <w:tcW w:type="dxa" w:w="1489"/>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Validated files only; incremental mode; batchId</w:t>
            </w:r>
          </w:p>
        </w:tc>
        <w:tc>
          <w:tcPr>
            <w:tcW w:type="dxa" w:w="142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FHIR AuditLogs (import); ledger Imported</w:t>
            </w:r>
          </w:p>
        </w:tc>
        <w:tc>
          <w:tcPr>
            <w:tcW w:type="dxa" w:w="1489"/>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Retry transient; partial → reconcile, replay failed lines</w:t>
            </w:r>
          </w:p>
        </w:tc>
        <w:tc>
          <w:tcPr>
            <w:tcW w:type="dxa" w:w="116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System of record</w:t>
            </w:r>
          </w:p>
        </w:tc>
        <w:tc>
          <w:tcPr>
            <w:tcW w:type="dxa" w:w="97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Integration Eng</w:t>
            </w:r>
          </w:p>
        </w:tc>
      </w:tr>
      <w:tr>
        <w:trPr>
          <w:cantSplit/>
          <w:tblHeader w:val="false"/>
        </w:trPr>
        <w:tc>
          <w:tcPr>
            <w:tcW w:type="dxa" w:w="135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3"/>
                <w:szCs w:val="13"/>
              </w:rPr>
              <w:t xml:space="preserve">H11</w:t>
            </w:r>
            <w:r>
              <w:rPr>
                <w:rFonts w:ascii="Calibri" w:cs="Calibri" w:eastAsia="Calibri" w:hAnsi="Calibri"/>
                <w:b w:val="false"/>
                <w:bCs w:val="false"/>
                <w:color w:val="1F2937"/>
                <w:sz w:val="13"/>
                <w:szCs w:val="13"/>
              </w:rPr>
              <w:t xml:space="preserve"> FHIR → analytics (C-07)</w:t>
            </w:r>
          </w:p>
        </w:tc>
        <w:tc>
          <w:tcPr>
            <w:tcW w:type="dxa" w:w="97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ePHI-like → derived</w:t>
            </w:r>
          </w:p>
        </w:tc>
        <w:tc>
          <w:tcPr>
            <w:tcW w:type="dxa" w:w="123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HTTPS via PE</w:t>
            </w:r>
          </w:p>
        </w:tc>
        <w:tc>
          <w:tcPr>
            <w:tcW w:type="dxa" w:w="129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uami-analytics</w:t>
            </w:r>
          </w:p>
        </w:tc>
        <w:tc>
          <w:tcPr>
            <w:tcW w:type="dxa" w:w="135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FHIR Data Reader</w:t>
            </w:r>
          </w:p>
        </w:tc>
        <w:tc>
          <w:tcPr>
            <w:tcW w:type="dxa" w:w="135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TLS; derived data encrypted</w:t>
            </w:r>
          </w:p>
        </w:tc>
        <w:tc>
          <w:tcPr>
            <w:tcW w:type="dxa" w:w="148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Reads pinned resource versions; lineage ID</w:t>
            </w:r>
          </w:p>
        </w:tc>
        <w:tc>
          <w:tcPr>
            <w:tcW w:type="dxa" w:w="142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FHIR AuditLogs (reads); App Insights metadata</w:t>
            </w:r>
          </w:p>
        </w:tc>
        <w:tc>
          <w:tcPr>
            <w:tcW w:type="dxa" w:w="148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Read fails → no output; stale-data flag</w:t>
            </w:r>
          </w:p>
        </w:tc>
        <w:tc>
          <w:tcPr>
            <w:tcW w:type="dxa" w:w="116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Regenerable; per D-05</w:t>
            </w:r>
          </w:p>
        </w:tc>
        <w:tc>
          <w:tcPr>
            <w:tcW w:type="dxa" w:w="97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Clinical Ops / Data Gov</w:t>
            </w:r>
          </w:p>
        </w:tc>
      </w:tr>
      <w:tr>
        <w:trPr>
          <w:cantSplit/>
          <w:tblHeader w:val="false"/>
        </w:trPr>
        <w:tc>
          <w:tcPr>
            <w:tcW w:type="dxa" w:w="1359"/>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3"/>
                <w:szCs w:val="13"/>
              </w:rPr>
              <w:t xml:space="preserve">H12</w:t>
            </w:r>
            <w:r>
              <w:rPr>
                <w:rFonts w:ascii="Calibri" w:cs="Calibri" w:eastAsia="Calibri" w:hAnsi="Calibri"/>
                <w:b w:val="false"/>
                <w:bCs w:val="false"/>
                <w:color w:val="1F2937"/>
                <w:sz w:val="13"/>
                <w:szCs w:val="13"/>
              </w:rPr>
              <w:t xml:space="preserve"> Analytics → clinician UI</w:t>
            </w:r>
          </w:p>
        </w:tc>
        <w:tc>
          <w:tcPr>
            <w:tcW w:type="dxa" w:w="97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ePHI-like decision support</w:t>
            </w:r>
          </w:p>
        </w:tc>
        <w:tc>
          <w:tcPr>
            <w:tcW w:type="dxa" w:w="123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HTTPS TLS 1.2</w:t>
            </w:r>
          </w:p>
        </w:tc>
        <w:tc>
          <w:tcPr>
            <w:tcW w:type="dxa" w:w="129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Named clinician (Entra ID, MFA)</w:t>
            </w:r>
          </w:p>
        </w:tc>
        <w:tc>
          <w:tcPr>
            <w:tcW w:type="dxa" w:w="1359"/>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App role by care team; Conditional Access</w:t>
            </w:r>
          </w:p>
        </w:tc>
        <w:tc>
          <w:tcPr>
            <w:tcW w:type="dxa" w:w="1359"/>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TLS; no local caching; 15-min idle logoff</w:t>
            </w:r>
          </w:p>
        </w:tc>
        <w:tc>
          <w:tcPr>
            <w:tcW w:type="dxa" w:w="1489"/>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Lineage ID + model version shown; clinician accepts or overrides</w:t>
            </w:r>
          </w:p>
        </w:tc>
        <w:tc>
          <w:tcPr>
            <w:tcW w:type="dxa" w:w="142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App audit: user, action, token (no values)</w:t>
            </w:r>
          </w:p>
        </w:tc>
        <w:tc>
          <w:tcPr>
            <w:tcW w:type="dxa" w:w="1489"/>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Unavailable → standard clinical workflow</w:t>
            </w:r>
          </w:p>
        </w:tc>
        <w:tc>
          <w:tcPr>
            <w:tcW w:type="dxa" w:w="116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Per clinical record policy</w:t>
            </w:r>
          </w:p>
        </w:tc>
        <w:tc>
          <w:tcPr>
            <w:tcW w:type="dxa" w:w="97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Clinical Ops</w:t>
            </w:r>
          </w:p>
        </w:tc>
      </w:tr>
      <w:tr>
        <w:trPr>
          <w:cantSplit/>
          <w:tblHeader w:val="false"/>
        </w:trPr>
        <w:tc>
          <w:tcPr>
            <w:tcW w:type="dxa" w:w="135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3"/>
                <w:szCs w:val="13"/>
              </w:rPr>
              <w:t xml:space="preserve">H13</w:t>
            </w:r>
            <w:r>
              <w:rPr>
                <w:rFonts w:ascii="Calibri" w:cs="Calibri" w:eastAsia="Calibri" w:hAnsi="Calibri"/>
                <w:b w:val="false"/>
                <w:bCs w:val="false"/>
                <w:color w:val="1F2937"/>
                <w:sz w:val="13"/>
                <w:szCs w:val="13"/>
              </w:rPr>
              <w:t xml:space="preserve"> Approved replay</w:t>
            </w:r>
          </w:p>
        </w:tc>
        <w:tc>
          <w:tcPr>
            <w:tcW w:type="dxa" w:w="97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ePHI-like</w:t>
            </w:r>
          </w:p>
        </w:tc>
        <w:tc>
          <w:tcPr>
            <w:tcW w:type="dxa" w:w="123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AMQP/HTTPS via PE</w:t>
            </w:r>
          </w:p>
        </w:tc>
        <w:tc>
          <w:tcPr>
            <w:tcW w:type="dxa" w:w="129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Logic App MI starts pl_replay</w:t>
            </w:r>
          </w:p>
        </w:tc>
        <w:tc>
          <w:tcPr>
            <w:tcW w:type="dxa" w:w="135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Approval record (ID, scope, expiry) + Ingest Operator role</w:t>
            </w:r>
          </w:p>
        </w:tc>
        <w:tc>
          <w:tcPr>
            <w:tcW w:type="dxa" w:w="135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TLS; encrypted</w:t>
            </w:r>
          </w:p>
        </w:tc>
        <w:tc>
          <w:tcPr>
            <w:tcW w:type="dxa" w:w="148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Count ≤ partner limit; idempotency; 1,000-item chunks</w:t>
            </w:r>
          </w:p>
        </w:tc>
        <w:tc>
          <w:tcPr>
            <w:tcW w:type="dxa" w:w="142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AutomationAudit_CL: approver, scope, counts</w:t>
            </w:r>
          </w:p>
        </w:tc>
        <w:tc>
          <w:tcPr>
            <w:tcW w:type="dxa" w:w="148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Stop on duplicate or mismatch; restore checkpoint</w:t>
            </w:r>
          </w:p>
        </w:tc>
        <w:tc>
          <w:tcPr>
            <w:tcW w:type="dxa" w:w="116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Approval record 6 years (D-05)</w:t>
            </w:r>
          </w:p>
        </w:tc>
        <w:tc>
          <w:tcPr>
            <w:tcW w:type="dxa" w:w="97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On-call Lead</w:t>
            </w:r>
          </w:p>
        </w:tc>
      </w:tr>
      <w:tr>
        <w:trPr>
          <w:cantSplit/>
          <w:tblHeader w:val="false"/>
        </w:trPr>
        <w:tc>
          <w:tcPr>
            <w:tcW w:type="dxa" w:w="1359"/>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3"/>
                <w:szCs w:val="13"/>
              </w:rPr>
              <w:t xml:space="preserve">T1/T2</w:t>
            </w:r>
            <w:r>
              <w:rPr>
                <w:rFonts w:ascii="Calibri" w:cs="Calibri" w:eastAsia="Calibri" w:hAnsi="Calibri"/>
                <w:b w:val="false"/>
                <w:bCs w:val="false"/>
                <w:color w:val="1F2937"/>
                <w:sz w:val="13"/>
                <w:szCs w:val="13"/>
              </w:rPr>
              <w:t xml:space="preserve"> Telemetry → workspace → archive</w:t>
            </w:r>
          </w:p>
        </w:tc>
        <w:tc>
          <w:tcPr>
            <w:tcW w:type="dxa" w:w="97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Metadata; AuditLogs ePHI-bearing (EX-07)</w:t>
            </w:r>
          </w:p>
        </w:tc>
        <w:tc>
          <w:tcPr>
            <w:tcW w:type="dxa" w:w="123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HTTPS via AMPLS</w:t>
            </w:r>
          </w:p>
        </w:tc>
        <w:tc>
          <w:tcPr>
            <w:tcW w:type="dxa" w:w="129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Diagnostic settings; DCR with MI</w:t>
            </w:r>
          </w:p>
        </w:tc>
        <w:tc>
          <w:tcPr>
            <w:tcW w:type="dxa" w:w="1359"/>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Table-level RBAC; AuditLogs SecOps only</w:t>
            </w:r>
          </w:p>
        </w:tc>
        <w:tc>
          <w:tcPr>
            <w:tcW w:type="dxa" w:w="1359"/>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TLS; archive immutable</w:t>
            </w:r>
          </w:p>
        </w:tc>
        <w:tc>
          <w:tcPr>
            <w:tcW w:type="dxa" w:w="1489"/>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Schema allow-list; KQL-10 leak scan</w:t>
            </w:r>
          </w:p>
        </w:tc>
        <w:tc>
          <w:tcPr>
            <w:tcW w:type="dxa" w:w="142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LAQueryLogs (who queried)</w:t>
            </w:r>
          </w:p>
        </w:tc>
        <w:tc>
          <w:tcPr>
            <w:tcW w:type="dxa" w:w="1489"/>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Freshness alert KQL-03 → RB-AUDIT-001</w:t>
            </w:r>
          </w:p>
        </w:tc>
        <w:tc>
          <w:tcPr>
            <w:tcW w:type="dxa" w:w="116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90 d interactive; evidence 6 y (D-05)</w:t>
            </w:r>
          </w:p>
        </w:tc>
        <w:tc>
          <w:tcPr>
            <w:tcW w:type="dxa" w:w="97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Security Operations</w:t>
            </w:r>
          </w:p>
        </w:tc>
      </w:tr>
    </w:tbl>
    <w:p>
      <w:pPr>
        <w:keepNext/>
        <w:spacing w:after="30" w:before="60"/>
      </w:pPr>
      <w:r>
        <w:rPr>
          <w:rFonts w:ascii="Calibri" w:cs="Calibri" w:eastAsia="Calibri" w:hAnsi="Calibri"/>
          <w:b/>
          <w:bCs/>
          <w:color w:val="1F3864"/>
          <w:sz w:val="16"/>
          <w:szCs w:val="16"/>
        </w:rPr>
        <w:t xml:space="preserve">Table 4b. Where ePHI rests, and the retention decision for each store (D-05, proposed until OQ-05 closes).</w:t>
      </w:r>
    </w:p>
    <w:tbl>
      <w:tblPr>
        <w:tblW w:type="dxa" w:w="141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1"/>
        <w:gridCol w:w="1721"/>
        <w:gridCol w:w="2639"/>
        <w:gridCol w:w="1836"/>
        <w:gridCol w:w="1836"/>
        <w:gridCol w:w="2983"/>
        <w:gridCol w:w="1376"/>
      </w:tblGrid>
      <w:tr>
        <w:trPr>
          <w:cantSplit/>
          <w:tblHeader/>
        </w:trPr>
        <w:tc>
          <w:tcPr>
            <w:tcW w:type="dxa" w:w="1721"/>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3"/>
                <w:szCs w:val="13"/>
              </w:rPr>
              <w:t xml:space="preserve">Store</w:t>
            </w:r>
          </w:p>
        </w:tc>
        <w:tc>
          <w:tcPr>
            <w:tcW w:type="dxa" w:w="1721"/>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3"/>
                <w:szCs w:val="13"/>
              </w:rPr>
              <w:t xml:space="preserve">Contents</w:t>
            </w:r>
          </w:p>
        </w:tc>
        <w:tc>
          <w:tcPr>
            <w:tcW w:type="dxa" w:w="2639"/>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3"/>
                <w:szCs w:val="13"/>
              </w:rPr>
              <w:t xml:space="preserve">Encryption and access</w:t>
            </w:r>
          </w:p>
        </w:tc>
        <w:tc>
          <w:tcPr>
            <w:tcW w:type="dxa" w:w="1836"/>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3"/>
                <w:szCs w:val="13"/>
              </w:rPr>
              <w:t xml:space="preserve">Immutability</w:t>
            </w:r>
          </w:p>
        </w:tc>
        <w:tc>
          <w:tcPr>
            <w:tcW w:type="dxa" w:w="1836"/>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3"/>
                <w:szCs w:val="13"/>
              </w:rPr>
              <w:t xml:space="preserve">Retention</w:t>
            </w:r>
          </w:p>
        </w:tc>
        <w:tc>
          <w:tcPr>
            <w:tcW w:type="dxa" w:w="2983"/>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3"/>
                <w:szCs w:val="13"/>
              </w:rPr>
              <w:t xml:space="preserve">Disposal</w:t>
            </w:r>
          </w:p>
        </w:tc>
        <w:tc>
          <w:tcPr>
            <w:tcW w:type="dxa" w:w="1376"/>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3"/>
                <w:szCs w:val="13"/>
              </w:rPr>
              <w:t xml:space="preserve">Owner</w:t>
            </w:r>
          </w:p>
        </w:tc>
      </w:tr>
      <w:tr>
        <w:trPr>
          <w:cantSplit/>
          <w:tblHeader w:val="false"/>
        </w:trPr>
        <w:tc>
          <w:tcPr>
            <w:tcW w:type="dxa" w:w="172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3"/>
                <w:szCs w:val="13"/>
              </w:rPr>
              <w:t xml:space="preserve">Service Bus queue</w:t>
            </w:r>
          </w:p>
        </w:tc>
        <w:tc>
          <w:tcPr>
            <w:tcW w:type="dxa" w:w="172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HL7v2 messages in flight</w:t>
            </w:r>
          </w:p>
        </w:tc>
        <w:tc>
          <w:tcPr>
            <w:tcW w:type="dxa" w:w="263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AES-256 (platform); Entra RBAC only, SAS disabled</w:t>
            </w:r>
          </w:p>
        </w:tc>
        <w:tc>
          <w:tcPr>
            <w:tcW w:type="dxa" w:w="183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n/a</w:t>
            </w:r>
          </w:p>
        </w:tc>
        <w:tc>
          <w:tcPr>
            <w:tcW w:type="dxa" w:w="183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TTL 7 days; removed when processed</w:t>
            </w:r>
          </w:p>
        </w:tc>
        <w:tc>
          <w:tcPr>
            <w:tcW w:type="dxa" w:w="298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Normal message completion (not a disposal action)</w:t>
            </w:r>
          </w:p>
        </w:tc>
        <w:tc>
          <w:tcPr>
            <w:tcW w:type="dxa" w:w="137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Platform Eng</w:t>
            </w:r>
          </w:p>
        </w:tc>
      </w:tr>
      <w:tr>
        <w:trPr>
          <w:cantSplit/>
          <w:tblHeader w:val="false"/>
        </w:trPr>
        <w:tc>
          <w:tcPr>
            <w:tcW w:type="dxa" w:w="172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3"/>
                <w:szCs w:val="13"/>
              </w:rPr>
              <w:t xml:space="preserve">Quarantine container</w:t>
            </w:r>
          </w:p>
        </w:tc>
        <w:tc>
          <w:tcPr>
            <w:tcW w:type="dxa" w:w="172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Invalid items (only copy) + metadata</w:t>
            </w:r>
          </w:p>
        </w:tc>
        <w:tc>
          <w:tcPr>
            <w:tcW w:type="dxa" w:w="2639"/>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AES-256; Quarantine Writer has no delete; read via PIM</w:t>
            </w:r>
          </w:p>
        </w:tc>
        <w:tc>
          <w:tcPr>
            <w:tcW w:type="dxa" w:w="183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Time-based policy, unlocked until D-05 approval</w:t>
            </w:r>
          </w:p>
        </w:tc>
        <w:tc>
          <w:tcPr>
            <w:tcW w:type="dxa" w:w="183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30 days after resolution</w:t>
            </w:r>
          </w:p>
        </w:tc>
        <w:tc>
          <w:tcPr>
            <w:tcW w:type="dxa" w:w="2983"/>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3"/>
                <w:szCs w:val="13"/>
              </w:rPr>
              <w:t xml:space="preserve">Manual, two-person</w:t>
            </w:r>
            <w:r>
              <w:rPr>
                <w:rFonts w:ascii="Calibri" w:cs="Calibri" w:eastAsia="Calibri" w:hAnsi="Calibri"/>
                <w:b w:val="false"/>
                <w:bCs w:val="false"/>
                <w:color w:val="1F2937"/>
                <w:sz w:val="13"/>
                <w:szCs w:val="13"/>
              </w:rPr>
              <w:t xml:space="preserve"> (AUT-11), legal-hold check first</w:t>
            </w:r>
          </w:p>
        </w:tc>
        <w:tc>
          <w:tcPr>
            <w:tcW w:type="dxa" w:w="137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Integration Eng / Data Gov</w:t>
            </w:r>
          </w:p>
        </w:tc>
      </w:tr>
      <w:tr>
        <w:trPr>
          <w:cantSplit/>
          <w:tblHeader w:val="false"/>
        </w:trPr>
        <w:tc>
          <w:tcPr>
            <w:tcW w:type="dxa" w:w="172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3"/>
                <w:szCs w:val="13"/>
              </w:rPr>
              <w:t xml:space="preserve">SFTP landing (p003)</w:t>
            </w:r>
          </w:p>
        </w:tc>
        <w:tc>
          <w:tcPr>
            <w:tcW w:type="dxa" w:w="172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Partner NDJSON + manifest (transient copy)</w:t>
            </w:r>
          </w:p>
        </w:tc>
        <w:tc>
          <w:tcPr>
            <w:tcW w:type="dxa" w:w="263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AES-256; partner write-only; ADF read</w:t>
            </w:r>
          </w:p>
        </w:tc>
        <w:tc>
          <w:tcPr>
            <w:tcW w:type="dxa" w:w="183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None</w:t>
            </w:r>
          </w:p>
        </w:tc>
        <w:tc>
          <w:tcPr>
            <w:tcW w:type="dxa" w:w="183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7 days after import</w:t>
            </w:r>
          </w:p>
        </w:tc>
        <w:tc>
          <w:tcPr>
            <w:tcW w:type="dxa" w:w="298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Lifecycle rule approved once under D-05; deletes only batches whose Reconcile record is balanced</w:t>
            </w:r>
          </w:p>
        </w:tc>
        <w:tc>
          <w:tcPr>
            <w:tcW w:type="dxa" w:w="137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Platform Eng</w:t>
            </w:r>
          </w:p>
        </w:tc>
      </w:tr>
      <w:tr>
        <w:trPr>
          <w:cantSplit/>
          <w:tblHeader w:val="false"/>
        </w:trPr>
        <w:tc>
          <w:tcPr>
            <w:tcW w:type="dxa" w:w="172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3"/>
                <w:szCs w:val="13"/>
              </w:rPr>
              <w:t xml:space="preserve">NDJSON staging</w:t>
            </w:r>
          </w:p>
        </w:tc>
        <w:tc>
          <w:tcPr>
            <w:tcW w:type="dxa" w:w="172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Validated NDJSON (transient copy)</w:t>
            </w:r>
          </w:p>
        </w:tc>
        <w:tc>
          <w:tcPr>
            <w:tcW w:type="dxa" w:w="2639"/>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AES-256; ADF write; FHIR MI read</w:t>
            </w:r>
          </w:p>
        </w:tc>
        <w:tc>
          <w:tcPr>
            <w:tcW w:type="dxa" w:w="183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None</w:t>
            </w:r>
          </w:p>
        </w:tc>
        <w:tc>
          <w:tcPr>
            <w:tcW w:type="dxa" w:w="183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7 days after reconcile</w:t>
            </w:r>
          </w:p>
        </w:tc>
        <w:tc>
          <w:tcPr>
            <w:tcW w:type="dxa" w:w="2983"/>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Same pre-approved lifecycle rule, post-reconcile only</w:t>
            </w:r>
          </w:p>
        </w:tc>
        <w:tc>
          <w:tcPr>
            <w:tcW w:type="dxa" w:w="137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Integration Eng</w:t>
            </w:r>
          </w:p>
        </w:tc>
      </w:tr>
      <w:tr>
        <w:trPr>
          <w:cantSplit/>
          <w:tblHeader w:val="false"/>
        </w:trPr>
        <w:tc>
          <w:tcPr>
            <w:tcW w:type="dxa" w:w="172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3"/>
                <w:szCs w:val="13"/>
              </w:rPr>
              <w:t xml:space="preserve">FHIR service</w:t>
            </w:r>
          </w:p>
        </w:tc>
        <w:tc>
          <w:tcPr>
            <w:tcW w:type="dxa" w:w="172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System of record (versioned)</w:t>
            </w:r>
          </w:p>
        </w:tc>
        <w:tc>
          <w:tcPr>
            <w:tcW w:type="dxa" w:w="263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AES-256; FHIR data roles; private only</w:t>
            </w:r>
          </w:p>
        </w:tc>
        <w:tc>
          <w:tcPr>
            <w:tcW w:type="dxa" w:w="183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Version history kept</w:t>
            </w:r>
          </w:p>
        </w:tc>
        <w:tc>
          <w:tcPr>
            <w:tcW w:type="dxa" w:w="183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Per partner agreement and record policy</w:t>
            </w:r>
          </w:p>
        </w:tc>
        <w:tc>
          <w:tcPr>
            <w:tcW w:type="dxa" w:w="298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Never by platform automation (no FHIR Data Contributor assigned)</w:t>
            </w:r>
          </w:p>
        </w:tc>
        <w:tc>
          <w:tcPr>
            <w:tcW w:type="dxa" w:w="137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Data Governance</w:t>
            </w:r>
          </w:p>
        </w:tc>
      </w:tr>
      <w:tr>
        <w:trPr>
          <w:cantSplit/>
          <w:tblHeader w:val="false"/>
        </w:trPr>
        <w:tc>
          <w:tcPr>
            <w:tcW w:type="dxa" w:w="172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3"/>
                <w:szCs w:val="13"/>
              </w:rPr>
              <w:t xml:space="preserve">Log Analytics audit tables</w:t>
            </w:r>
          </w:p>
        </w:tc>
        <w:tc>
          <w:tcPr>
            <w:tcW w:type="dxa" w:w="172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AuditLogs, gateway logs (EX-07), automation audit</w:t>
            </w:r>
          </w:p>
        </w:tc>
        <w:tc>
          <w:tcPr>
            <w:tcW w:type="dxa" w:w="2639"/>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Workspace encryption; table-level RBAC</w:t>
            </w:r>
          </w:p>
        </w:tc>
        <w:tc>
          <w:tcPr>
            <w:tcW w:type="dxa" w:w="183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n/a</w:t>
            </w:r>
          </w:p>
        </w:tc>
        <w:tc>
          <w:tcPr>
            <w:tcW w:type="dxa" w:w="183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90 d interactive; 6 y total</w:t>
            </w:r>
          </w:p>
        </w:tc>
        <w:tc>
          <w:tcPr>
            <w:tcW w:type="dxa" w:w="2983"/>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Retention expiry; purge only via AUT-11</w:t>
            </w:r>
          </w:p>
        </w:tc>
        <w:tc>
          <w:tcPr>
            <w:tcW w:type="dxa" w:w="137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Security Ops</w:t>
            </w:r>
          </w:p>
        </w:tc>
      </w:tr>
      <w:tr>
        <w:trPr>
          <w:cantSplit/>
          <w:tblHeader w:val="false"/>
        </w:trPr>
        <w:tc>
          <w:tcPr>
            <w:tcW w:type="dxa" w:w="172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3"/>
                <w:szCs w:val="13"/>
              </w:rPr>
              <w:t xml:space="preserve">Evidence archive</w:t>
            </w:r>
          </w:p>
        </w:tc>
        <w:tc>
          <w:tcPr>
            <w:tcW w:type="dxa" w:w="172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Daily evidence exports, approvals, reports</w:t>
            </w:r>
          </w:p>
        </w:tc>
        <w:tc>
          <w:tcPr>
            <w:tcW w:type="dxa" w:w="263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AES-256; read via PIM</w:t>
            </w:r>
          </w:p>
        </w:tc>
        <w:tc>
          <w:tcPr>
            <w:tcW w:type="dxa" w:w="183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Time-based 6 y; locked after D-05 approval; legal hold</w:t>
            </w:r>
          </w:p>
        </w:tc>
        <w:tc>
          <w:tcPr>
            <w:tcW w:type="dxa" w:w="183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6 years</w:t>
            </w:r>
          </w:p>
        </w:tc>
        <w:tc>
          <w:tcPr>
            <w:tcW w:type="dxa" w:w="298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Expiry after legal-hold check</w:t>
            </w:r>
          </w:p>
        </w:tc>
        <w:tc>
          <w:tcPr>
            <w:tcW w:type="dxa" w:w="137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3"/>
                <w:szCs w:val="13"/>
              </w:rPr>
              <w:t xml:space="preserve">Security Ops</w:t>
            </w:r>
          </w:p>
        </w:tc>
      </w:tr>
    </w:tbl>
    <w:p>
      <w:pPr>
        <w:sectPr>
          <w:headerReference w:type="default" r:id="rId13"/>
          <w:footerReference w:type="default" r:id="rId14"/>
          <w:pgSz w:w="15840" w:h="12240" w:orient="landscape"/>
          <w:pgMar w:top="780" w:right="864" w:bottom="720" w:left="864" w:header="360" w:footer="340" w:gutter="0"/>
          <w:pgNumType/>
          <w:docGrid w:linePitch="360"/>
        </w:sectPr>
      </w:pPr>
    </w:p>
    <w:p>
      <w:pPr>
        <w:pStyle w:val="Heading1"/>
        <w:keepNext/>
        <w:pBdr>
          <w:bottom w:val="single" w:color="1F3864" w:sz="6" w:space="2"/>
        </w:pBdr>
        <w:spacing w:after="70" w:before="120"/>
      </w:pPr>
      <w:r>
        <w:rPr>
          <w:rFonts w:ascii="Calibri" w:cs="Calibri" w:eastAsia="Calibri" w:hAnsi="Calibri"/>
          <w:b/>
          <w:bCs/>
          <w:color w:val="1F3864"/>
          <w:sz w:val="26"/>
          <w:szCs w:val="26"/>
        </w:rPr>
        <w:t xml:space="preserve">3  Identity and Access Management</w:t>
      </w:r>
    </w:p>
    <w:p>
      <w:pPr>
        <w:spacing w:after="60" w:before="0" w:line="236"/>
        <w:jc w:val="left"/>
      </w:pPr>
      <w:r>
        <w:rPr>
          <w:rFonts w:ascii="Calibri" w:cs="Calibri" w:eastAsia="Calibri" w:hAnsi="Calibri"/>
          <w:b/>
          <w:bCs/>
          <w:color w:val="1F2937"/>
          <w:sz w:val="17"/>
          <w:szCs w:val="17"/>
        </w:rPr>
        <w:t xml:space="preserve">Principles.</w:t>
      </w:r>
      <w:r>
        <w:rPr>
          <w:rFonts w:ascii="Calibri" w:cs="Calibri" w:eastAsia="Calibri" w:hAnsi="Calibri"/>
          <w:color w:val="1F2937"/>
          <w:sz w:val="17"/>
          <w:szCs w:val="17"/>
        </w:rPr>
        <w:t xml:space="preserve"> Eliminate secrets first; Key Vault holds only what cannot be eliminated. Each workload function gets one user-assigned managed identity, with roles at the narrowest scope (queue, container, vault object) and no Owner or Contributor. Humans get access through Entra ID groups only, with MFA enforced by Conditional Access; production roles are PIM-eligible, never standing, and no human has standing FHIR data access. Partners hold no Azure roles (Team table) and use the strongest method their interface supports.</w:t>
      </w:r>
    </w:p>
    <w:p>
      <w:pPr>
        <w:keepNext/>
        <w:spacing w:after="30" w:before="60"/>
      </w:pPr>
      <w:r>
        <w:rPr>
          <w:rFonts w:ascii="Calibri" w:cs="Calibri" w:eastAsia="Calibri" w:hAnsi="Calibri"/>
          <w:b/>
          <w:bCs/>
          <w:color w:val="1F3864"/>
          <w:sz w:val="16"/>
          <w:szCs w:val="16"/>
        </w:rPr>
        <w:t xml:space="preserve">Table 5. Workload identity and RBAC inventory (M1). Azure built-in roles unless marked custom.</w:t>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4"/>
        <w:gridCol w:w="1656"/>
        <w:gridCol w:w="4608"/>
        <w:gridCol w:w="2304"/>
      </w:tblGrid>
      <w:tr>
        <w:trPr>
          <w:cantSplit/>
          <w:tblHeader/>
        </w:trPr>
        <w:tc>
          <w:tcPr>
            <w:tcW w:type="dxa" w:w="1944"/>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Identity</w:t>
            </w:r>
          </w:p>
        </w:tc>
        <w:tc>
          <w:tcPr>
            <w:tcW w:type="dxa" w:w="1656"/>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Used by</w:t>
            </w:r>
          </w:p>
        </w:tc>
        <w:tc>
          <w:tcPr>
            <w:tcW w:type="dxa" w:w="4608"/>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Role → scope</w:t>
            </w:r>
          </w:p>
        </w:tc>
        <w:tc>
          <w:tcPr>
            <w:tcW w:type="dxa" w:w="2304"/>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Credential; notes</w:t>
            </w:r>
          </w:p>
        </w:tc>
      </w:tr>
      <w:tr>
        <w:trPr>
          <w:cantSplit/>
          <w:tblHeader w:val="false"/>
        </w:trPr>
        <w:tc>
          <w:tcPr>
            <w:tcW w:type="dxa" w:w="194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uami-ingest-listener</w:t>
            </w:r>
          </w:p>
        </w:tc>
        <w:tc>
          <w:tcPr>
            <w:tcW w:type="dxa" w:w="165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MLLP listener (Container Apps)</w:t>
            </w:r>
          </w:p>
        </w:tc>
        <w:tc>
          <w:tcPr>
            <w:tcW w:type="dxa" w:w="460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Azure Service Bus Data Sender → sbq-p001-inbound; Key Vault Secrets User → listener certificate object; Monitoring Metrics Publisher → DCR</w:t>
            </w:r>
          </w:p>
        </w:tc>
        <w:tc>
          <w:tcPr>
            <w:tcW w:type="dxa" w:w="230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MI; cannot receive from the queue</w:t>
            </w:r>
          </w:p>
        </w:tc>
      </w:tr>
      <w:tr>
        <w:trPr>
          <w:cantSplit/>
          <w:tblHeader w:val="false"/>
        </w:trPr>
        <w:tc>
          <w:tcPr>
            <w:tcW w:type="dxa" w:w="194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uami-ingest-worker</w:t>
            </w:r>
          </w:p>
        </w:tc>
        <w:tc>
          <w:tcPr>
            <w:tcW w:type="dxa" w:w="165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Ingest Functions</w:t>
            </w:r>
          </w:p>
        </w:tc>
        <w:tc>
          <w:tcPr>
            <w:tcW w:type="dxa" w:w="460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Service Bus Data Receiver → queue; FHIR Data Converter + FHIR Data Writer → FHIR; Quarantine Writer (custom, no delete) → quarantine; Key Vault Secrets User → HMAC key; Monitoring Metrics Publisher → DCR</w:t>
            </w:r>
          </w:p>
        </w:tc>
        <w:tc>
          <w:tcPr>
            <w:tcW w:type="dxa" w:w="230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MI; FHIR Data Contributor is assigned to no workload</w:t>
            </w:r>
          </w:p>
        </w:tc>
      </w:tr>
      <w:tr>
        <w:trPr>
          <w:cantSplit/>
          <w:tblHeader w:val="false"/>
        </w:trPr>
        <w:tc>
          <w:tcPr>
            <w:tcW w:type="dxa" w:w="194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ADF system MI</w:t>
            </w:r>
          </w:p>
        </w:tc>
        <w:tc>
          <w:tcPr>
            <w:tcW w:type="dxa" w:w="165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Data Factory (C-05)</w:t>
            </w:r>
          </w:p>
        </w:tc>
        <w:tc>
          <w:tcPr>
            <w:tcW w:type="dxa" w:w="460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Storage Blob Data Reader → landing/p003; Storage Blob Data Contributor → staging; FHIR Data Importer + Converter → FHIR; Quarantine Writer → quarantine</w:t>
            </w:r>
          </w:p>
        </w:tc>
        <w:tc>
          <w:tcPr>
            <w:tcW w:type="dxa" w:w="230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MI; client secret removed and revoked (REM-01)</w:t>
            </w:r>
          </w:p>
        </w:tc>
      </w:tr>
      <w:tr>
        <w:trPr>
          <w:cantSplit/>
          <w:tblHeader w:val="false"/>
        </w:trPr>
        <w:tc>
          <w:tcPr>
            <w:tcW w:type="dxa" w:w="194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FHIR service system MI</w:t>
            </w:r>
          </w:p>
        </w:tc>
        <w:tc>
          <w:tcPr>
            <w:tcW w:type="dxa" w:w="165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FHIR service (C-06)</w:t>
            </w:r>
          </w:p>
        </w:tc>
        <w:tc>
          <w:tcPr>
            <w:tcW w:type="dxa" w:w="460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AcrPull → template registry; Storage Blob Data Contributor → staging account (import)</w:t>
            </w:r>
          </w:p>
        </w:tc>
        <w:tc>
          <w:tcPr>
            <w:tcW w:type="dxa" w:w="230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MI</w:t>
            </w:r>
          </w:p>
        </w:tc>
      </w:tr>
      <w:tr>
        <w:trPr>
          <w:cantSplit/>
          <w:tblHeader w:val="false"/>
        </w:trPr>
        <w:tc>
          <w:tcPr>
            <w:tcW w:type="dxa" w:w="194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uami-analytics</w:t>
            </w:r>
          </w:p>
        </w:tc>
        <w:tc>
          <w:tcPr>
            <w:tcW w:type="dxa" w:w="165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Analytics (C-07)</w:t>
            </w:r>
          </w:p>
        </w:tc>
        <w:tc>
          <w:tcPr>
            <w:tcW w:type="dxa" w:w="460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FHIR Data Reader → FHIR service</w:t>
            </w:r>
          </w:p>
        </w:tc>
        <w:tc>
          <w:tcPr>
            <w:tcW w:type="dxa" w:w="230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MI; read-only</w:t>
            </w:r>
          </w:p>
        </w:tc>
      </w:tr>
      <w:tr>
        <w:trPr>
          <w:cantSplit/>
          <w:tblHeader w:val="false"/>
        </w:trPr>
        <w:tc>
          <w:tcPr>
            <w:tcW w:type="dxa" w:w="194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APIM system MI</w:t>
            </w:r>
          </w:p>
        </w:tc>
        <w:tc>
          <w:tcPr>
            <w:tcW w:type="dxa" w:w="165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API Management</w:t>
            </w:r>
          </w:p>
        </w:tc>
        <w:tc>
          <w:tcPr>
            <w:tcW w:type="dxa" w:w="460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Key Vault Secrets User → gateway certificate object</w:t>
            </w:r>
          </w:p>
        </w:tc>
        <w:tc>
          <w:tcPr>
            <w:tcW w:type="dxa" w:w="230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MI; partner token is passed through, APIM never calls FHIR as itself</w:t>
            </w:r>
          </w:p>
        </w:tc>
      </w:tr>
      <w:tr>
        <w:trPr>
          <w:cantSplit/>
          <w:tblHeader w:val="false"/>
        </w:trPr>
        <w:tc>
          <w:tcPr>
            <w:tcW w:type="dxa" w:w="194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Logic App system MI</w:t>
            </w:r>
          </w:p>
        </w:tc>
        <w:tc>
          <w:tcPr>
            <w:tcW w:type="dxa" w:w="165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Incident and approval flows (C-09)</w:t>
            </w:r>
          </w:p>
        </w:tc>
        <w:tc>
          <w:tcPr>
            <w:tcW w:type="dxa" w:w="460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Log Analytics Reader → workspace (not AuditLogs); Ingest Operator (custom: queue status, ADF trigger start/stop, createRun) → named resources; Policy remediation (custom) → integration RG</w:t>
            </w:r>
          </w:p>
        </w:tc>
        <w:tc>
          <w:tcPr>
            <w:tcW w:type="dxa" w:w="230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MI; no FHIR data role</w:t>
            </w:r>
          </w:p>
        </w:tc>
      </w:tr>
      <w:tr>
        <w:trPr>
          <w:cantSplit/>
          <w:tblHeader w:val="false"/>
        </w:trPr>
        <w:tc>
          <w:tcPr>
            <w:tcW w:type="dxa" w:w="194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Fabrikam app registration</w:t>
            </w:r>
          </w:p>
        </w:tc>
        <w:tc>
          <w:tcPr>
            <w:tcW w:type="dxa" w:w="165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Partner P-002</w:t>
            </w:r>
          </w:p>
        </w:tc>
        <w:tc>
          <w:tcPr>
            <w:tcW w:type="dxa" w:w="460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FHIR Data Writer → FHIR; APIM checks issuer, audience, client ID</w:t>
            </w:r>
          </w:p>
        </w:tc>
        <w:tc>
          <w:tcPr>
            <w:tcW w:type="dxa" w:w="230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Certificate; Contoso holds public key only (EX-06)</w:t>
            </w:r>
          </w:p>
        </w:tc>
      </w:tr>
      <w:tr>
        <w:trPr>
          <w:cantSplit/>
          <w:tblHeader w:val="false"/>
        </w:trPr>
        <w:tc>
          <w:tcPr>
            <w:tcW w:type="dxa" w:w="194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Litware local user</w:t>
            </w:r>
          </w:p>
        </w:tc>
        <w:tc>
          <w:tcPr>
            <w:tcW w:type="dxa" w:w="165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Partner P-003</w:t>
            </w:r>
          </w:p>
        </w:tc>
        <w:tc>
          <w:tcPr>
            <w:tcW w:type="dxa" w:w="460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Create + write → landing container p003 (no read, list, delete)</w:t>
            </w:r>
          </w:p>
        </w:tc>
        <w:tc>
          <w:tcPr>
            <w:tcW w:type="dxa" w:w="230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SSH public key; no password (EX-03)</w:t>
            </w:r>
          </w:p>
        </w:tc>
      </w:tr>
      <w:tr>
        <w:trPr>
          <w:cantSplit/>
          <w:tblHeader w:val="false"/>
        </w:trPr>
        <w:tc>
          <w:tcPr>
            <w:tcW w:type="dxa" w:w="194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SHIR nodes (2)</w:t>
            </w:r>
          </w:p>
        </w:tc>
        <w:tc>
          <w:tcPr>
            <w:tcW w:type="dxa" w:w="165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Northwind re-export</w:t>
            </w:r>
          </w:p>
        </w:tc>
        <w:tc>
          <w:tcPr>
            <w:tcW w:type="dxa" w:w="460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Registered to integration runtime shir-p001</w:t>
            </w:r>
          </w:p>
        </w:tc>
        <w:tc>
          <w:tcPr>
            <w:tcW w:type="dxa" w:w="230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Auth key in Key Vault (EX-05); virtual service account</w:t>
            </w:r>
          </w:p>
        </w:tc>
      </w:tr>
    </w:tbl>
    <w:p>
      <w:pPr>
        <w:keepNext/>
        <w:spacing w:after="30" w:before="60"/>
      </w:pPr>
      <w:r>
        <w:rPr>
          <w:rFonts w:ascii="Calibri" w:cs="Calibri" w:eastAsia="Calibri" w:hAnsi="Calibri"/>
          <w:b/>
          <w:bCs/>
          <w:color w:val="1F3864"/>
          <w:sz w:val="16"/>
          <w:szCs w:val="16"/>
        </w:rPr>
        <w:t xml:space="preserve">Table 6. Human access model (MFA via Conditional Access for all; PIM activation needs justification and ticket ID).</w:t>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16"/>
        <w:gridCol w:w="3384"/>
        <w:gridCol w:w="3384"/>
        <w:gridCol w:w="1728"/>
      </w:tblGrid>
      <w:tr>
        <w:trPr>
          <w:cantSplit/>
          <w:tblHeader/>
        </w:trPr>
        <w:tc>
          <w:tcPr>
            <w:tcW w:type="dxa" w:w="2016"/>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Group (members)</w:t>
            </w:r>
          </w:p>
        </w:tc>
        <w:tc>
          <w:tcPr>
            <w:tcW w:type="dxa" w:w="3384"/>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Standing access</w:t>
            </w:r>
          </w:p>
        </w:tc>
        <w:tc>
          <w:tcPr>
            <w:tcW w:type="dxa" w:w="3384"/>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PIM-eligible (max duration)</w:t>
            </w:r>
          </w:p>
        </w:tc>
        <w:tc>
          <w:tcPr>
            <w:tcW w:type="dxa" w:w="1728"/>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Activation approval</w:t>
            </w:r>
          </w:p>
        </w:tc>
      </w:tr>
      <w:tr>
        <w:trPr>
          <w:cantSplit/>
          <w:tblHeader w:val="false"/>
        </w:trPr>
        <w:tc>
          <w:tcPr>
            <w:tcW w:type="dxa" w:w="201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Platform engineers (4)</w:t>
            </w:r>
          </w:p>
        </w:tc>
        <w:tc>
          <w:tcPr>
            <w:tcW w:type="dxa" w:w="338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Reader on platform RGs; Log Analytics Reader (no AuditLogs)</w:t>
            </w:r>
          </w:p>
        </w:tc>
        <w:tc>
          <w:tcPr>
            <w:tcW w:type="dxa" w:w="338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Contributor on integration RG (4 h); Ingest Operator (4 h)</w:t>
            </w:r>
          </w:p>
        </w:tc>
        <w:tc>
          <w:tcPr>
            <w:tcW w:type="dxa" w:w="172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Self; ticket ID</w:t>
            </w:r>
          </w:p>
        </w:tc>
      </w:tr>
      <w:tr>
        <w:trPr>
          <w:cantSplit/>
          <w:tblHeader w:val="false"/>
        </w:trPr>
        <w:tc>
          <w:tcPr>
            <w:tcW w:type="dxa" w:w="201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On-call Lead (1/shift)</w:t>
            </w:r>
          </w:p>
        </w:tc>
        <w:tc>
          <w:tcPr>
            <w:tcW w:type="dxa" w:w="338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As engineers; approver role in replay flow</w:t>
            </w:r>
          </w:p>
        </w:tc>
        <w:tc>
          <w:tcPr>
            <w:tcW w:type="dxa" w:w="338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Contributor on integration RG (4 h)</w:t>
            </w:r>
          </w:p>
        </w:tc>
        <w:tc>
          <w:tcPr>
            <w:tcW w:type="dxa" w:w="172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Self; ticket ID</w:t>
            </w:r>
          </w:p>
        </w:tc>
      </w:tr>
      <w:tr>
        <w:trPr>
          <w:cantSplit/>
          <w:tblHeader w:val="false"/>
        </w:trPr>
        <w:tc>
          <w:tcPr>
            <w:tcW w:type="dxa" w:w="201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Security Operations (3)</w:t>
            </w:r>
          </w:p>
        </w:tc>
        <w:tc>
          <w:tcPr>
            <w:tcW w:type="dxa" w:w="338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Security Reader; Log Analytics Reader incl. AuditLogs</w:t>
            </w:r>
          </w:p>
        </w:tc>
        <w:tc>
          <w:tcPr>
            <w:tcW w:type="dxa" w:w="338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Key Vault Administrator (2 h); FHIR Data Reader for investigation (2 h)</w:t>
            </w:r>
          </w:p>
        </w:tc>
        <w:tc>
          <w:tcPr>
            <w:tcW w:type="dxa" w:w="172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Second SecOps member</w:t>
            </w:r>
          </w:p>
        </w:tc>
      </w:tr>
      <w:tr>
        <w:trPr>
          <w:cantSplit/>
          <w:tblHeader w:val="false"/>
        </w:trPr>
        <w:tc>
          <w:tcPr>
            <w:tcW w:type="dxa" w:w="201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Privacy Officer (1)</w:t>
            </w:r>
          </w:p>
        </w:tc>
        <w:tc>
          <w:tcPr>
            <w:tcW w:type="dxa" w:w="338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Evidence archive reports (read)</w:t>
            </w:r>
          </w:p>
        </w:tc>
        <w:tc>
          <w:tcPr>
            <w:tcW w:type="dxa" w:w="338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None; does not operate production</w:t>
            </w:r>
          </w:p>
        </w:tc>
        <w:tc>
          <w:tcPr>
            <w:tcW w:type="dxa" w:w="172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n/a</w:t>
            </w:r>
          </w:p>
        </w:tc>
      </w:tr>
      <w:tr>
        <w:trPr>
          <w:cantSplit/>
          <w:tblHeader w:val="false"/>
        </w:trPr>
        <w:tc>
          <w:tcPr>
            <w:tcW w:type="dxa" w:w="201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Clinical Operations (2)</w:t>
            </w:r>
          </w:p>
        </w:tc>
        <w:tc>
          <w:tcPr>
            <w:tcW w:type="dxa" w:w="338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Clinician UI app roles; business dashboard</w:t>
            </w:r>
          </w:p>
        </w:tc>
        <w:tc>
          <w:tcPr>
            <w:tcW w:type="dxa" w:w="338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None</w:t>
            </w:r>
          </w:p>
        </w:tc>
        <w:tc>
          <w:tcPr>
            <w:tcW w:type="dxa" w:w="172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n/a</w:t>
            </w:r>
          </w:p>
        </w:tc>
      </w:tr>
      <w:tr>
        <w:trPr>
          <w:cantSplit/>
          <w:tblHeader w:val="false"/>
        </w:trPr>
        <w:tc>
          <w:tcPr>
            <w:tcW w:type="dxa" w:w="201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Break-glass (2 accounts)</w:t>
            </w:r>
          </w:p>
        </w:tc>
        <w:tc>
          <w:tcPr>
            <w:tcW w:type="dxa" w:w="338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Cloud-only; FIDO2 keys in separate safes</w:t>
            </w:r>
          </w:p>
        </w:tc>
        <w:tc>
          <w:tcPr>
            <w:tcW w:type="dxa" w:w="338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Used only if PIM or Entra ID fails</w:t>
            </w:r>
          </w:p>
        </w:tc>
        <w:tc>
          <w:tcPr>
            <w:tcW w:type="dxa" w:w="172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Any sign-in pages SecOps (KQL-11)</w:t>
            </w:r>
          </w:p>
        </w:tc>
      </w:tr>
    </w:tbl>
    <w:p>
      <w:pPr>
        <w:spacing w:after="60" w:before="40" w:line="236"/>
        <w:jc w:val="left"/>
      </w:pPr>
      <w:r>
        <w:rPr>
          <w:rFonts w:ascii="Calibri" w:cs="Calibri" w:eastAsia="Calibri" w:hAnsi="Calibri"/>
          <w:b/>
          <w:bCs/>
          <w:color w:val="1F2937"/>
          <w:sz w:val="17"/>
          <w:szCs w:val="17"/>
        </w:rPr>
        <w:t xml:space="preserve">Automatic logoff:</w:t>
      </w:r>
      <w:r>
        <w:rPr>
          <w:rFonts w:ascii="Calibri" w:cs="Calibri" w:eastAsia="Calibri" w:hAnsi="Calibri"/>
          <w:color w:val="1F2937"/>
          <w:sz w:val="17"/>
          <w:szCs w:val="17"/>
        </w:rPr>
        <w:t xml:space="preserve"> Conditional Access sign-in frequency of 4 h for admin portals; PIM activations ≤4 h; clinician UI logs off after 15 min idle. </w:t>
      </w:r>
      <w:r>
        <w:rPr>
          <w:rFonts w:ascii="Calibri" w:cs="Calibri" w:eastAsia="Calibri" w:hAnsi="Calibri"/>
          <w:b/>
          <w:bCs/>
          <w:color w:val="1F2937"/>
          <w:sz w:val="17"/>
          <w:szCs w:val="17"/>
        </w:rPr>
        <w:t xml:space="preserve">Key Vault:</w:t>
      </w:r>
      <w:r>
        <w:rPr>
          <w:rFonts w:ascii="Calibri" w:cs="Calibri" w:eastAsia="Calibri" w:hAnsi="Calibri"/>
          <w:color w:val="1F2937"/>
          <w:sz w:val="17"/>
          <w:szCs w:val="17"/>
        </w:rPr>
        <w:t xml:space="preserve"> Azure RBAC permission model (no access policies), private endpoint, public access disabled, soft delete with purge protection, roles scoped to individual objects, and Event Grid near-expiry events at 30 days.</w:t>
      </w:r>
    </w:p>
    <w:p>
      <w:pPr>
        <w:keepNext/>
        <w:spacing w:after="30" w:before="60"/>
      </w:pPr>
      <w:r>
        <w:rPr>
          <w:rFonts w:ascii="Calibri" w:cs="Calibri" w:eastAsia="Calibri" w:hAnsi="Calibri"/>
          <w:b/>
          <w:bCs/>
          <w:color w:val="1F3864"/>
          <w:sz w:val="16"/>
          <w:szCs w:val="16"/>
        </w:rPr>
        <w:t xml:space="preserve">Table 7. Exception register (compensating controls, owner, quarterly review).</w:t>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6"/>
        <w:gridCol w:w="3202"/>
        <w:gridCol w:w="1044"/>
        <w:gridCol w:w="4177"/>
        <w:gridCol w:w="1393"/>
      </w:tblGrid>
      <w:tr>
        <w:trPr>
          <w:cantSplit/>
          <w:tblHeader/>
        </w:trPr>
        <w:tc>
          <w:tcPr>
            <w:tcW w:type="dxa" w:w="696"/>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ID</w:t>
            </w:r>
          </w:p>
        </w:tc>
        <w:tc>
          <w:tcPr>
            <w:tcW w:type="dxa" w:w="3202"/>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Exception</w:t>
            </w:r>
          </w:p>
        </w:tc>
        <w:tc>
          <w:tcPr>
            <w:tcW w:type="dxa" w:w="1044"/>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Constraint</w:t>
            </w:r>
          </w:p>
        </w:tc>
        <w:tc>
          <w:tcPr>
            <w:tcW w:type="dxa" w:w="4177"/>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Compensating controls</w:t>
            </w:r>
          </w:p>
        </w:tc>
        <w:tc>
          <w:tcPr>
            <w:tcW w:type="dxa" w:w="1393"/>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Owner</w:t>
            </w:r>
          </w:p>
        </w:tc>
      </w:tr>
      <w:tr>
        <w:trPr>
          <w:cantSplit/>
          <w:tblHeader w:val="false"/>
        </w:trPr>
        <w:tc>
          <w:tcPr>
            <w:tcW w:type="dxa" w:w="69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EX-01</w:t>
            </w:r>
          </w:p>
        </w:tc>
        <w:tc>
          <w:tcPr>
            <w:tcW w:type="dxa" w:w="320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Logic App HTTP trigger reachable from Azure Monitor action groups</w:t>
            </w:r>
          </w:p>
        </w:tc>
        <w:tc>
          <w:tcPr>
            <w:tcW w:type="dxa" w:w="104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PC-02</w:t>
            </w:r>
          </w:p>
        </w:tc>
        <w:tc>
          <w:tcPr>
            <w:tcW w:type="dxa" w:w="4177"/>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Entra-authorized secure webhook; no SAS callback; inbound limited to ActionGroup service tag; metadata-only payload</w:t>
            </w:r>
          </w:p>
        </w:tc>
        <w:tc>
          <w:tcPr>
            <w:tcW w:type="dxa" w:w="139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Platform Security</w:t>
            </w:r>
          </w:p>
        </w:tc>
      </w:tr>
      <w:tr>
        <w:trPr>
          <w:cantSplit/>
          <w:tblHeader w:val="false"/>
        </w:trPr>
        <w:tc>
          <w:tcPr>
            <w:tcW w:type="dxa" w:w="69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EX-02</w:t>
            </w:r>
          </w:p>
        </w:tc>
        <w:tc>
          <w:tcPr>
            <w:tcW w:type="dxa" w:w="320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Teams approval connector uses a delegated connection (dedicated service account)</w:t>
            </w:r>
          </w:p>
        </w:tc>
        <w:tc>
          <w:tcPr>
            <w:tcW w:type="dxa" w:w="104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PC-03</w:t>
            </w:r>
          </w:p>
        </w:tc>
        <w:tc>
          <w:tcPr>
            <w:tcW w:type="dxa" w:w="4177"/>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Conditional Access on the account; no PHI in cards; responder checked against approver group; quarterly review</w:t>
            </w:r>
          </w:p>
        </w:tc>
        <w:tc>
          <w:tcPr>
            <w:tcW w:type="dxa" w:w="1393"/>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Identity &amp; Security</w:t>
            </w:r>
          </w:p>
        </w:tc>
      </w:tr>
      <w:tr>
        <w:trPr>
          <w:cantSplit/>
          <w:tblHeader w:val="false"/>
        </w:trPr>
        <w:tc>
          <w:tcPr>
            <w:tcW w:type="dxa" w:w="69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EX-03</w:t>
            </w:r>
          </w:p>
        </w:tc>
        <w:tc>
          <w:tcPr>
            <w:tcW w:type="dxa" w:w="320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Litware SFTP local user uses an SSH key, not Entra ID</w:t>
            </w:r>
          </w:p>
        </w:tc>
        <w:tc>
          <w:tcPr>
            <w:tcW w:type="dxa" w:w="104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PC-03</w:t>
            </w:r>
          </w:p>
        </w:tc>
        <w:tc>
          <w:tcPr>
            <w:tcW w:type="dxa" w:w="4177"/>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Key-only; write-only on one container; private endpoint; StorageBlobLogs monitored; annual rotation</w:t>
            </w:r>
          </w:p>
        </w:tc>
        <w:tc>
          <w:tcPr>
            <w:tcW w:type="dxa" w:w="139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Platform Eng</w:t>
            </w:r>
          </w:p>
        </w:tc>
      </w:tr>
      <w:tr>
        <w:trPr>
          <w:cantSplit/>
          <w:tblHeader w:val="false"/>
        </w:trPr>
        <w:tc>
          <w:tcPr>
            <w:tcW w:type="dxa" w:w="69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EX-04</w:t>
            </w:r>
          </w:p>
        </w:tc>
        <w:tc>
          <w:tcPr>
            <w:tcW w:type="dxa" w:w="320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Site-to-site VPN pre-shared key</w:t>
            </w:r>
          </w:p>
        </w:tc>
        <w:tc>
          <w:tcPr>
            <w:tcW w:type="dxa" w:w="104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PC-03</w:t>
            </w:r>
          </w:p>
        </w:tc>
        <w:tc>
          <w:tcPr>
            <w:tcW w:type="dxa" w:w="4177"/>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32+ random characters; held only in gateway config; changed via PIM; annual rotation</w:t>
            </w:r>
          </w:p>
        </w:tc>
        <w:tc>
          <w:tcPr>
            <w:tcW w:type="dxa" w:w="1393"/>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Network Security</w:t>
            </w:r>
          </w:p>
        </w:tc>
      </w:tr>
      <w:tr>
        <w:trPr>
          <w:cantSplit/>
          <w:tblHeader w:val="false"/>
        </w:trPr>
        <w:tc>
          <w:tcPr>
            <w:tcW w:type="dxa" w:w="69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EX-05</w:t>
            </w:r>
          </w:p>
        </w:tc>
        <w:tc>
          <w:tcPr>
            <w:tcW w:type="dxa" w:w="320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Self-hosted IR authentication key</w:t>
            </w:r>
          </w:p>
        </w:tc>
        <w:tc>
          <w:tcPr>
            <w:tcW w:type="dxa" w:w="104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PC-03</w:t>
            </w:r>
          </w:p>
        </w:tc>
        <w:tc>
          <w:tcPr>
            <w:tcW w:type="dxa" w:w="4177"/>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Only in Key Vault; read under PIM at node registration; regenerated after any rebuild</w:t>
            </w:r>
          </w:p>
        </w:tc>
        <w:tc>
          <w:tcPr>
            <w:tcW w:type="dxa" w:w="139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Platform Eng</w:t>
            </w:r>
          </w:p>
        </w:tc>
      </w:tr>
      <w:tr>
        <w:trPr>
          <w:cantSplit/>
          <w:tblHeader w:val="false"/>
        </w:trPr>
        <w:tc>
          <w:tcPr>
            <w:tcW w:type="dxa" w:w="69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EX-06</w:t>
            </w:r>
          </w:p>
        </w:tc>
        <w:tc>
          <w:tcPr>
            <w:tcW w:type="dxa" w:w="320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Fabrikam service principal (not a managed identity)</w:t>
            </w:r>
          </w:p>
        </w:tc>
        <w:tc>
          <w:tcPr>
            <w:tcW w:type="dxa" w:w="104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PC-03 SP review</w:t>
            </w:r>
          </w:p>
        </w:tc>
        <w:tc>
          <w:tcPr>
            <w:tcW w:type="dxa" w:w="4177"/>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Certificate or federated credential; APIM client-ID check; rate limit; KQL-05; location-based workload CA if licensed</w:t>
            </w:r>
          </w:p>
        </w:tc>
        <w:tc>
          <w:tcPr>
            <w:tcW w:type="dxa" w:w="1393"/>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Identity &amp; Security</w:t>
            </w:r>
          </w:p>
        </w:tc>
      </w:tr>
      <w:tr>
        <w:trPr>
          <w:cantSplit/>
          <w:tblHeader w:val="false"/>
        </w:trPr>
        <w:tc>
          <w:tcPr>
            <w:tcW w:type="dxa" w:w="69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EX-07</w:t>
            </w:r>
          </w:p>
        </w:tc>
        <w:tc>
          <w:tcPr>
            <w:tcW w:type="dxa" w:w="320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FHIR AuditLogs RequestUri and APIM gateway Url can carry identifiers (conditional-update query strings)</w:t>
            </w:r>
          </w:p>
        </w:tc>
        <w:tc>
          <w:tcPr>
            <w:tcW w:type="dxa" w:w="104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PC-05</w:t>
            </w:r>
          </w:p>
        </w:tc>
        <w:tc>
          <w:tcPr>
            <w:tcW w:type="dxa" w:w="4177"/>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Table-level RBAC (SecOps only); never projected to dashboards or tickets; treated as ePHI-bearing evidence; ingestion-time transformation evaluated (REM-10)</w:t>
            </w:r>
          </w:p>
        </w:tc>
        <w:tc>
          <w:tcPr>
            <w:tcW w:type="dxa" w:w="139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Privacy Officer</w:t>
            </w:r>
          </w:p>
        </w:tc>
      </w:tr>
    </w:tbl>
    <w:p>
      <w:pPr>
        <w:pStyle w:val="Heading1"/>
        <w:keepNext/>
        <w:pBdr>
          <w:bottom w:val="single" w:color="1F3864" w:sz="6" w:space="2"/>
        </w:pBdr>
        <w:spacing w:after="70" w:before="120"/>
      </w:pPr>
      <w:r>
        <w:rPr>
          <w:rFonts w:ascii="Calibri" w:cs="Calibri" w:eastAsia="Calibri" w:hAnsi="Calibri"/>
          <w:b/>
          <w:bCs/>
          <w:color w:val="1F3864"/>
          <w:sz w:val="26"/>
          <w:szCs w:val="26"/>
        </w:rPr>
        <w:t xml:space="preserve">4  HIPAA Technical Safeguards Mapping</w:t>
      </w:r>
    </w:p>
    <w:p>
      <w:pPr>
        <w:spacing w:after="60" w:before="0" w:line="236"/>
        <w:jc w:val="left"/>
      </w:pPr>
      <w:r>
        <w:rPr>
          <w:rFonts w:ascii="Calibri" w:cs="Calibri" w:eastAsia="Calibri" w:hAnsi="Calibri"/>
          <w:color w:val="1F2937"/>
          <w:sz w:val="17"/>
          <w:szCs w:val="17"/>
        </w:rPr>
        <w:t xml:space="preserve">Mapped to the Security Rule </w:t>
      </w:r>
      <w:r>
        <w:rPr>
          <w:rFonts w:ascii="Calibri" w:cs="Calibri" w:eastAsia="Calibri" w:hAnsi="Calibri"/>
          <w:b/>
          <w:bCs/>
          <w:color w:val="1F2937"/>
          <w:sz w:val="17"/>
          <w:szCs w:val="17"/>
        </w:rPr>
        <w:t xml:space="preserve">as currently in force</w:t>
      </w:r>
      <w:r>
        <w:rPr>
          <w:rFonts w:ascii="Calibri" w:cs="Calibri" w:eastAsia="Calibri" w:hAnsi="Calibri"/>
          <w:color w:val="1F2937"/>
          <w:sz w:val="17"/>
          <w:szCs w:val="17"/>
        </w:rPr>
        <w:t xml:space="preserve">: 45 CFR 164.312, plus the 164.308 and 164.316 standards that the technical controls depend on. The update proposed in January 2025 would remove the required/addressable distinction, but it was still not final at the time of writing (HHS target: July 2027), so it is not the baseline. Where this design already meets proposed items (MFA, encryption, asset inventory), that is forward compatibility, not a compliance claim. Addressable specifications are implemented where reasonable and appropriate, or an equivalent alternative is documented (164.306(d)(3)). R = required, A = addressable.</w:t>
      </w:r>
    </w:p>
    <w:p>
      <w:pPr>
        <w:keepNext/>
        <w:spacing w:after="30" w:before="60"/>
      </w:pPr>
      <w:r>
        <w:rPr>
          <w:rFonts w:ascii="Calibri" w:cs="Calibri" w:eastAsia="Calibri" w:hAnsi="Calibri"/>
          <w:b/>
          <w:bCs/>
          <w:color w:val="1F3864"/>
          <w:sz w:val="16"/>
          <w:szCs w:val="16"/>
        </w:rPr>
        <w:t xml:space="preserve">Table 8. HIPAA Security Rule mapping with evidence, residual gaps and compensating controls.</w:t>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6"/>
        <w:gridCol w:w="3345"/>
        <w:gridCol w:w="1911"/>
        <w:gridCol w:w="1638"/>
        <w:gridCol w:w="1912"/>
      </w:tblGrid>
      <w:tr>
        <w:trPr>
          <w:cantSplit/>
          <w:tblHeader/>
        </w:trPr>
        <w:tc>
          <w:tcPr>
            <w:tcW w:type="dxa" w:w="1706"/>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45 CFR reference</w:t>
            </w:r>
          </w:p>
        </w:tc>
        <w:tc>
          <w:tcPr>
            <w:tcW w:type="dxa" w:w="3345"/>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Implementation (controls)</w:t>
            </w:r>
          </w:p>
        </w:tc>
        <w:tc>
          <w:tcPr>
            <w:tcW w:type="dxa" w:w="1911"/>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Evidence</w:t>
            </w:r>
          </w:p>
        </w:tc>
        <w:tc>
          <w:tcPr>
            <w:tcW w:type="dxa" w:w="1638"/>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Residual gap</w:t>
            </w:r>
          </w:p>
        </w:tc>
        <w:tc>
          <w:tcPr>
            <w:tcW w:type="dxa" w:w="1912"/>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Compensating / remediation</w:t>
            </w:r>
          </w:p>
        </w:tc>
      </w:tr>
      <w:tr>
        <w:trPr>
          <w:cantSplit/>
          <w:tblHeader w:val="false"/>
        </w:trPr>
        <w:tc>
          <w:tcPr>
            <w:tcW w:type="dxa" w:w="170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164.312(a)(1) Access control</w:t>
            </w:r>
          </w:p>
        </w:tc>
        <w:tc>
          <w:tcPr>
            <w:tcW w:type="dxa" w:w="334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Private endpoints; RBAC at narrowest scope; no standing human FHIR data access (CTRL-001, 002, 004)</w:t>
            </w:r>
          </w:p>
        </w:tc>
        <w:tc>
          <w:tcPr>
            <w:tcW w:type="dxa" w:w="191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Role export; PE state; KQL-05</w:t>
            </w:r>
          </w:p>
        </w:tc>
        <w:tc>
          <w:tcPr>
            <w:tcW w:type="dxa" w:w="163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Fabrikam is a non-managed SP</w:t>
            </w:r>
          </w:p>
        </w:tc>
        <w:tc>
          <w:tcPr>
            <w:tcW w:type="dxa" w:w="191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EX-06 controls</w:t>
            </w:r>
          </w:p>
        </w:tc>
      </w:tr>
      <w:tr>
        <w:trPr>
          <w:cantSplit/>
          <w:tblHeader w:val="false"/>
        </w:trPr>
        <w:tc>
          <w:tcPr>
            <w:tcW w:type="dxa" w:w="170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(a)(2)(i) Unique user ID (R)</w:t>
            </w:r>
          </w:p>
        </w:tc>
        <w:tc>
          <w:tcPr>
            <w:tcW w:type="dxa" w:w="334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Named accounts; one MI per workload; partner token passed through so audit shows the real caller</w:t>
            </w:r>
          </w:p>
        </w:tc>
        <w:tc>
          <w:tcPr>
            <w:tcW w:type="dxa" w:w="191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Sign-in logs; CallerIdentityObjectId</w:t>
            </w:r>
          </w:p>
        </w:tc>
        <w:tc>
          <w:tcPr>
            <w:tcW w:type="dxa" w:w="163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SHIR used a shared Windows account</w:t>
            </w:r>
          </w:p>
        </w:tc>
        <w:tc>
          <w:tcPr>
            <w:tcW w:type="dxa" w:w="191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Virtual account (REM-06)</w:t>
            </w:r>
          </w:p>
        </w:tc>
      </w:tr>
      <w:tr>
        <w:trPr>
          <w:cantSplit/>
          <w:tblHeader w:val="false"/>
        </w:trPr>
        <w:tc>
          <w:tcPr>
            <w:tcW w:type="dxa" w:w="170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(a)(2)(ii) Emergency access (R)</w:t>
            </w:r>
          </w:p>
        </w:tc>
        <w:tc>
          <w:tcPr>
            <w:tcW w:type="dxa" w:w="334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Two break-glass accounts; RB-ACCESS-001 path; queue buffers data in an outage</w:t>
            </w:r>
          </w:p>
        </w:tc>
        <w:tc>
          <w:tcPr>
            <w:tcW w:type="dxa" w:w="191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Sign-in alert; test record</w:t>
            </w:r>
          </w:p>
        </w:tc>
        <w:tc>
          <w:tcPr>
            <w:tcW w:type="dxa" w:w="163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Not yet tested</w:t>
            </w:r>
          </w:p>
        </w:tc>
        <w:tc>
          <w:tcPr>
            <w:tcW w:type="dxa" w:w="191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Semiannual test (9.4)</w:t>
            </w:r>
          </w:p>
        </w:tc>
      </w:tr>
      <w:tr>
        <w:trPr>
          <w:cantSplit/>
          <w:tblHeader w:val="false"/>
        </w:trPr>
        <w:tc>
          <w:tcPr>
            <w:tcW w:type="dxa" w:w="170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(a)(2)(iii) Automatic logoff (A, implemented)</w:t>
            </w:r>
          </w:p>
        </w:tc>
        <w:tc>
          <w:tcPr>
            <w:tcW w:type="dxa" w:w="334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CA sign-in frequency 4 h; PIM ≤4 h; clinician UI 15-min idle logoff</w:t>
            </w:r>
          </w:p>
        </w:tc>
        <w:tc>
          <w:tcPr>
            <w:tcW w:type="dxa" w:w="191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CA policy export</w:t>
            </w:r>
          </w:p>
        </w:tc>
        <w:tc>
          <w:tcPr>
            <w:tcW w:type="dxa" w:w="163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None</w:t>
            </w:r>
          </w:p>
        </w:tc>
        <w:tc>
          <w:tcPr>
            <w:tcW w:type="dxa" w:w="191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n/a</w:t>
            </w:r>
          </w:p>
        </w:tc>
      </w:tr>
      <w:tr>
        <w:trPr>
          <w:cantSplit/>
          <w:tblHeader w:val="false"/>
        </w:trPr>
        <w:tc>
          <w:tcPr>
            <w:tcW w:type="dxa" w:w="170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(a)(2)(iv) Encryption/decryption (A, implemented)</w:t>
            </w:r>
          </w:p>
        </w:tc>
        <w:tc>
          <w:tcPr>
            <w:tcW w:type="dxa" w:w="334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Platform AES-256 at rest on every ePHI store (Table 4b, D-06); Key Vault for certificates</w:t>
            </w:r>
          </w:p>
        </w:tc>
        <w:tc>
          <w:tcPr>
            <w:tcW w:type="dxa" w:w="191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Encryption config; Defender for Cloud</w:t>
            </w:r>
          </w:p>
        </w:tc>
        <w:tc>
          <w:tcPr>
            <w:tcW w:type="dxa" w:w="163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No customer-managed keys</w:t>
            </w:r>
          </w:p>
        </w:tc>
        <w:tc>
          <w:tcPr>
            <w:tcW w:type="dxa" w:w="191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Accepted risk (D-06)</w:t>
            </w:r>
          </w:p>
        </w:tc>
      </w:tr>
      <w:tr>
        <w:trPr>
          <w:cantSplit/>
          <w:tblHeader w:val="false"/>
        </w:trPr>
        <w:tc>
          <w:tcPr>
            <w:tcW w:type="dxa" w:w="170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164.312(b) Audit controls (R)</w:t>
            </w:r>
          </w:p>
        </w:tc>
        <w:tc>
          <w:tcPr>
            <w:tcW w:type="dxa" w:w="334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FHIR AuditLogs, ADF runs, Activity Log, automation audit; DINE policy; 20-min freshness alert; canary; immutable archive</w:t>
            </w:r>
          </w:p>
        </w:tc>
        <w:tc>
          <w:tcPr>
            <w:tcW w:type="dxa" w:w="191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KQL-03 history; archive; Policy compliance</w:t>
            </w:r>
          </w:p>
        </w:tc>
        <w:tc>
          <w:tcPr>
            <w:tcW w:type="dxa" w:w="163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47-min gap (INC-2026-027); identifiers in RequestUri</w:t>
            </w:r>
          </w:p>
        </w:tc>
        <w:tc>
          <w:tcPr>
            <w:tcW w:type="dxa" w:w="191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REM-03; RB-AUDIT-001; EX-07</w:t>
            </w:r>
          </w:p>
        </w:tc>
      </w:tr>
      <w:tr>
        <w:trPr>
          <w:cantSplit/>
          <w:tblHeader w:val="false"/>
        </w:trPr>
        <w:tc>
          <w:tcPr>
            <w:tcW w:type="dxa" w:w="170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(c)(1) Integrity</w:t>
            </w:r>
          </w:p>
        </w:tc>
        <w:tc>
          <w:tcPr>
            <w:tcW w:type="dxa" w:w="334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Validation gate; deterministic IDs; 15-min reconciliation; quarantine; duplicate check</w:t>
            </w:r>
          </w:p>
        </w:tc>
        <w:tc>
          <w:tcPr>
            <w:tcW w:type="dxa" w:w="191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KQL-01, KQL-08</w:t>
            </w:r>
          </w:p>
        </w:tc>
        <w:tc>
          <w:tcPr>
            <w:tcW w:type="dxa" w:w="163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Partner data not signed</w:t>
            </w:r>
          </w:p>
        </w:tc>
        <w:tc>
          <w:tcPr>
            <w:tcW w:type="dxa" w:w="191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Private path, TLS, reconciliation</w:t>
            </w:r>
          </w:p>
        </w:tc>
      </w:tr>
      <w:tr>
        <w:trPr>
          <w:cantSplit/>
          <w:tblHeader w:val="false"/>
        </w:trPr>
        <w:tc>
          <w:tcPr>
            <w:tcW w:type="dxa" w:w="170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(c)(2) Authenticate ePHI (A, implemented)</w:t>
            </w:r>
          </w:p>
        </w:tc>
        <w:tc>
          <w:tcPr>
            <w:tcW w:type="dxa" w:w="334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SHA-256 per Litware file at landing, re-checked before import; FHIR meta.versionId history; immutable quarantine</w:t>
            </w:r>
          </w:p>
        </w:tc>
        <w:tc>
          <w:tcPr>
            <w:tcW w:type="dxa" w:w="191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Ledger hash match; FHIR history</w:t>
            </w:r>
          </w:p>
        </w:tc>
        <w:tc>
          <w:tcPr>
            <w:tcW w:type="dxa" w:w="163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No partner checksum</w:t>
            </w:r>
          </w:p>
        </w:tc>
        <w:tc>
          <w:tcPr>
            <w:tcW w:type="dxa" w:w="191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Request checksum in manifest</w:t>
            </w:r>
          </w:p>
        </w:tc>
      </w:tr>
      <w:tr>
        <w:trPr>
          <w:cantSplit/>
          <w:tblHeader w:val="false"/>
        </w:trPr>
        <w:tc>
          <w:tcPr>
            <w:tcW w:type="dxa" w:w="170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164.312(d) Person or entity authentication (R)</w:t>
            </w:r>
          </w:p>
        </w:tc>
        <w:tc>
          <w:tcPr>
            <w:tcW w:type="dxa" w:w="334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MFA for humans; MI tokens; Fabrikam certificate; Litware SSH key; Northwind IPsec peer + listener TLS</w:t>
            </w:r>
          </w:p>
        </w:tc>
        <w:tc>
          <w:tcPr>
            <w:tcW w:type="dxa" w:w="191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Sign-in logs; KQL-05</w:t>
            </w:r>
          </w:p>
        </w:tc>
        <w:tc>
          <w:tcPr>
            <w:tcW w:type="dxa" w:w="163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Northwind is network-level only</w:t>
            </w:r>
          </w:p>
        </w:tc>
        <w:tc>
          <w:tcPr>
            <w:tcW w:type="dxa" w:w="191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Source-IP limit; mutual TLS if supported (OQ-01)</w:t>
            </w:r>
          </w:p>
        </w:tc>
      </w:tr>
      <w:tr>
        <w:trPr>
          <w:cantSplit/>
          <w:tblHeader w:val="false"/>
        </w:trPr>
        <w:tc>
          <w:tcPr>
            <w:tcW w:type="dxa" w:w="170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164.312(e)(1) Transmission security</w:t>
            </w:r>
          </w:p>
        </w:tc>
        <w:tc>
          <w:tcPr>
            <w:tcW w:type="dxa" w:w="334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Private paths only; Policy deny on public access</w:t>
            </w:r>
          </w:p>
        </w:tc>
        <w:tc>
          <w:tcPr>
            <w:tcW w:type="dxa" w:w="191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PE, DNS, public-deny tests</w:t>
            </w:r>
          </w:p>
        </w:tc>
        <w:tc>
          <w:tcPr>
            <w:tcW w:type="dxa" w:w="163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EX-01 trigger endpoint</w:t>
            </w:r>
          </w:p>
        </w:tc>
        <w:tc>
          <w:tcPr>
            <w:tcW w:type="dxa" w:w="191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Entra-authorized trigger; service tag</w:t>
            </w:r>
          </w:p>
        </w:tc>
      </w:tr>
      <w:tr>
        <w:trPr>
          <w:cantSplit/>
          <w:tblHeader w:val="false"/>
        </w:trPr>
        <w:tc>
          <w:tcPr>
            <w:tcW w:type="dxa" w:w="170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(e)(2)(i) Integrity controls (A, implemented)</w:t>
            </w:r>
          </w:p>
        </w:tc>
        <w:tc>
          <w:tcPr>
            <w:tcW w:type="dxa" w:w="334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TLS 1.2+ (AEAD ciphers) on every hop; IPsec integrity; MLLP ACK</w:t>
            </w:r>
          </w:p>
        </w:tc>
        <w:tc>
          <w:tcPr>
            <w:tcW w:type="dxa" w:w="191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Minimum-TLS settings</w:t>
            </w:r>
          </w:p>
        </w:tc>
        <w:tc>
          <w:tcPr>
            <w:tcW w:type="dxa" w:w="163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None</w:t>
            </w:r>
          </w:p>
        </w:tc>
        <w:tc>
          <w:tcPr>
            <w:tcW w:type="dxa" w:w="191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n/a</w:t>
            </w:r>
          </w:p>
        </w:tc>
      </w:tr>
      <w:tr>
        <w:trPr>
          <w:cantSplit/>
          <w:tblHeader w:val="false"/>
        </w:trPr>
        <w:tc>
          <w:tcPr>
            <w:tcW w:type="dxa" w:w="170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(e)(2)(ii) Encryption (A, implemented)</w:t>
            </w:r>
          </w:p>
        </w:tc>
        <w:tc>
          <w:tcPr>
            <w:tcW w:type="dxa" w:w="334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TLS 1.2+ everywhere; IPsec (P-001); SSH (P-003)</w:t>
            </w:r>
          </w:p>
        </w:tc>
        <w:tc>
          <w:tcPr>
            <w:tcW w:type="dxa" w:w="191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TLS config export</w:t>
            </w:r>
          </w:p>
        </w:tc>
        <w:tc>
          <w:tcPr>
            <w:tcW w:type="dxa" w:w="163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MLLP TLS unconfirmed (A-01)</w:t>
            </w:r>
          </w:p>
        </w:tc>
        <w:tc>
          <w:tcPr>
            <w:tcW w:type="dxa" w:w="191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IPsec meets it until confirmed</w:t>
            </w:r>
          </w:p>
        </w:tc>
      </w:tr>
      <w:tr>
        <w:trPr>
          <w:cantSplit/>
          <w:tblHeader w:val="false"/>
        </w:trPr>
        <w:tc>
          <w:tcPr>
            <w:tcW w:type="dxa" w:w="170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164.308(a)(1)(ii)(D), (a)(6)(ii) Activity review; incident response (R)</w:t>
            </w:r>
          </w:p>
        </w:tc>
        <w:tc>
          <w:tcPr>
            <w:tcW w:type="dxa" w:w="334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Daily checks, dashboards, weekly anomaly review; RB-AUDIT-001, RB-INGEST-001, RB-ACCESS-001; Privacy Officer leads breach risk assessment</w:t>
            </w:r>
          </w:p>
        </w:tc>
        <w:tc>
          <w:tcPr>
            <w:tcW w:type="dxa" w:w="191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Daily-check log; incident timelines</w:t>
            </w:r>
          </w:p>
        </w:tc>
        <w:tc>
          <w:tcPr>
            <w:tcW w:type="dxa" w:w="163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None</w:t>
            </w:r>
          </w:p>
        </w:tc>
        <w:tc>
          <w:tcPr>
            <w:tcW w:type="dxa" w:w="191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n/a</w:t>
            </w:r>
          </w:p>
        </w:tc>
      </w:tr>
      <w:tr>
        <w:trPr>
          <w:cantSplit/>
          <w:tblHeader w:val="false"/>
        </w:trPr>
        <w:tc>
          <w:tcPr>
            <w:tcW w:type="dxa" w:w="170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164.308(a)(7) Contingency plan (R)</w:t>
            </w:r>
          </w:p>
        </w:tc>
        <w:tc>
          <w:tcPr>
            <w:tcW w:type="dxa" w:w="334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Zone-redundant queue; partner re-export; RTO 2 h tested quarterly</w:t>
            </w:r>
          </w:p>
        </w:tc>
        <w:tc>
          <w:tcPr>
            <w:tcW w:type="dxa" w:w="191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DR test report</w:t>
            </w:r>
          </w:p>
        </w:tc>
        <w:tc>
          <w:tcPr>
            <w:tcW w:type="dxa" w:w="163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Regional DR open (OQ-07)</w:t>
            </w:r>
          </w:p>
        </w:tc>
        <w:tc>
          <w:tcPr>
            <w:tcW w:type="dxa" w:w="191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Re-send from ledger checkpoint</w:t>
            </w:r>
          </w:p>
        </w:tc>
      </w:tr>
      <w:tr>
        <w:trPr>
          <w:cantSplit/>
          <w:tblHeader w:val="false"/>
        </w:trPr>
        <w:tc>
          <w:tcPr>
            <w:tcW w:type="dxa" w:w="170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164.316(b)(2)(i) Documentation retention (R)</w:t>
            </w:r>
          </w:p>
        </w:tc>
        <w:tc>
          <w:tcPr>
            <w:tcW w:type="dxa" w:w="334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Runbooks, approvals, risk decisions kept 6 years (D-05)</w:t>
            </w:r>
          </w:p>
        </w:tc>
        <w:tc>
          <w:tcPr>
            <w:tcW w:type="dxa" w:w="191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Archive inventory</w:t>
            </w:r>
          </w:p>
        </w:tc>
        <w:tc>
          <w:tcPr>
            <w:tcW w:type="dxa" w:w="163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Not approved (OQ-05)</w:t>
            </w:r>
          </w:p>
        </w:tc>
        <w:tc>
          <w:tcPr>
            <w:tcW w:type="dxa" w:w="191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Immutability unlocked until approval</w:t>
            </w:r>
          </w:p>
        </w:tc>
      </w:tr>
      <w:tr>
        <w:trPr>
          <w:cantSplit/>
          <w:tblHeader w:val="false"/>
        </w:trPr>
        <w:tc>
          <w:tcPr>
            <w:tcW w:type="dxa" w:w="170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164.308(b), 164.314(a) BA contracts</w:t>
            </w:r>
          </w:p>
        </w:tc>
        <w:tc>
          <w:tcPr>
            <w:tcW w:type="dxa" w:w="334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Microsoft BAA; partner BAAs</w:t>
            </w:r>
          </w:p>
        </w:tc>
        <w:tc>
          <w:tcPr>
            <w:tcW w:type="dxa" w:w="191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Contract register</w:t>
            </w:r>
          </w:p>
        </w:tc>
        <w:tc>
          <w:tcPr>
            <w:tcW w:type="dxa" w:w="163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Unconfirmed (A-07)</w:t>
            </w:r>
          </w:p>
        </w:tc>
        <w:tc>
          <w:tcPr>
            <w:tcW w:type="dxa" w:w="191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Go-live gate (OQ-04)</w:t>
            </w:r>
          </w:p>
        </w:tc>
      </w:tr>
    </w:tbl>
    <w:p>
      <w:pPr>
        <w:pStyle w:val="Heading1"/>
        <w:keepNext/>
        <w:pBdr>
          <w:bottom w:val="single" w:color="1F3864" w:sz="6" w:space="2"/>
        </w:pBdr>
        <w:spacing w:after="70" w:before="120"/>
      </w:pPr>
      <w:r>
        <w:rPr>
          <w:rFonts w:ascii="Calibri" w:cs="Calibri" w:eastAsia="Calibri" w:hAnsi="Calibri"/>
          <w:b/>
          <w:bCs/>
          <w:color w:val="1F3864"/>
          <w:sz w:val="26"/>
          <w:szCs w:val="26"/>
        </w:rPr>
        <w:t xml:space="preserve">5  Monitoring Dashboard Specification</w:t>
      </w:r>
    </w:p>
    <w:p>
      <w:pPr>
        <w:spacing w:after="60" w:before="0" w:line="236"/>
        <w:jc w:val="left"/>
      </w:pPr>
      <w:r>
        <w:rPr>
          <w:rFonts w:ascii="Calibri" w:cs="Calibri" w:eastAsia="Calibri" w:hAnsi="Calibri"/>
          <w:color w:val="1F2937"/>
          <w:sz w:val="17"/>
          <w:szCs w:val="17"/>
        </w:rPr>
        <w:t xml:space="preserve">Two Azure Monitor workbooks read </w:t>
      </w:r>
      <w:r>
        <w:rPr>
          <w:rFonts w:ascii="Calibri" w:cs="Calibri" w:eastAsia="Calibri" w:hAnsi="Calibri"/>
          <w:b/>
          <w:bCs/>
          <w:color w:val="1F2937"/>
          <w:sz w:val="17"/>
          <w:szCs w:val="17"/>
        </w:rPr>
        <w:t xml:space="preserve">saved KQL functions</w:t>
      </w:r>
      <w:r>
        <w:rPr>
          <w:rFonts w:ascii="Calibri" w:cs="Calibri" w:eastAsia="Calibri" w:hAnsi="Calibri"/>
          <w:color w:val="1F2937"/>
          <w:sz w:val="17"/>
          <w:szCs w:val="17"/>
        </w:rPr>
        <w:t xml:space="preserve"> that return metadata only. RequestUri, bodies, ADF Input/Output and raw identifiers are never projected; callers appear as object IDs and business keys as HMAC tokens. The query library and query records are in Appendix A.</w:t>
      </w:r>
    </w:p>
    <w:p>
      <w:pPr>
        <w:pStyle w:val="Heading2"/>
        <w:keepNext/>
        <w:spacing w:after="40" w:before="90"/>
      </w:pPr>
      <w:r>
        <w:rPr>
          <w:rFonts w:ascii="Calibri" w:cs="Calibri" w:eastAsia="Calibri" w:hAnsi="Calibri"/>
          <w:b/>
          <w:bCs/>
          <w:color w:val="0F6CBD"/>
          <w:sz w:val="20"/>
          <w:szCs w:val="20"/>
        </w:rPr>
        <w:t xml:space="preserve">5.1  Dashboard layout</w:t>
      </w:r>
    </w:p>
    <w:p>
      <w:pPr>
        <w:keepNext/>
        <w:spacing w:after="30" w:before="60"/>
      </w:pPr>
      <w:r>
        <w:rPr>
          <w:rFonts w:ascii="Calibri" w:cs="Calibri" w:eastAsia="Calibri" w:hAnsi="Calibri"/>
          <w:b/>
          <w:bCs/>
          <w:color w:val="1F3864"/>
          <w:sz w:val="16"/>
          <w:szCs w:val="16"/>
        </w:rPr>
        <w:t xml:space="preserve">Table 9. Dashboard tiles, metrics and targets.</w:t>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8"/>
        <w:gridCol w:w="6825"/>
        <w:gridCol w:w="1255"/>
        <w:gridCol w:w="1804"/>
      </w:tblGrid>
      <w:tr>
        <w:trPr>
          <w:cantSplit/>
          <w:tblHeader/>
        </w:trPr>
        <w:tc>
          <w:tcPr>
            <w:tcW w:type="dxa" w:w="628"/>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Tile</w:t>
            </w:r>
          </w:p>
        </w:tc>
        <w:tc>
          <w:tcPr>
            <w:tcW w:type="dxa" w:w="6825"/>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Metric; visual and target</w:t>
            </w:r>
          </w:p>
        </w:tc>
        <w:tc>
          <w:tcPr>
            <w:tcW w:type="dxa" w:w="1255"/>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Query</w:t>
            </w:r>
          </w:p>
        </w:tc>
        <w:tc>
          <w:tcPr>
            <w:tcW w:type="dxa" w:w="1804"/>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Audience</w:t>
            </w:r>
          </w:p>
        </w:tc>
      </w:tr>
      <w:tr>
        <w:trPr>
          <w:cantSplit/>
        </w:trPr>
        <w:tc>
          <w:tcPr>
            <w:tcW w:type="dxa" w:w="10512"/>
            <w:gridSpan w:val="4"/>
            <w:tcBorders>
              <w:top w:val="single" w:color="BFC7D5" w:sz="4"/>
              <w:left w:val="single" w:color="BFC7D5" w:sz="4"/>
              <w:bottom w:val="single" w:color="BFC7D5" w:sz="4"/>
              <w:right w:val="single" w:color="BFC7D5" w:sz="4"/>
            </w:tcBorders>
            <w:shd w:fill="DCE6F2" w:color="auto" w:val="clear"/>
            <w:tcMar>
              <w:top w:type="dxa" w:w="15"/>
              <w:left w:type="dxa" w:w="50"/>
              <w:bottom w:type="dxa" w:w="15"/>
              <w:right w:type="dxa" w:w="50"/>
            </w:tcMar>
          </w:tcPr>
          <w:p>
            <w:pPr>
              <w:keepNext/>
              <w:spacing w:after="0" w:before="0" w:line="214"/>
            </w:pPr>
            <w:r>
              <w:rPr>
                <w:rFonts w:ascii="Calibri" w:cs="Calibri" w:eastAsia="Calibri" w:hAnsi="Calibri"/>
                <w:b/>
                <w:bCs/>
                <w:color w:val="1F3864"/>
                <w:sz w:val="14"/>
                <w:szCs w:val="14"/>
              </w:rPr>
              <w:t xml:space="preserve">Operational view (Integration Engineering, on-call). Refresh 5 min; default 24 h; filter by partner.</w:t>
            </w:r>
          </w:p>
        </w:tc>
      </w:tr>
      <w:tr>
        <w:trPr>
          <w:cantSplit/>
          <w:tblHeader w:val="false"/>
        </w:trPr>
        <w:tc>
          <w:tcPr>
            <w:tcW w:type="dxa" w:w="62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O1</w:t>
            </w:r>
          </w:p>
        </w:tc>
        <w:tc>
          <w:tcPr>
            <w:tcW w:type="dxa" w:w="682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Accepted and reconciled rate per partner (SLO-01); line, 15-min bins, reference lines at 99.5% and 98%</w:t>
            </w:r>
          </w:p>
        </w:tc>
        <w:tc>
          <w:tcPr>
            <w:tcW w:type="dxa" w:w="125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KQL-01</w:t>
            </w:r>
          </w:p>
        </w:tc>
        <w:tc>
          <w:tcPr>
            <w:tcW w:type="dxa" w:w="180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On-call</w:t>
            </w:r>
          </w:p>
        </w:tc>
      </w:tr>
      <w:tr>
        <w:trPr>
          <w:cantSplit/>
          <w:tblHeader w:val="false"/>
        </w:trPr>
        <w:tc>
          <w:tcPr>
            <w:tcW w:type="dxa" w:w="62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O2</w:t>
            </w:r>
          </w:p>
        </w:tc>
        <w:tc>
          <w:tcPr>
            <w:tcW w:type="dxa" w:w="682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P95 end-to-end latency (SLO-02); line vs 120 s (P-001) and 90 s (P-002)</w:t>
            </w:r>
          </w:p>
        </w:tc>
        <w:tc>
          <w:tcPr>
            <w:tcW w:type="dxa" w:w="125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KQL-02</w:t>
            </w:r>
          </w:p>
        </w:tc>
        <w:tc>
          <w:tcPr>
            <w:tcW w:type="dxa" w:w="180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On-call</w:t>
            </w:r>
          </w:p>
        </w:tc>
      </w:tr>
      <w:tr>
        <w:trPr>
          <w:cantSplit/>
          <w:tblHeader w:val="false"/>
        </w:trPr>
        <w:tc>
          <w:tcPr>
            <w:tcW w:type="dxa" w:w="62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O3</w:t>
            </w:r>
          </w:p>
        </w:tc>
        <w:tc>
          <w:tcPr>
            <w:tcW w:type="dxa" w:w="682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Litware batch timeline: arrival, validate, import, reconcile vs 05:00</w:t>
            </w:r>
          </w:p>
        </w:tc>
        <w:tc>
          <w:tcPr>
            <w:tcW w:type="dxa" w:w="125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KQL-06b</w:t>
            </w:r>
          </w:p>
        </w:tc>
        <w:tc>
          <w:tcPr>
            <w:tcW w:type="dxa" w:w="180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On-call, Clinical Ops</w:t>
            </w:r>
          </w:p>
        </w:tc>
      </w:tr>
      <w:tr>
        <w:trPr>
          <w:cantSplit/>
          <w:tblHeader w:val="false"/>
        </w:trPr>
        <w:tc>
          <w:tcPr>
            <w:tcW w:type="dxa" w:w="62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O4</w:t>
            </w:r>
          </w:p>
        </w:tc>
        <w:tc>
          <w:tcPr>
            <w:tcW w:type="dxa" w:w="682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ADF failed runs (SLO-04) and top-10 failing activities (template queries 7, 8)</w:t>
            </w:r>
          </w:p>
        </w:tc>
        <w:tc>
          <w:tcPr>
            <w:tcW w:type="dxa" w:w="125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KQL-06</w:t>
            </w:r>
          </w:p>
        </w:tc>
        <w:tc>
          <w:tcPr>
            <w:tcW w:type="dxa" w:w="180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On-call</w:t>
            </w:r>
          </w:p>
        </w:tc>
      </w:tr>
      <w:tr>
        <w:trPr>
          <w:cantSplit/>
          <w:tblHeader w:val="false"/>
        </w:trPr>
        <w:tc>
          <w:tcPr>
            <w:tcW w:type="dxa" w:w="62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O5</w:t>
            </w:r>
          </w:p>
        </w:tc>
        <w:tc>
          <w:tcPr>
            <w:tcW w:type="dxa" w:w="682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Quarantine backlog and oldest age by partner and failureCode (SLO-06); red at 5,000 or 60 min</w:t>
            </w:r>
          </w:p>
        </w:tc>
        <w:tc>
          <w:tcPr>
            <w:tcW w:type="dxa" w:w="125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KQL-07</w:t>
            </w:r>
          </w:p>
        </w:tc>
        <w:tc>
          <w:tcPr>
            <w:tcW w:type="dxa" w:w="180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On-call</w:t>
            </w:r>
          </w:p>
        </w:tc>
      </w:tr>
      <w:tr>
        <w:trPr>
          <w:cantSplit/>
          <w:tblHeader w:val="false"/>
        </w:trPr>
        <w:tc>
          <w:tcPr>
            <w:tcW w:type="dxa" w:w="62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O6</w:t>
            </w:r>
          </w:p>
        </w:tc>
        <w:tc>
          <w:tcPr>
            <w:tcW w:type="dxa" w:w="682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Service Bus active and dead-letter counts, oldest message age; RPO guard at 10 min</w:t>
            </w:r>
          </w:p>
        </w:tc>
        <w:tc>
          <w:tcPr>
            <w:tcW w:type="dxa" w:w="125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Metrics</w:t>
            </w:r>
          </w:p>
        </w:tc>
        <w:tc>
          <w:tcPr>
            <w:tcW w:type="dxa" w:w="180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On-call</w:t>
            </w:r>
          </w:p>
        </w:tc>
      </w:tr>
      <w:tr>
        <w:trPr>
          <w:cantSplit/>
          <w:tblHeader w:val="false"/>
        </w:trPr>
        <w:tc>
          <w:tcPr>
            <w:tcW w:type="dxa" w:w="62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O7</w:t>
            </w:r>
          </w:p>
        </w:tc>
        <w:tc>
          <w:tcPr>
            <w:tcW w:type="dxa" w:w="682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Replays: approvals, items replayed, duplicate result (SLO-07, must be 0)</w:t>
            </w:r>
          </w:p>
        </w:tc>
        <w:tc>
          <w:tcPr>
            <w:tcW w:type="dxa" w:w="125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KQL-08</w:t>
            </w:r>
          </w:p>
        </w:tc>
        <w:tc>
          <w:tcPr>
            <w:tcW w:type="dxa" w:w="180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On-call Lead</w:t>
            </w:r>
          </w:p>
        </w:tc>
      </w:tr>
      <w:tr>
        <w:trPr>
          <w:cantSplit/>
          <w:tblHeader w:val="false"/>
        </w:trPr>
        <w:tc>
          <w:tcPr>
            <w:tcW w:type="dxa" w:w="62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O8</w:t>
            </w:r>
          </w:p>
        </w:tc>
        <w:tc>
          <w:tcPr>
            <w:tcW w:type="dxa" w:w="682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Throughput vs peak: msg/s per partner vs 120 msg/s and 40 req/s</w:t>
            </w:r>
          </w:p>
        </w:tc>
        <w:tc>
          <w:tcPr>
            <w:tcW w:type="dxa" w:w="125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KQL-01</w:t>
            </w:r>
          </w:p>
        </w:tc>
        <w:tc>
          <w:tcPr>
            <w:tcW w:type="dxa" w:w="180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Platform</w:t>
            </w:r>
          </w:p>
        </w:tc>
      </w:tr>
      <w:tr>
        <w:trPr>
          <w:cantSplit/>
        </w:trPr>
        <w:tc>
          <w:tcPr>
            <w:tcW w:type="dxa" w:w="10512"/>
            <w:gridSpan w:val="4"/>
            <w:tcBorders>
              <w:top w:val="single" w:color="BFC7D5" w:sz="4"/>
              <w:left w:val="single" w:color="BFC7D5" w:sz="4"/>
              <w:bottom w:val="single" w:color="BFC7D5" w:sz="4"/>
              <w:right w:val="single" w:color="BFC7D5" w:sz="4"/>
            </w:tcBorders>
            <w:shd w:fill="DCE6F2" w:color="auto" w:val="clear"/>
            <w:tcMar>
              <w:top w:type="dxa" w:w="15"/>
              <w:left w:type="dxa" w:w="50"/>
              <w:bottom w:type="dxa" w:w="15"/>
              <w:right w:type="dxa" w:w="50"/>
            </w:tcMar>
          </w:tcPr>
          <w:p>
            <w:pPr>
              <w:keepNext/>
              <w:spacing w:after="0" w:before="0" w:line="214"/>
            </w:pPr>
            <w:r>
              <w:rPr>
                <w:rFonts w:ascii="Calibri" w:cs="Calibri" w:eastAsia="Calibri" w:hAnsi="Calibri"/>
                <w:b/>
                <w:bCs/>
                <w:color w:val="1F3864"/>
                <w:sz w:val="14"/>
                <w:szCs w:val="14"/>
              </w:rPr>
              <w:t xml:space="preserve">Compliance and security view (Security Operations, Privacy Officer). Refresh 15 min; default 7 days.</w:t>
            </w:r>
          </w:p>
        </w:tc>
      </w:tr>
      <w:tr>
        <w:trPr>
          <w:cantSplit/>
          <w:tblHeader w:val="false"/>
        </w:trPr>
        <w:tc>
          <w:tcPr>
            <w:tcW w:type="dxa" w:w="62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S1</w:t>
            </w:r>
          </w:p>
        </w:tc>
        <w:tc>
          <w:tcPr>
            <w:tcW w:type="dxa" w:w="682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Audit-log freshness per source (SLO-03); status grid, red above 20 min</w:t>
            </w:r>
          </w:p>
        </w:tc>
        <w:tc>
          <w:tcPr>
            <w:tcW w:type="dxa" w:w="125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KQL-03</w:t>
            </w:r>
          </w:p>
        </w:tc>
        <w:tc>
          <w:tcPr>
            <w:tcW w:type="dxa" w:w="180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SecOps</w:t>
            </w:r>
          </w:p>
        </w:tc>
      </w:tr>
      <w:tr>
        <w:trPr>
          <w:cantSplit/>
          <w:tblHeader w:val="false"/>
        </w:trPr>
        <w:tc>
          <w:tcPr>
            <w:tcW w:type="dxa" w:w="62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S2</w:t>
            </w:r>
          </w:p>
        </w:tc>
        <w:tc>
          <w:tcPr>
            <w:tcW w:type="dxa" w:w="682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Diagnostic-setting changes, resource moves, Policy compliance %</w:t>
            </w:r>
          </w:p>
        </w:tc>
        <w:tc>
          <w:tcPr>
            <w:tcW w:type="dxa" w:w="125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KQL-04</w:t>
            </w:r>
          </w:p>
        </w:tc>
        <w:tc>
          <w:tcPr>
            <w:tcW w:type="dxa" w:w="180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SecOps</w:t>
            </w:r>
          </w:p>
        </w:tc>
      </w:tr>
      <w:tr>
        <w:trPr>
          <w:cantSplit/>
          <w:tblHeader w:val="false"/>
        </w:trPr>
        <w:tc>
          <w:tcPr>
            <w:tcW w:type="dxa" w:w="62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S3</w:t>
            </w:r>
          </w:p>
        </w:tc>
        <w:tc>
          <w:tcPr>
            <w:tcW w:type="dxa" w:w="682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401/403 by caller vs 7-day baseline (SLO-05): attempts, ratio, IPs</w:t>
            </w:r>
          </w:p>
        </w:tc>
        <w:tc>
          <w:tcPr>
            <w:tcW w:type="dxa" w:w="125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KQL-05</w:t>
            </w:r>
          </w:p>
        </w:tc>
        <w:tc>
          <w:tcPr>
            <w:tcW w:type="dxa" w:w="180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SecOps</w:t>
            </w:r>
          </w:p>
        </w:tc>
      </w:tr>
      <w:tr>
        <w:trPr>
          <w:cantSplit/>
          <w:tblHeader w:val="false"/>
        </w:trPr>
        <w:tc>
          <w:tcPr>
            <w:tcW w:type="dxa" w:w="62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S4</w:t>
            </w:r>
          </w:p>
        </w:tc>
        <w:tc>
          <w:tcPr>
            <w:tcW w:type="dxa" w:w="682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PIM activations and role-assignment changes; timeline by group</w:t>
            </w:r>
          </w:p>
        </w:tc>
        <w:tc>
          <w:tcPr>
            <w:tcW w:type="dxa" w:w="125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KQL-11</w:t>
            </w:r>
          </w:p>
        </w:tc>
        <w:tc>
          <w:tcPr>
            <w:tcW w:type="dxa" w:w="180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SecOps</w:t>
            </w:r>
          </w:p>
        </w:tc>
      </w:tr>
      <w:tr>
        <w:trPr>
          <w:cantSplit/>
          <w:tblHeader w:val="false"/>
        </w:trPr>
        <w:tc>
          <w:tcPr>
            <w:tcW w:type="dxa" w:w="62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S5</w:t>
            </w:r>
          </w:p>
        </w:tc>
        <w:tc>
          <w:tcPr>
            <w:tcW w:type="dxa" w:w="682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Automation actions on ePHI systems with approval status; missing approvals must be 0</w:t>
            </w:r>
          </w:p>
        </w:tc>
        <w:tc>
          <w:tcPr>
            <w:tcW w:type="dxa" w:w="125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KQL-09</w:t>
            </w:r>
          </w:p>
        </w:tc>
        <w:tc>
          <w:tcPr>
            <w:tcW w:type="dxa" w:w="180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SecOps, Privacy</w:t>
            </w:r>
          </w:p>
        </w:tc>
      </w:tr>
      <w:tr>
        <w:trPr>
          <w:cantSplit/>
          <w:tblHeader w:val="false"/>
        </w:trPr>
        <w:tc>
          <w:tcPr>
            <w:tcW w:type="dxa" w:w="62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S6</w:t>
            </w:r>
          </w:p>
        </w:tc>
        <w:tc>
          <w:tcPr>
            <w:tcW w:type="dxa" w:w="682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Telemetry payload-leak scan; must be 0</w:t>
            </w:r>
          </w:p>
        </w:tc>
        <w:tc>
          <w:tcPr>
            <w:tcW w:type="dxa" w:w="125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KQL-10</w:t>
            </w:r>
          </w:p>
        </w:tc>
        <w:tc>
          <w:tcPr>
            <w:tcW w:type="dxa" w:w="180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Privacy Officer</w:t>
            </w:r>
          </w:p>
        </w:tc>
      </w:tr>
      <w:tr>
        <w:trPr>
          <w:cantSplit/>
          <w:tblHeader w:val="false"/>
        </w:trPr>
        <w:tc>
          <w:tcPr>
            <w:tcW w:type="dxa" w:w="62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S7</w:t>
            </w:r>
          </w:p>
        </w:tc>
        <w:tc>
          <w:tcPr>
            <w:tcW w:type="dxa" w:w="682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Evidence export status; Key Vault certificates &lt;30 days to expiry</w:t>
            </w:r>
          </w:p>
        </w:tc>
        <w:tc>
          <w:tcPr>
            <w:tcW w:type="dxa" w:w="125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Metrics</w:t>
            </w:r>
          </w:p>
        </w:tc>
        <w:tc>
          <w:tcPr>
            <w:tcW w:type="dxa" w:w="180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SecOps</w:t>
            </w:r>
          </w:p>
        </w:tc>
      </w:tr>
      <w:tr>
        <w:trPr>
          <w:cantSplit/>
          <w:tblHeader w:val="false"/>
        </w:trPr>
        <w:tc>
          <w:tcPr>
            <w:tcW w:type="dxa" w:w="62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S8</w:t>
            </w:r>
          </w:p>
        </w:tc>
        <w:tc>
          <w:tcPr>
            <w:tcW w:type="dxa" w:w="682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Break-glass sign-ins; must be 0 outside tests</w:t>
            </w:r>
          </w:p>
        </w:tc>
        <w:tc>
          <w:tcPr>
            <w:tcW w:type="dxa" w:w="125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KQL-11</w:t>
            </w:r>
          </w:p>
        </w:tc>
        <w:tc>
          <w:tcPr>
            <w:tcW w:type="dxa" w:w="180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SecOps</w:t>
            </w:r>
          </w:p>
        </w:tc>
      </w:tr>
    </w:tbl>
    <w:p>
      <w:pPr>
        <w:pStyle w:val="Heading2"/>
        <w:keepNext/>
        <w:spacing w:after="40" w:before="90"/>
      </w:pPr>
      <w:r>
        <w:rPr>
          <w:rFonts w:ascii="Calibri" w:cs="Calibri" w:eastAsia="Calibri" w:hAnsi="Calibri"/>
          <w:b/>
          <w:bCs/>
          <w:color w:val="0F6CBD"/>
          <w:sz w:val="20"/>
          <w:szCs w:val="20"/>
        </w:rPr>
        <w:t xml:space="preserve">5.2  Alert thresholds and escalation</w:t>
      </w:r>
    </w:p>
    <w:p>
      <w:pPr>
        <w:keepNext/>
        <w:spacing w:after="30" w:before="60"/>
      </w:pPr>
      <w:r>
        <w:rPr>
          <w:rFonts w:ascii="Calibri" w:cs="Calibri" w:eastAsia="Calibri" w:hAnsi="Calibri"/>
          <w:b/>
          <w:bCs/>
          <w:color w:val="1F3864"/>
          <w:sz w:val="16"/>
          <w:szCs w:val="16"/>
        </w:rPr>
        <w:t xml:space="preserve">Table 10. Alert thresholds, evaluation and routing. Thresholds come from the SLO sheet unless marked LD (learner decision).</w:t>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6"/>
        <w:gridCol w:w="2520"/>
        <w:gridCol w:w="3744"/>
        <w:gridCol w:w="792"/>
        <w:gridCol w:w="1656"/>
        <w:gridCol w:w="1224"/>
      </w:tblGrid>
      <w:tr>
        <w:trPr>
          <w:cantSplit/>
          <w:tblHeader/>
        </w:trPr>
        <w:tc>
          <w:tcPr>
            <w:tcW w:type="dxa" w:w="576"/>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ID</w:t>
            </w:r>
          </w:p>
        </w:tc>
        <w:tc>
          <w:tcPr>
            <w:tcW w:type="dxa" w:w="2520"/>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Signal (query)</w:t>
            </w:r>
          </w:p>
        </w:tc>
        <w:tc>
          <w:tcPr>
            <w:tcW w:type="dxa" w:w="3744"/>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Threshold; evaluation</w:t>
            </w:r>
          </w:p>
        </w:tc>
        <w:tc>
          <w:tcPr>
            <w:tcW w:type="dxa" w:w="792"/>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Sev</w:t>
            </w:r>
          </w:p>
        </w:tc>
        <w:tc>
          <w:tcPr>
            <w:tcW w:type="dxa" w:w="1656"/>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Route</w:t>
            </w:r>
          </w:p>
        </w:tc>
        <w:tc>
          <w:tcPr>
            <w:tcW w:type="dxa" w:w="1224"/>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Runbook</w:t>
            </w:r>
          </w:p>
        </w:tc>
      </w:tr>
      <w:tr>
        <w:trPr>
          <w:cantSplit/>
          <w:tblHeader w:val="false"/>
        </w:trPr>
        <w:tc>
          <w:tcPr>
            <w:tcW w:type="dxa" w:w="57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A1</w:t>
            </w:r>
          </w:p>
        </w:tc>
        <w:tc>
          <w:tcPr>
            <w:tcW w:type="dxa" w:w="252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Ingestion success (KQL-01)</w:t>
            </w:r>
          </w:p>
        </w:tc>
        <w:tc>
          <w:tcPr>
            <w:tcW w:type="dxa" w:w="374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&lt;99.5% per 15-min window → P2; &lt;98% → P1; every 5 min</w:t>
            </w:r>
          </w:p>
        </w:tc>
        <w:tc>
          <w:tcPr>
            <w:tcW w:type="dxa" w:w="79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P1/P2</w:t>
            </w:r>
          </w:p>
        </w:tc>
        <w:tc>
          <w:tcPr>
            <w:tcW w:type="dxa" w:w="165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Page / ticket</w:t>
            </w:r>
          </w:p>
        </w:tc>
        <w:tc>
          <w:tcPr>
            <w:tcW w:type="dxa" w:w="122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RB-INGEST-001</w:t>
            </w:r>
          </w:p>
        </w:tc>
      </w:tr>
      <w:tr>
        <w:trPr>
          <w:cantSplit/>
          <w:tblHeader w:val="false"/>
        </w:trPr>
        <w:tc>
          <w:tcPr>
            <w:tcW w:type="dxa" w:w="57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A2</w:t>
            </w:r>
          </w:p>
        </w:tc>
        <w:tc>
          <w:tcPr>
            <w:tcW w:type="dxa" w:w="252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P95 latency (KQL-02)</w:t>
            </w:r>
          </w:p>
        </w:tc>
        <w:tc>
          <w:tcPr>
            <w:tcW w:type="dxa" w:w="374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&gt;120 s (P-001) or &gt;90 s (P-002) for 15 min; tune after 2 weeks</w:t>
            </w:r>
          </w:p>
        </w:tc>
        <w:tc>
          <w:tcPr>
            <w:tcW w:type="dxa" w:w="79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P2</w:t>
            </w:r>
          </w:p>
        </w:tc>
        <w:tc>
          <w:tcPr>
            <w:tcW w:type="dxa" w:w="165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Ticket</w:t>
            </w:r>
          </w:p>
        </w:tc>
        <w:tc>
          <w:tcPr>
            <w:tcW w:type="dxa" w:w="122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RB-INGEST-001</w:t>
            </w:r>
          </w:p>
        </w:tc>
      </w:tr>
      <w:tr>
        <w:trPr>
          <w:cantSplit/>
          <w:tblHeader w:val="false"/>
        </w:trPr>
        <w:tc>
          <w:tcPr>
            <w:tcW w:type="dxa" w:w="57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A3</w:t>
            </w:r>
          </w:p>
        </w:tc>
        <w:tc>
          <w:tcPr>
            <w:tcW w:type="dxa" w:w="252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Audit freshness (KQL-03)</w:t>
            </w:r>
          </w:p>
        </w:tc>
        <w:tc>
          <w:tcPr>
            <w:tcW w:type="dxa" w:w="374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&gt;20 min since last event on any source; every 15 min</w:t>
            </w:r>
          </w:p>
        </w:tc>
        <w:tc>
          <w:tcPr>
            <w:tcW w:type="dxa" w:w="79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P1</w:t>
            </w:r>
          </w:p>
        </w:tc>
        <w:tc>
          <w:tcPr>
            <w:tcW w:type="dxa" w:w="165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SecOps + engineer</w:t>
            </w:r>
          </w:p>
        </w:tc>
        <w:tc>
          <w:tcPr>
            <w:tcW w:type="dxa" w:w="122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RB-AUDIT-001</w:t>
            </w:r>
          </w:p>
        </w:tc>
      </w:tr>
      <w:tr>
        <w:trPr>
          <w:cantSplit/>
          <w:tblHeader w:val="false"/>
        </w:trPr>
        <w:tc>
          <w:tcPr>
            <w:tcW w:type="dxa" w:w="57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A4</w:t>
            </w:r>
          </w:p>
        </w:tc>
        <w:tc>
          <w:tcPr>
            <w:tcW w:type="dxa" w:w="252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Diagnostic setting deleted or resource moved (KQL-04)</w:t>
            </w:r>
          </w:p>
        </w:tc>
        <w:tc>
          <w:tcPr>
            <w:tcW w:type="dxa" w:w="374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Any successful event on in-scope resources (LD)</w:t>
            </w:r>
          </w:p>
        </w:tc>
        <w:tc>
          <w:tcPr>
            <w:tcW w:type="dxa" w:w="79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P1</w:t>
            </w:r>
          </w:p>
        </w:tc>
        <w:tc>
          <w:tcPr>
            <w:tcW w:type="dxa" w:w="165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SecOps</w:t>
            </w:r>
          </w:p>
        </w:tc>
        <w:tc>
          <w:tcPr>
            <w:tcW w:type="dxa" w:w="122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RB-AUDIT-001</w:t>
            </w:r>
          </w:p>
        </w:tc>
      </w:tr>
      <w:tr>
        <w:trPr>
          <w:cantSplit/>
          <w:tblHeader w:val="false"/>
        </w:trPr>
        <w:tc>
          <w:tcPr>
            <w:tcW w:type="dxa" w:w="57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A5</w:t>
            </w:r>
          </w:p>
        </w:tc>
        <w:tc>
          <w:tcPr>
            <w:tcW w:type="dxa" w:w="252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ADF failures (KQL-06)</w:t>
            </w:r>
          </w:p>
        </w:tc>
        <w:tc>
          <w:tcPr>
            <w:tcW w:type="dxa" w:w="374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≥3 failed runs in 30 min → P1; 1–2 → P2; cancelled excluded</w:t>
            </w:r>
          </w:p>
        </w:tc>
        <w:tc>
          <w:tcPr>
            <w:tcW w:type="dxa" w:w="79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P1/P2</w:t>
            </w:r>
          </w:p>
        </w:tc>
        <w:tc>
          <w:tcPr>
            <w:tcW w:type="dxa" w:w="165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Page / ticket</w:t>
            </w:r>
          </w:p>
        </w:tc>
        <w:tc>
          <w:tcPr>
            <w:tcW w:type="dxa" w:w="122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RB-INGEST-001</w:t>
            </w:r>
          </w:p>
        </w:tc>
      </w:tr>
      <w:tr>
        <w:trPr>
          <w:cantSplit/>
          <w:tblHeader w:val="false"/>
        </w:trPr>
        <w:tc>
          <w:tcPr>
            <w:tcW w:type="dxa" w:w="57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A6</w:t>
            </w:r>
          </w:p>
        </w:tc>
        <w:tc>
          <w:tcPr>
            <w:tcW w:type="dxa" w:w="252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Denied FHIR requests (KQL-05)</w:t>
            </w:r>
          </w:p>
        </w:tc>
        <w:tc>
          <w:tcPr>
            <w:tcW w:type="dxa" w:w="374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≥20 events and ≥3x baseline per caller in 1 h</w:t>
            </w:r>
          </w:p>
        </w:tc>
        <w:tc>
          <w:tcPr>
            <w:tcW w:type="dxa" w:w="79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P2</w:t>
            </w:r>
          </w:p>
        </w:tc>
        <w:tc>
          <w:tcPr>
            <w:tcW w:type="dxa" w:w="165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SecOps queue</w:t>
            </w:r>
          </w:p>
        </w:tc>
        <w:tc>
          <w:tcPr>
            <w:tcW w:type="dxa" w:w="122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RB-ACCESS-001</w:t>
            </w:r>
          </w:p>
        </w:tc>
      </w:tr>
      <w:tr>
        <w:trPr>
          <w:cantSplit/>
          <w:tblHeader w:val="false"/>
        </w:trPr>
        <w:tc>
          <w:tcPr>
            <w:tcW w:type="dxa" w:w="57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A7</w:t>
            </w:r>
          </w:p>
        </w:tc>
        <w:tc>
          <w:tcPr>
            <w:tcW w:type="dxa" w:w="252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Quarantine backlog (KQL-07)</w:t>
            </w:r>
          </w:p>
        </w:tc>
        <w:tc>
          <w:tcPr>
            <w:tcW w:type="dxa" w:w="374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≥5,000 or oldest ≥60 min → P2; both, or ≥10,000 → P1 (LD)</w:t>
            </w:r>
          </w:p>
        </w:tc>
        <w:tc>
          <w:tcPr>
            <w:tcW w:type="dxa" w:w="79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P1/P2</w:t>
            </w:r>
          </w:p>
        </w:tc>
        <w:tc>
          <w:tcPr>
            <w:tcW w:type="dxa" w:w="165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Page / ticket</w:t>
            </w:r>
          </w:p>
        </w:tc>
        <w:tc>
          <w:tcPr>
            <w:tcW w:type="dxa" w:w="122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RB-INGEST-001</w:t>
            </w:r>
          </w:p>
        </w:tc>
      </w:tr>
      <w:tr>
        <w:trPr>
          <w:cantSplit/>
          <w:tblHeader w:val="false"/>
        </w:trPr>
        <w:tc>
          <w:tcPr>
            <w:tcW w:type="dxa" w:w="57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A8</w:t>
            </w:r>
          </w:p>
        </w:tc>
        <w:tc>
          <w:tcPr>
            <w:tcW w:type="dxa" w:w="252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Replay duplicates (KQL-08)</w:t>
            </w:r>
          </w:p>
        </w:tc>
        <w:tc>
          <w:tcPr>
            <w:tcW w:type="dxa" w:w="374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&gt;0 duplicates after any replay</w:t>
            </w:r>
          </w:p>
        </w:tc>
        <w:tc>
          <w:tcPr>
            <w:tcW w:type="dxa" w:w="79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P1</w:t>
            </w:r>
          </w:p>
        </w:tc>
        <w:tc>
          <w:tcPr>
            <w:tcW w:type="dxa" w:w="165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On-call Lead</w:t>
            </w:r>
          </w:p>
        </w:tc>
        <w:tc>
          <w:tcPr>
            <w:tcW w:type="dxa" w:w="122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RB-INGEST-001</w:t>
            </w:r>
          </w:p>
        </w:tc>
      </w:tr>
      <w:tr>
        <w:trPr>
          <w:cantSplit/>
          <w:tblHeader w:val="false"/>
        </w:trPr>
        <w:tc>
          <w:tcPr>
            <w:tcW w:type="dxa" w:w="57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A9</w:t>
            </w:r>
          </w:p>
        </w:tc>
        <w:tc>
          <w:tcPr>
            <w:tcW w:type="dxa" w:w="252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Litware batch (KQL-06b)</w:t>
            </w:r>
          </w:p>
        </w:tc>
        <w:tc>
          <w:tcPr>
            <w:tcW w:type="dxa" w:w="374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No manifest by 02:00 → P2; not reconciled by 04:30 → P1 (LD)</w:t>
            </w:r>
          </w:p>
        </w:tc>
        <w:tc>
          <w:tcPr>
            <w:tcW w:type="dxa" w:w="79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P2/P1</w:t>
            </w:r>
          </w:p>
        </w:tc>
        <w:tc>
          <w:tcPr>
            <w:tcW w:type="dxa" w:w="165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Ticket / page</w:t>
            </w:r>
          </w:p>
        </w:tc>
        <w:tc>
          <w:tcPr>
            <w:tcW w:type="dxa" w:w="122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RB-INGEST-001</w:t>
            </w:r>
          </w:p>
        </w:tc>
      </w:tr>
      <w:tr>
        <w:trPr>
          <w:cantSplit/>
          <w:tblHeader w:val="false"/>
        </w:trPr>
        <w:tc>
          <w:tcPr>
            <w:tcW w:type="dxa" w:w="57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A10</w:t>
            </w:r>
          </w:p>
        </w:tc>
        <w:tc>
          <w:tcPr>
            <w:tcW w:type="dxa" w:w="252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Payload leak or missing approval (KQL-10, 09)</w:t>
            </w:r>
          </w:p>
        </w:tc>
        <w:tc>
          <w:tcPr>
            <w:tcW w:type="dxa" w:w="374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≥1 hit</w:t>
            </w:r>
          </w:p>
        </w:tc>
        <w:tc>
          <w:tcPr>
            <w:tcW w:type="dxa" w:w="79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P1</w:t>
            </w:r>
          </w:p>
        </w:tc>
        <w:tc>
          <w:tcPr>
            <w:tcW w:type="dxa" w:w="165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SecOps + Privacy</w:t>
            </w:r>
          </w:p>
        </w:tc>
        <w:tc>
          <w:tcPr>
            <w:tcW w:type="dxa" w:w="122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RB-ACCESS-001</w:t>
            </w:r>
          </w:p>
        </w:tc>
      </w:tr>
      <w:tr>
        <w:trPr>
          <w:cantSplit/>
          <w:tblHeader w:val="false"/>
        </w:trPr>
        <w:tc>
          <w:tcPr>
            <w:tcW w:type="dxa" w:w="57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A11</w:t>
            </w:r>
          </w:p>
        </w:tc>
        <w:tc>
          <w:tcPr>
            <w:tcW w:type="dxa" w:w="252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Queue age (Service Bus metric)</w:t>
            </w:r>
          </w:p>
        </w:tc>
        <w:tc>
          <w:tcPr>
            <w:tcW w:type="dxa" w:w="374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Oldest message &gt;10 min → P2; &gt;15 min (RPO) → P1 (LD)</w:t>
            </w:r>
          </w:p>
        </w:tc>
        <w:tc>
          <w:tcPr>
            <w:tcW w:type="dxa" w:w="79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P2/P1</w:t>
            </w:r>
          </w:p>
        </w:tc>
        <w:tc>
          <w:tcPr>
            <w:tcW w:type="dxa" w:w="165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Ticket / page</w:t>
            </w:r>
          </w:p>
        </w:tc>
        <w:tc>
          <w:tcPr>
            <w:tcW w:type="dxa" w:w="122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RB-INGEST-001</w:t>
            </w:r>
          </w:p>
        </w:tc>
      </w:tr>
    </w:tbl>
    <w:p>
      <w:pPr>
        <w:spacing w:after="60" w:before="50" w:line="236"/>
        <w:jc w:val="left"/>
      </w:pPr>
      <w:r>
        <w:rPr>
          <w:rFonts w:ascii="Calibri" w:cs="Calibri" w:eastAsia="Calibri" w:hAnsi="Calibri"/>
          <w:b/>
          <w:bCs/>
          <w:color w:val="1F2937"/>
          <w:sz w:val="17"/>
          <w:szCs w:val="17"/>
        </w:rPr>
        <w:t xml:space="preserve">Escalation.</w:t>
      </w:r>
      <w:r>
        <w:rPr>
          <w:rFonts w:ascii="Calibri" w:cs="Calibri" w:eastAsia="Calibri" w:hAnsi="Calibri"/>
          <w:color w:val="1F2937"/>
          <w:sz w:val="17"/>
          <w:szCs w:val="17"/>
        </w:rPr>
        <w:t xml:space="preserve"> P1: the primary engineer is paged and acknowledges within 10 min; with no acknowledgement at 10 min the On-call Lead is paged; containment target is 30 min (PC-08). Security P1s (A3, A4, A10) also page Security Operations, who bring in the Privacy Officer for any possible impermissible disclosure, and Clinical Ops when partner workflow impact is material. P2: ITSM ticket and team channel, triaged within the shift, no page. </w:t>
      </w:r>
      <w:r>
        <w:rPr>
          <w:rFonts w:ascii="Calibri" w:cs="Calibri" w:eastAsia="Calibri" w:hAnsi="Calibri"/>
          <w:b/>
          <w:bCs/>
          <w:color w:val="1F2937"/>
          <w:sz w:val="17"/>
          <w:szCs w:val="17"/>
        </w:rPr>
        <w:t xml:space="preserve">Hygiene for four engineers:</w:t>
      </w:r>
      <w:r>
        <w:rPr>
          <w:rFonts w:ascii="Calibri" w:cs="Calibri" w:eastAsia="Calibri" w:hAnsi="Calibri"/>
          <w:color w:val="1F2937"/>
          <w:sz w:val="17"/>
          <w:szCs w:val="17"/>
        </w:rPr>
        <w:t xml:space="preserve"> only eight rules can page; alerts are stateful and auto-resolve; processing rules group per partner per 30 min and suppress approved maintenance; thresholds are reviewed after two weeks of baseline and after every incident.</w:t>
      </w:r>
    </w:p>
    <w:p>
      <w:pPr>
        <w:pStyle w:val="Heading2"/>
        <w:keepNext/>
        <w:spacing w:after="40" w:before="90"/>
      </w:pPr>
      <w:r>
        <w:rPr>
          <w:rFonts w:ascii="Calibri" w:cs="Calibri" w:eastAsia="Calibri" w:hAnsi="Calibri"/>
          <w:b/>
          <w:bCs/>
          <w:color w:val="0F6CBD"/>
          <w:sz w:val="20"/>
          <w:szCs w:val="20"/>
        </w:rPr>
        <w:t xml:space="preserve">5.3  Key KQL snippet (full library in Appendix A)</w:t>
      </w:r>
    </w:p>
    <w:p>
      <w:pPr>
        <w:spacing w:after="60" w:before="0" w:line="236"/>
        <w:jc w:val="left"/>
      </w:pPr>
      <w:r>
        <w:rPr>
          <w:rFonts w:ascii="Calibri" w:cs="Calibri" w:eastAsia="Calibri" w:hAnsi="Calibri"/>
          <w:color w:val="1F2937"/>
          <w:sz w:val="17"/>
          <w:szCs w:val="17"/>
        </w:rPr>
        <w:t xml:space="preserve">KQL-03 replaces template query 4. The template multiplied </w:t>
      </w:r>
      <w:r>
        <w:rPr>
          <w:rFonts w:ascii="Courier New" w:cs="Courier New" w:eastAsia="Courier New" w:hAnsi="Courier New"/>
          <w:color w:val="0B3A6E"/>
          <w:sz w:val="14"/>
          <w:szCs w:val="14"/>
        </w:rPr>
        <w:t xml:space="preserve">datetime_diff('minute', now(), LastEvent)</w:t>
      </w:r>
      <w:r>
        <w:rPr>
          <w:rFonts w:ascii="Calibri" w:cs="Calibri" w:eastAsia="Calibri" w:hAnsi="Calibri"/>
          <w:color w:val="1F2937"/>
          <w:sz w:val="17"/>
          <w:szCs w:val="17"/>
        </w:rPr>
        <w:t xml:space="preserve"> by -1, which made the value negative, so the freshness alert could never fire. The fix also flags a source that sent nothing at all.</w:t>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12"/>
      </w:tblGrid>
      <w:tr>
        <w:trPr>
          <w:cantSplit w:val="false"/>
        </w:trPr>
        <w:tc>
          <w:tcPr>
            <w:tcW w:type="dxa" w:w="10512"/>
            <w:tcBorders>
              <w:top w:val="single" w:color="BFC7D5" w:sz="4"/>
              <w:left w:val="single" w:color="0F6CBD" w:sz="18"/>
              <w:bottom w:val="single" w:color="BFC7D5" w:sz="4"/>
              <w:right w:val="single" w:color="BFC7D5" w:sz="4"/>
            </w:tcBorders>
            <w:shd w:fill="F3F4F6" w:color="auto" w:val="clear"/>
            <w:tcMar>
              <w:top w:type="dxa" w:w="40"/>
              <w:left w:type="dxa" w:w="90"/>
              <w:bottom w:type="dxa" w:w="40"/>
              <w:right w:type="dxa" w:w="60"/>
            </w:tcMar>
          </w:tcPr>
          <w:p>
            <w:pPr>
              <w:spacing w:after="0" w:before="0" w:line="220"/>
            </w:pPr>
            <w:r>
              <w:rPr>
                <w:rFonts w:ascii="Courier New" w:cs="Courier New" w:eastAsia="Courier New" w:hAnsi="Courier New"/>
                <w:color w:val="4B5563"/>
                <w:sz w:val="12"/>
                <w:szCs w:val="12"/>
              </w:rPr>
              <w:t xml:space="preserve">// KQL-03  SLO-03 audit-log freshness (alert: any row with Breach == true; every 15 min)</w:t>
            </w:r>
          </w:p>
          <w:p>
            <w:pPr>
              <w:spacing w:after="0" w:before="0" w:line="220"/>
            </w:pPr>
            <w:r>
              <w:rPr>
                <w:rFonts w:ascii="Courier New" w:cs="Courier New" w:eastAsia="Courier New" w:hAnsi="Courier New"/>
                <w:color w:val="111827"/>
                <w:sz w:val="12"/>
                <w:szCs w:val="12"/>
              </w:rPr>
              <w:t xml:space="preserve">let Threshold = 20;</w:t>
            </w:r>
          </w:p>
          <w:p>
            <w:pPr>
              <w:spacing w:after="0" w:before="0" w:line="220"/>
            </w:pPr>
            <w:r>
              <w:rPr>
                <w:rFonts w:ascii="Courier New" w:cs="Courier New" w:eastAsia="Courier New" w:hAnsi="Courier New"/>
                <w:color w:val="111827"/>
                <w:sz w:val="12"/>
                <w:szCs w:val="12"/>
              </w:rPr>
              <w:t xml:space="preserve">let Expected = datatable(Source:string)["FHIR", "ADFRun", "ADFActivity", "Ledger"];</w:t>
            </w:r>
          </w:p>
          <w:p>
            <w:pPr>
              <w:spacing w:after="0" w:before="0" w:line="220"/>
            </w:pPr>
            <w:r>
              <w:rPr>
                <w:rFonts w:ascii="Courier New" w:cs="Courier New" w:eastAsia="Courier New" w:hAnsi="Courier New"/>
                <w:color w:val="111827"/>
                <w:sz w:val="12"/>
                <w:szCs w:val="12"/>
              </w:rPr>
              <w:t xml:space="preserve">let Last = union</w:t>
            </w:r>
          </w:p>
          <w:p>
            <w:pPr>
              <w:spacing w:after="0" w:before="0" w:line="220"/>
            </w:pPr>
            <w:r>
              <w:rPr>
                <w:rFonts w:ascii="Courier New" w:cs="Courier New" w:eastAsia="Courier New" w:hAnsi="Courier New"/>
                <w:color w:val="111827"/>
                <w:sz w:val="12"/>
                <w:szCs w:val="12"/>
              </w:rPr>
              <w:t xml:space="preserve">  (MicrosoftHealthcareApisAuditLogs | where TimeGenerated &gt; ago(6h) | summarize LastEvent = max(TimeGenerated) | extend Source = "FHIR"),</w:t>
            </w:r>
          </w:p>
          <w:p>
            <w:pPr>
              <w:spacing w:after="0" w:before="0" w:line="220"/>
            </w:pPr>
            <w:r>
              <w:rPr>
                <w:rFonts w:ascii="Courier New" w:cs="Courier New" w:eastAsia="Courier New" w:hAnsi="Courier New"/>
                <w:color w:val="111827"/>
                <w:sz w:val="12"/>
                <w:szCs w:val="12"/>
              </w:rPr>
              <w:t xml:space="preserve">  (ADFPipelineRun   | where TimeGenerated &gt; ago(6h) | summarize LastEvent = max(TimeGenerated) | extend Source = "ADFRun"),</w:t>
            </w:r>
          </w:p>
          <w:p>
            <w:pPr>
              <w:spacing w:after="0" w:before="0" w:line="220"/>
            </w:pPr>
            <w:r>
              <w:rPr>
                <w:rFonts w:ascii="Courier New" w:cs="Courier New" w:eastAsia="Courier New" w:hAnsi="Courier New"/>
                <w:color w:val="111827"/>
                <w:sz w:val="12"/>
                <w:szCs w:val="12"/>
              </w:rPr>
              <w:t xml:space="preserve">  (ADFActivityRun   | where TimeGenerated &gt; ago(6h) | summarize LastEvent = max(TimeGenerated) | extend Source = "ADFActivity"),</w:t>
            </w:r>
          </w:p>
          <w:p>
            <w:pPr>
              <w:spacing w:after="0" w:before="0" w:line="220"/>
            </w:pPr>
            <w:r>
              <w:rPr>
                <w:rFonts w:ascii="Courier New" w:cs="Courier New" w:eastAsia="Courier New" w:hAnsi="Courier New"/>
                <w:color w:val="111827"/>
                <w:sz w:val="12"/>
                <w:szCs w:val="12"/>
              </w:rPr>
              <w:t xml:space="preserve">  (IngestLedger_CL  | where TimeGenerated &gt; ago(6h) | summarize LastEvent = max(TimeGenerated) | extend Source = "Ledger");</w:t>
            </w:r>
          </w:p>
          <w:p>
            <w:pPr>
              <w:spacing w:after="0" w:before="0" w:line="220"/>
            </w:pPr>
            <w:r>
              <w:rPr>
                <w:rFonts w:ascii="Courier New" w:cs="Courier New" w:eastAsia="Courier New" w:hAnsi="Courier New"/>
                <w:color w:val="111827"/>
                <w:sz w:val="12"/>
                <w:szCs w:val="12"/>
              </w:rPr>
              <w:t xml:space="preserve">Expected</w:t>
            </w:r>
          </w:p>
          <w:p>
            <w:pPr>
              <w:spacing w:after="0" w:before="0" w:line="220"/>
            </w:pPr>
            <w:r>
              <w:rPr>
                <w:rFonts w:ascii="Courier New" w:cs="Courier New" w:eastAsia="Courier New" w:hAnsi="Courier New"/>
                <w:color w:val="111827"/>
                <w:sz w:val="12"/>
                <w:szCs w:val="12"/>
              </w:rPr>
              <w:t xml:space="preserve">| join kind=leftouter Last on Source</w:t>
            </w:r>
          </w:p>
          <w:p>
            <w:pPr>
              <w:spacing w:after="0" w:before="0" w:line="220"/>
            </w:pPr>
            <w:r>
              <w:rPr>
                <w:rFonts w:ascii="Courier New" w:cs="Courier New" w:eastAsia="Courier New" w:hAnsi="Courier New"/>
                <w:color w:val="111827"/>
                <w:sz w:val="12"/>
                <w:szCs w:val="12"/>
              </w:rPr>
              <w:t xml:space="preserve">| extend MinutesSinceLastEvent = iif(isnull(LastEvent), long(360), datetime_diff('minute', now(), LastEvent))</w:t>
            </w:r>
          </w:p>
          <w:p>
            <w:pPr>
              <w:spacing w:after="0" w:before="0" w:line="220"/>
            </w:pPr>
            <w:r>
              <w:rPr>
                <w:rFonts w:ascii="Courier New" w:cs="Courier New" w:eastAsia="Courier New" w:hAnsi="Courier New"/>
                <w:color w:val="111827"/>
                <w:sz w:val="12"/>
                <w:szCs w:val="12"/>
              </w:rPr>
              <w:t xml:space="preserve">| extend Breach = MinutesSinceLastEvent &gt; Threshold</w:t>
            </w:r>
          </w:p>
          <w:p>
            <w:pPr>
              <w:spacing w:after="0" w:before="0" w:line="220"/>
            </w:pPr>
            <w:r>
              <w:rPr>
                <w:rFonts w:ascii="Courier New" w:cs="Courier New" w:eastAsia="Courier New" w:hAnsi="Courier New"/>
                <w:color w:val="111827"/>
                <w:sz w:val="12"/>
                <w:szCs w:val="12"/>
              </w:rPr>
              <w:t xml:space="preserve">| project Source, LastEvent, MinutesSinceLastEvent, Breach</w:t>
            </w:r>
          </w:p>
        </w:tc>
      </w:tr>
    </w:tbl>
    <w:p>
      <w:pPr>
        <w:pStyle w:val="Heading1"/>
        <w:keepNext/>
        <w:pBdr>
          <w:bottom w:val="single" w:color="1F3864" w:sz="6" w:space="2"/>
        </w:pBdr>
        <w:spacing w:after="70" w:before="120"/>
      </w:pPr>
      <w:r>
        <w:rPr>
          <w:rFonts w:ascii="Calibri" w:cs="Calibri" w:eastAsia="Calibri" w:hAnsi="Calibri"/>
          <w:b/>
          <w:bCs/>
          <w:color w:val="1F3864"/>
          <w:sz w:val="26"/>
          <w:szCs w:val="26"/>
        </w:rPr>
        <w:t xml:space="preserve">6  Data Integration Pipeline Design</w:t>
      </w:r>
    </w:p>
    <w:p>
      <w:pPr>
        <w:keepNext/>
        <w:spacing w:after="20" w:before="40"/>
        <w:jc w:val="center"/>
      </w:pPr>
      <w:r>
        <w:drawing>
          <wp:inline distT="0" distB="0" distL="0" distR="0">
            <wp:extent cx="5667375"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67375" cy="3467100"/>
                    </a:xfrm>
                    <a:prstGeom prst="rect">
                      <a:avLst/>
                    </a:prstGeom>
                  </pic:spPr>
                </pic:pic>
              </a:graphicData>
            </a:graphic>
          </wp:inline>
        </w:drawing>
      </w:r>
    </w:p>
    <w:p>
      <w:pPr>
        <w:spacing w:after="80" w:before="40"/>
      </w:pPr>
      <w:r>
        <w:rPr>
          <w:rFonts w:ascii="Calibri" w:cs="Calibri" w:eastAsia="Calibri" w:hAnsi="Calibri"/>
          <w:i w:val="false"/>
          <w:iCs w:val="false"/>
          <w:color w:val="4B5563"/>
          <w:sz w:val="16"/>
          <w:szCs w:val="16"/>
        </w:rPr>
        <w:t xml:space="preserve">Figure 3. FHIR ingestion and ADF orchestration (M4). Five stages per partner, the validation gate (red), failure handling, quarantine and approved replay.</w:t>
      </w:r>
    </w:p>
    <w:p>
      <w:pPr>
        <w:spacing w:after="60" w:before="0" w:line="236"/>
        <w:jc w:val="left"/>
      </w:pPr>
      <w:r>
        <w:rPr>
          <w:rFonts w:ascii="Calibri" w:cs="Calibri" w:eastAsia="Calibri" w:hAnsi="Calibri"/>
          <w:b/>
          <w:bCs/>
          <w:color w:val="1F2937"/>
          <w:sz w:val="17"/>
          <w:szCs w:val="17"/>
        </w:rPr>
        <w:t xml:space="preserve">Correlation (REM-04).</w:t>
      </w:r>
      <w:r>
        <w:rPr>
          <w:rFonts w:ascii="Calibri" w:cs="Calibri" w:eastAsia="Calibri" w:hAnsi="Calibri"/>
          <w:color w:val="1F2937"/>
          <w:sz w:val="17"/>
          <w:szCs w:val="17"/>
        </w:rPr>
        <w:t xml:space="preserve"> A correlationId is minted at first contact (listener, API Management or manifest) and carried in Service Bus properties, the </w:t>
      </w:r>
      <w:r>
        <w:rPr>
          <w:rFonts w:ascii="Courier New" w:cs="Courier New" w:eastAsia="Courier New" w:hAnsi="Courier New"/>
          <w:color w:val="0B3A6E"/>
          <w:sz w:val="14"/>
          <w:szCs w:val="14"/>
        </w:rPr>
        <w:t xml:space="preserve">X-Correlation-ID</w:t>
      </w:r>
      <w:r>
        <w:rPr>
          <w:rFonts w:ascii="Calibri" w:cs="Calibri" w:eastAsia="Calibri" w:hAnsi="Calibri"/>
          <w:color w:val="1F2937"/>
          <w:sz w:val="17"/>
          <w:szCs w:val="17"/>
        </w:rPr>
        <w:t xml:space="preserve"> header and ADF parameters; the ledger maps each ADF </w:t>
      </w:r>
      <w:r>
        <w:rPr>
          <w:rFonts w:ascii="Courier New" w:cs="Courier New" w:eastAsia="Courier New" w:hAnsi="Courier New"/>
          <w:color w:val="0B3A6E"/>
          <w:sz w:val="14"/>
          <w:szCs w:val="14"/>
        </w:rPr>
        <w:t xml:space="preserve">RunId</w:t>
      </w:r>
      <w:r>
        <w:rPr>
          <w:rFonts w:ascii="Calibri" w:cs="Calibri" w:eastAsia="Calibri" w:hAnsi="Calibri"/>
          <w:color w:val="1F2937"/>
          <w:sz w:val="17"/>
          <w:szCs w:val="17"/>
        </w:rPr>
        <w:t xml:space="preserve"> to it. One ID traces a record from partner to FHIR audit event without logging content.</w:t>
      </w:r>
    </w:p>
    <w:p>
      <w:pPr>
        <w:pStyle w:val="Heading2"/>
        <w:keepNext/>
        <w:spacing w:after="40" w:before="90"/>
      </w:pPr>
      <w:r>
        <w:rPr>
          <w:rFonts w:ascii="Calibri" w:cs="Calibri" w:eastAsia="Calibri" w:hAnsi="Calibri"/>
          <w:b/>
          <w:bCs/>
          <w:color w:val="0F6CBD"/>
          <w:sz w:val="20"/>
          <w:szCs w:val="20"/>
        </w:rPr>
        <w:t xml:space="preserve">6.1  Validation gate (CTRL-008)</w:t>
      </w:r>
    </w:p>
    <w:p>
      <w:pPr>
        <w:spacing w:after="60" w:before="0" w:line="236"/>
        <w:jc w:val="left"/>
      </w:pPr>
      <w:r>
        <w:rPr>
          <w:rFonts w:ascii="Calibri" w:cs="Calibri" w:eastAsia="Calibri" w:hAnsi="Calibri"/>
          <w:color w:val="1F2937"/>
          <w:sz w:val="17"/>
          <w:szCs w:val="17"/>
        </w:rPr>
        <w:t xml:space="preserve">A record is persisted only if it passes six checks; failures are quarantined, never retried. (1) </w:t>
      </w:r>
      <w:r>
        <w:rPr>
          <w:rFonts w:ascii="Calibri" w:cs="Calibri" w:eastAsia="Calibri" w:hAnsi="Calibri"/>
          <w:b/>
          <w:bCs/>
          <w:color w:val="1F2937"/>
          <w:sz w:val="17"/>
          <w:szCs w:val="17"/>
        </w:rPr>
        <w:t xml:space="preserve">Structure</w:t>
      </w:r>
      <w:r>
        <w:rPr>
          <w:rFonts w:ascii="Calibri" w:cs="Calibri" w:eastAsia="Calibri" w:hAnsi="Calibri"/>
          <w:color w:val="1F2937"/>
          <w:sz w:val="17"/>
          <w:szCs w:val="17"/>
        </w:rPr>
        <w:t xml:space="preserve">: valid FHIR R4 JSON within size limits. (2) </w:t>
      </w:r>
      <w:r>
        <w:rPr>
          <w:rFonts w:ascii="Calibri" w:cs="Calibri" w:eastAsia="Calibri" w:hAnsi="Calibri"/>
          <w:b/>
          <w:bCs/>
          <w:color w:val="1F2937"/>
          <w:sz w:val="17"/>
          <w:szCs w:val="17"/>
        </w:rPr>
        <w:t xml:space="preserve">Profile</w:t>
      </w:r>
      <w:r>
        <w:rPr>
          <w:rFonts w:ascii="Calibri" w:cs="Calibri" w:eastAsia="Calibri" w:hAnsi="Calibri"/>
          <w:color w:val="1F2937"/>
          <w:sz w:val="17"/>
          <w:szCs w:val="17"/>
        </w:rPr>
        <w:t xml:space="preserve">: the US Core version pinned per partner (Northwind output included). (3) </w:t>
      </w:r>
      <w:r>
        <w:rPr>
          <w:rFonts w:ascii="Calibri" w:cs="Calibri" w:eastAsia="Calibri" w:hAnsi="Calibri"/>
          <w:b/>
          <w:bCs/>
          <w:color w:val="1F2937"/>
          <w:sz w:val="17"/>
          <w:szCs w:val="17"/>
        </w:rPr>
        <w:t xml:space="preserve">Terminology</w:t>
      </w:r>
      <w:r>
        <w:rPr>
          <w:rFonts w:ascii="Calibri" w:cs="Calibri" w:eastAsia="Calibri" w:hAnsi="Calibri"/>
          <w:color w:val="1F2937"/>
          <w:sz w:val="17"/>
          <w:szCs w:val="17"/>
        </w:rPr>
        <w:t xml:space="preserve">: required bindings, for example LOINC on Observation.code. (4) </w:t>
      </w:r>
      <w:r>
        <w:rPr>
          <w:rFonts w:ascii="Calibri" w:cs="Calibri" w:eastAsia="Calibri" w:hAnsi="Calibri"/>
          <w:b/>
          <w:bCs/>
          <w:color w:val="1F2937"/>
          <w:sz w:val="17"/>
          <w:szCs w:val="17"/>
        </w:rPr>
        <w:t xml:space="preserve">Required fields</w:t>
      </w:r>
      <w:r>
        <w:rPr>
          <w:rFonts w:ascii="Calibri" w:cs="Calibri" w:eastAsia="Calibri" w:hAnsi="Calibri"/>
          <w:color w:val="1F2937"/>
          <w:sz w:val="17"/>
          <w:szCs w:val="17"/>
        </w:rPr>
        <w:t xml:space="preserve">: identifier, subject, effective time. (5) </w:t>
      </w:r>
      <w:r>
        <w:rPr>
          <w:rFonts w:ascii="Calibri" w:cs="Calibri" w:eastAsia="Calibri" w:hAnsi="Calibri"/>
          <w:b/>
          <w:bCs/>
          <w:color w:val="1F2937"/>
          <w:sz w:val="17"/>
          <w:szCs w:val="17"/>
        </w:rPr>
        <w:t xml:space="preserve">References</w:t>
      </w:r>
      <w:r>
        <w:rPr>
          <w:rFonts w:ascii="Calibri" w:cs="Calibri" w:eastAsia="Calibri" w:hAnsi="Calibri"/>
          <w:color w:val="1F2937"/>
          <w:sz w:val="17"/>
          <w:szCs w:val="17"/>
        </w:rPr>
        <w:t xml:space="preserve"> resolve in the bundle or to an existing resource. (6) </w:t>
      </w:r>
      <w:r>
        <w:rPr>
          <w:rFonts w:ascii="Calibri" w:cs="Calibri" w:eastAsia="Calibri" w:hAnsi="Calibri"/>
          <w:b/>
          <w:bCs/>
          <w:color w:val="1F2937"/>
          <w:sz w:val="17"/>
          <w:szCs w:val="17"/>
        </w:rPr>
        <w:t xml:space="preserve">Identity</w:t>
      </w:r>
      <w:r>
        <w:rPr>
          <w:rFonts w:ascii="Calibri" w:cs="Calibri" w:eastAsia="Calibri" w:hAnsi="Calibri"/>
          <w:color w:val="1F2937"/>
          <w:sz w:val="17"/>
          <w:szCs w:val="17"/>
        </w:rPr>
        <w:t xml:space="preserve">: the ID equals hash(partnerId|resourceType|identifier), so no partner can overwrite another partner's resource.</w:t>
      </w:r>
    </w:p>
    <w:p>
      <w:pPr>
        <w:keepNext/>
        <w:spacing w:after="30" w:before="60"/>
      </w:pPr>
      <w:r>
        <w:rPr>
          <w:rFonts w:ascii="Calibri" w:cs="Calibri" w:eastAsia="Calibri" w:hAnsi="Calibri"/>
          <w:b/>
          <w:bCs/>
          <w:color w:val="1F3864"/>
          <w:sz w:val="16"/>
          <w:szCs w:val="16"/>
        </w:rPr>
        <w:t xml:space="preserve">Table 11. Error taxonomy, retry policy and routing.</w:t>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53"/>
        <w:gridCol w:w="1051"/>
        <w:gridCol w:w="1472"/>
        <w:gridCol w:w="2873"/>
        <w:gridCol w:w="2663"/>
      </w:tblGrid>
      <w:tr>
        <w:trPr>
          <w:cantSplit/>
          <w:tblHeader/>
        </w:trPr>
        <w:tc>
          <w:tcPr>
            <w:tcW w:type="dxa" w:w="2453"/>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failureCode</w:t>
            </w:r>
          </w:p>
        </w:tc>
        <w:tc>
          <w:tcPr>
            <w:tcW w:type="dxa" w:w="1051"/>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Stage</w:t>
            </w:r>
          </w:p>
        </w:tc>
        <w:tc>
          <w:tcPr>
            <w:tcW w:type="dxa" w:w="1472"/>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Class</w:t>
            </w:r>
          </w:p>
        </w:tc>
        <w:tc>
          <w:tcPr>
            <w:tcW w:type="dxa" w:w="2873"/>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Retry policy</w:t>
            </w:r>
          </w:p>
        </w:tc>
        <w:tc>
          <w:tcPr>
            <w:tcW w:type="dxa" w:w="2663"/>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Route</w:t>
            </w:r>
          </w:p>
        </w:tc>
      </w:tr>
      <w:tr>
        <w:trPr>
          <w:cantSplit/>
          <w:tblHeader w:val="false"/>
        </w:trPr>
        <w:tc>
          <w:tcPr>
            <w:tcW w:type="dxa" w:w="245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TRANSIENT_5XX, THROTTLED_429</w:t>
            </w:r>
          </w:p>
        </w:tc>
        <w:tc>
          <w:tcPr>
            <w:tcW w:type="dxa" w:w="105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Persist, import</w:t>
            </w:r>
          </w:p>
        </w:tc>
        <w:tc>
          <w:tcPr>
            <w:tcW w:type="dxa" w:w="147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Transient</w:t>
            </w:r>
          </w:p>
        </w:tc>
        <w:tc>
          <w:tcPr>
            <w:tcW w:type="dxa" w:w="287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3 attempts, exponential backoff with jitter (30, 60, 120 s ±20%); honour Retry-After</w:t>
            </w:r>
          </w:p>
        </w:tc>
        <w:tc>
          <w:tcPr>
            <w:tcW w:type="dxa" w:w="266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Then DLQ → quarantine; counts toward circuit breaker (AUT-02)</w:t>
            </w:r>
          </w:p>
        </w:tc>
      </w:tr>
      <w:tr>
        <w:trPr>
          <w:cantSplit/>
          <w:tblHeader w:val="false"/>
        </w:trPr>
        <w:tc>
          <w:tcPr>
            <w:tcW w:type="dxa" w:w="2453"/>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TIMEOUT_UNKNOWN</w:t>
            </w:r>
          </w:p>
        </w:tc>
        <w:tc>
          <w:tcPr>
            <w:tcW w:type="dxa" w:w="105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Persist</w:t>
            </w:r>
          </w:p>
        </w:tc>
        <w:tc>
          <w:tcPr>
            <w:tcW w:type="dxa" w:w="147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Unknown outcome</w:t>
            </w:r>
          </w:p>
        </w:tc>
        <w:tc>
          <w:tcPr>
            <w:tcW w:type="dxa" w:w="2873"/>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Read before retry: ledger, then GET by deterministic ID</w:t>
            </w:r>
          </w:p>
        </w:tc>
        <w:tc>
          <w:tcPr>
            <w:tcW w:type="dxa" w:w="2663"/>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Found → mark Persisted; not found → normal retry</w:t>
            </w:r>
          </w:p>
        </w:tc>
      </w:tr>
      <w:tr>
        <w:trPr>
          <w:cantSplit/>
          <w:tblHeader w:val="false"/>
        </w:trPr>
        <w:tc>
          <w:tcPr>
            <w:tcW w:type="dxa" w:w="245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CONNECTIVITY</w:t>
            </w:r>
          </w:p>
        </w:tc>
        <w:tc>
          <w:tcPr>
            <w:tcW w:type="dxa" w:w="105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Acquire</w:t>
            </w:r>
          </w:p>
        </w:tc>
        <w:tc>
          <w:tcPr>
            <w:tcW w:type="dxa" w:w="147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Transient</w:t>
            </w:r>
          </w:p>
        </w:tc>
        <w:tc>
          <w:tcPr>
            <w:tcW w:type="dxa" w:w="287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Partner resends (NACK) or re-uploads</w:t>
            </w:r>
          </w:p>
        </w:tc>
        <w:tc>
          <w:tcPr>
            <w:tcW w:type="dxa" w:w="266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A11, A9</w:t>
            </w:r>
          </w:p>
        </w:tc>
      </w:tr>
      <w:tr>
        <w:trPr>
          <w:cantSplit/>
          <w:tblHeader w:val="false"/>
        </w:trPr>
        <w:tc>
          <w:tcPr>
            <w:tcW w:type="dxa" w:w="2453"/>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UNKNOWN_TEMPLATE_VERSION, CONVERSION_FAILED</w:t>
            </w:r>
          </w:p>
        </w:tc>
        <w:tc>
          <w:tcPr>
            <w:tcW w:type="dxa" w:w="105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Convert</w:t>
            </w:r>
          </w:p>
        </w:tc>
        <w:tc>
          <w:tcPr>
            <w:tcW w:type="dxa" w:w="147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Non-transient</w:t>
            </w:r>
          </w:p>
        </w:tc>
        <w:tc>
          <w:tcPr>
            <w:tcW w:type="dxa" w:w="2873"/>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None</w:t>
            </w:r>
          </w:p>
        </w:tc>
        <w:tc>
          <w:tcPr>
            <w:tcW w:type="dxa" w:w="2663"/>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Quarantine; partner contact; contract test reproduces</w:t>
            </w:r>
          </w:p>
        </w:tc>
      </w:tr>
      <w:tr>
        <w:trPr>
          <w:cantSplit/>
          <w:tblHeader w:val="false"/>
        </w:trPr>
        <w:tc>
          <w:tcPr>
            <w:tcW w:type="dxa" w:w="245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PROFILE_INVALID, TERMINOLOGY_INVALID, REQUIRED_FIELD_MISSING</w:t>
            </w:r>
          </w:p>
        </w:tc>
        <w:tc>
          <w:tcPr>
            <w:tcW w:type="dxa" w:w="105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Validate</w:t>
            </w:r>
          </w:p>
        </w:tc>
        <w:tc>
          <w:tcPr>
            <w:tcW w:type="dxa" w:w="147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Non-transient</w:t>
            </w:r>
          </w:p>
        </w:tc>
        <w:tc>
          <w:tcPr>
            <w:tcW w:type="dxa" w:w="287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None</w:t>
            </w:r>
          </w:p>
        </w:tc>
        <w:tc>
          <w:tcPr>
            <w:tcW w:type="dxa" w:w="266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Quarantine; counted as ValidationRejected and reported apart from SLO-01</w:t>
            </w:r>
          </w:p>
        </w:tc>
      </w:tr>
      <w:tr>
        <w:trPr>
          <w:cantSplit/>
          <w:tblHeader w:val="false"/>
        </w:trPr>
        <w:tc>
          <w:tcPr>
            <w:tcW w:type="dxa" w:w="2453"/>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REFERENCE_UNRESOLVED</w:t>
            </w:r>
          </w:p>
        </w:tc>
        <w:tc>
          <w:tcPr>
            <w:tcW w:type="dxa" w:w="105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Validate</w:t>
            </w:r>
          </w:p>
        </w:tc>
        <w:tc>
          <w:tcPr>
            <w:tcW w:type="dxa" w:w="147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Possibly ordering</w:t>
            </w:r>
          </w:p>
        </w:tc>
        <w:tc>
          <w:tcPr>
            <w:tcW w:type="dxa" w:w="2873"/>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One delayed re-validation after 10 min</w:t>
            </w:r>
          </w:p>
        </w:tc>
        <w:tc>
          <w:tcPr>
            <w:tcW w:type="dxa" w:w="2663"/>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Then quarantine</w:t>
            </w:r>
          </w:p>
        </w:tc>
      </w:tr>
      <w:tr>
        <w:trPr>
          <w:cantSplit/>
          <w:tblHeader w:val="false"/>
        </w:trPr>
        <w:tc>
          <w:tcPr>
            <w:tcW w:type="dxa" w:w="245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RECONCILIATION_MISMATCH, DUPLICATE_SUSPECTED</w:t>
            </w:r>
          </w:p>
        </w:tc>
        <w:tc>
          <w:tcPr>
            <w:tcW w:type="dxa" w:w="105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Reconcile</w:t>
            </w:r>
          </w:p>
        </w:tc>
        <w:tc>
          <w:tcPr>
            <w:tcW w:type="dxa" w:w="147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Integrity</w:t>
            </w:r>
          </w:p>
        </w:tc>
        <w:tc>
          <w:tcPr>
            <w:tcW w:type="dxa" w:w="287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None</w:t>
            </w:r>
          </w:p>
        </w:tc>
        <w:tc>
          <w:tcPr>
            <w:tcW w:type="dxa" w:w="266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Create incident and stop (template failureAction); A8 P1</w:t>
            </w:r>
          </w:p>
        </w:tc>
      </w:tr>
    </w:tbl>
    <w:p>
      <w:pPr>
        <w:pStyle w:val="Heading2"/>
        <w:keepNext/>
        <w:spacing w:after="40" w:before="90"/>
      </w:pPr>
      <w:r>
        <w:rPr>
          <w:rFonts w:ascii="Calibri" w:cs="Calibri" w:eastAsia="Calibri" w:hAnsi="Calibri"/>
          <w:b/>
          <w:bCs/>
          <w:color w:val="0F6CBD"/>
          <w:sz w:val="20"/>
          <w:szCs w:val="20"/>
        </w:rPr>
        <w:t xml:space="preserve">6.2  Replay, template change and recovery</w:t>
      </w:r>
    </w:p>
    <w:p>
      <w:pPr>
        <w:spacing w:after="60" w:before="0" w:line="236"/>
        <w:jc w:val="left"/>
      </w:pPr>
      <w:r>
        <w:rPr>
          <w:rFonts w:ascii="Calibri" w:cs="Calibri" w:eastAsia="Calibri" w:hAnsi="Calibri"/>
          <w:b/>
          <w:bCs/>
          <w:color w:val="1F2937"/>
          <w:sz w:val="17"/>
          <w:szCs w:val="17"/>
        </w:rPr>
        <w:t xml:space="preserve">Replay (D-03, D-04).</w:t>
      </w:r>
      <w:r>
        <w:rPr>
          <w:rFonts w:ascii="Calibri" w:cs="Calibri" w:eastAsia="Calibri" w:hAnsi="Calibri"/>
          <w:color w:val="1F2937"/>
          <w:sz w:val="17"/>
          <w:szCs w:val="17"/>
        </w:rPr>
        <w:t xml:space="preserve"> (1) After the fix, an engineer selects quarantined items by partner, failureCode and time range, with count, reason and ticket. (2) Flow F3 checks the partner limit (P-001 10,000; P-002 5,000 resent by the partner; P-003 full batch needs the duty manager), that requester ≠ approver, that no FHIR P1 is open and that the template digest is current. (3) A peer engineer approves within the limit, the On-call Lead for multi-batch or full-batch; approval expires in 2 h. (4) </w:t>
      </w:r>
      <w:r>
        <w:rPr>
          <w:rFonts w:ascii="Courier New" w:cs="Courier New" w:eastAsia="Courier New" w:hAnsi="Courier New"/>
          <w:color w:val="0B3A6E"/>
          <w:sz w:val="14"/>
          <w:szCs w:val="14"/>
        </w:rPr>
        <w:t xml:space="preserve">pl_replay</w:t>
      </w:r>
      <w:r>
        <w:rPr>
          <w:rFonts w:ascii="Calibri" w:cs="Calibri" w:eastAsia="Calibri" w:hAnsi="Calibri"/>
          <w:color w:val="1F2937"/>
          <w:sz w:val="17"/>
          <w:szCs w:val="17"/>
        </w:rPr>
        <w:t xml:space="preserve"> runs with </w:t>
      </w:r>
      <w:r>
        <w:rPr>
          <w:rFonts w:ascii="Courier New" w:cs="Courier New" w:eastAsia="Courier New" w:hAnsi="Courier New"/>
          <w:color w:val="0B3A6E"/>
          <w:sz w:val="14"/>
          <w:szCs w:val="14"/>
        </w:rPr>
        <w:t xml:space="preserve">replayAuthorized=true</w:t>
      </w:r>
      <w:r>
        <w:rPr>
          <w:rFonts w:ascii="Calibri" w:cs="Calibri" w:eastAsia="Calibri" w:hAnsi="Calibri"/>
          <w:color w:val="1F2937"/>
          <w:sz w:val="17"/>
          <w:szCs w:val="17"/>
        </w:rPr>
        <w:t xml:space="preserve"> and the approvalId in 1,000-item chunks, reading before each write and checkpointing each chunk. (5) Closure needs KQL-08 = 0 and attempted = succeeded + re-quarantined; otherwise it stops, restores the checkpoint and raises a P1.</w:t>
      </w:r>
    </w:p>
    <w:p>
      <w:pPr>
        <w:spacing w:after="60" w:before="0" w:line="236"/>
        <w:jc w:val="left"/>
      </w:pPr>
      <w:r>
        <w:rPr>
          <w:rFonts w:ascii="Calibri" w:cs="Calibri" w:eastAsia="Calibri" w:hAnsi="Calibri"/>
          <w:b/>
          <w:bCs/>
          <w:color w:val="1F2937"/>
          <w:sz w:val="17"/>
          <w:szCs w:val="17"/>
        </w:rPr>
        <w:t xml:space="preserve">Template change (D-02).</w:t>
      </w:r>
      <w:r>
        <w:rPr>
          <w:rFonts w:ascii="Calibri" w:cs="Calibri" w:eastAsia="Calibri" w:hAnsi="Calibri"/>
          <w:color w:val="1F2937"/>
          <w:sz w:val="17"/>
          <w:szCs w:val="17"/>
        </w:rPr>
        <w:t xml:space="preserve"> Partner notice ≥10 business days with synthetic samples (OQ-06); CI contract test on old and new versions (converts, validates, identical IDs across two runs, expected counts); digest recorded; version-gate mapping released with approval; old digest kept for one-line rollback; A1 and A7 watched by failureCode for 24 h.</w:t>
      </w:r>
    </w:p>
    <w:p>
      <w:pPr>
        <w:spacing w:after="60" w:before="0" w:line="236"/>
        <w:jc w:val="left"/>
      </w:pPr>
      <w:r>
        <w:rPr>
          <w:rFonts w:ascii="Calibri" w:cs="Calibri" w:eastAsia="Calibri" w:hAnsi="Calibri"/>
          <w:b/>
          <w:bCs/>
          <w:color w:val="1F2937"/>
          <w:sz w:val="17"/>
          <w:szCs w:val="17"/>
        </w:rPr>
        <w:t xml:space="preserve">Capacity, latency, recovery (A-08).</w:t>
      </w:r>
      <w:r>
        <w:rPr>
          <w:rFonts w:ascii="Calibri" w:cs="Calibri" w:eastAsia="Calibri" w:hAnsi="Calibri"/>
          <w:color w:val="1F2937"/>
          <w:sz w:val="17"/>
          <w:szCs w:val="17"/>
        </w:rPr>
        <w:t xml:space="preserve"> P-001 peaks at 120 msg/s; Functions Premium scales to a capped instance count and backs off on FHIR 429s; load test LT-01 runs at 180 msg/s. P-001 budget: enqueue &lt;1 s + queue wait ≤30 s + convert/validate ≤5 s + write ≤5 s ≈ 45 s p95 vs 120 s. P-002 is synchronous, about 5 s vs 90 s. P-003: arrival 01:00, validation about 30 min, reconciled by 04:30. </w:t>
      </w:r>
      <w:r>
        <w:rPr>
          <w:rFonts w:ascii="Calibri" w:cs="Calibri" w:eastAsia="Calibri" w:hAnsi="Calibri"/>
          <w:b/>
          <w:bCs/>
          <w:color w:val="1F2937"/>
          <w:sz w:val="17"/>
          <w:szCs w:val="17"/>
        </w:rPr>
        <w:t xml:space="preserve">Recovery:</w:t>
      </w:r>
      <w:r>
        <w:rPr>
          <w:rFonts w:ascii="Calibri" w:cs="Calibri" w:eastAsia="Calibri" w:hAnsi="Calibri"/>
          <w:color w:val="1F2937"/>
          <w:sz w:val="17"/>
          <w:szCs w:val="17"/>
        </w:rPr>
        <w:t xml:space="preserve"> zone-redundant queue with ACK-after-commit keeps acknowledged data through a zonal failure; the 10-min queue-age alert protects the 15-min RPO; after a regional failure partners re-send from the last ledger checkpoint (OQ-07); analytics output is regenerated (PC-09); RTO 2 h is tested quarterly.</w:t>
      </w:r>
    </w:p>
    <w:p>
      <w:pPr>
        <w:pStyle w:val="Heading1"/>
        <w:keepNext/>
        <w:pBdr>
          <w:bottom w:val="single" w:color="1F3864" w:sz="6" w:space="2"/>
        </w:pBdr>
        <w:spacing w:after="70" w:before="120"/>
      </w:pPr>
      <w:r>
        <w:rPr>
          <w:rFonts w:ascii="Calibri" w:cs="Calibri" w:eastAsia="Calibri" w:hAnsi="Calibri"/>
          <w:b/>
          <w:bCs/>
          <w:color w:val="1F3864"/>
          <w:sz w:val="26"/>
          <w:szCs w:val="26"/>
        </w:rPr>
        <w:t xml:space="preserve">7  Automation Strategy</w:t>
      </w:r>
    </w:p>
    <w:p>
      <w:pPr>
        <w:spacing w:after="60" w:before="0" w:line="236"/>
        <w:jc w:val="left"/>
      </w:pPr>
      <w:r>
        <w:rPr>
          <w:rFonts w:ascii="Calibri" w:cs="Calibri" w:eastAsia="Calibri" w:hAnsi="Calibri"/>
          <w:color w:val="1F2937"/>
          <w:sz w:val="17"/>
          <w:szCs w:val="17"/>
        </w:rPr>
        <w:t xml:space="preserve">Actions are scored with the Automation Decision Template: </w:t>
      </w:r>
      <w:r>
        <w:rPr>
          <w:rFonts w:ascii="Calibri" w:cs="Calibri" w:eastAsia="Calibri" w:hAnsi="Calibri"/>
          <w:b/>
          <w:bCs/>
          <w:color w:val="1F2937"/>
          <w:sz w:val="17"/>
          <w:szCs w:val="17"/>
        </w:rPr>
        <w:t xml:space="preserve">Base = Sensitivity × Impact + Reversibility × Blast radius + (6 − Confidence) × 2</w:t>
      </w:r>
      <w:r>
        <w:rPr>
          <w:rFonts w:ascii="Calibri" w:cs="Calibri" w:eastAsia="Calibri" w:hAnsi="Calibri"/>
          <w:color w:val="1F2937"/>
          <w:sz w:val="17"/>
          <w:szCs w:val="17"/>
        </w:rPr>
        <w:t xml:space="preserve">; 0–24 automatic, 25–39 approval-gated, 40+ manual. Mandatory gates (access change, delete, retention, clinical impact) override the score, and a final decision may be stricter. Every automation runs as a scoped managed identity with timeout, retry limit, pre- and post-validation and an audit record.</w:t>
      </w:r>
    </w:p>
    <w:p>
      <w:pPr>
        <w:keepNext/>
        <w:spacing w:after="30" w:before="60"/>
      </w:pPr>
      <w:r>
        <w:rPr>
          <w:rFonts w:ascii="Calibri" w:cs="Calibri" w:eastAsia="Calibri" w:hAnsi="Calibri"/>
          <w:b/>
          <w:bCs/>
          <w:color w:val="1F3864"/>
          <w:sz w:val="16"/>
          <w:szCs w:val="16"/>
        </w:rPr>
        <w:t xml:space="preserve">Table 12. Automation decision matrix (D-04). Scores: S, I, R, B, C = sensitivity, impact, reversibility difficulty, blast radius, detection confidence (1–5).</w:t>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6"/>
        <w:gridCol w:w="2841"/>
        <w:gridCol w:w="930"/>
        <w:gridCol w:w="542"/>
        <w:gridCol w:w="969"/>
        <w:gridCol w:w="1291"/>
        <w:gridCol w:w="1873"/>
        <w:gridCol w:w="1420"/>
      </w:tblGrid>
      <w:tr>
        <w:trPr>
          <w:cantSplit/>
          <w:tblHeader/>
        </w:trPr>
        <w:tc>
          <w:tcPr>
            <w:tcW w:type="dxa" w:w="646"/>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ID</w:t>
            </w:r>
          </w:p>
        </w:tc>
        <w:tc>
          <w:tcPr>
            <w:tcW w:type="dxa" w:w="2841"/>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Trigger → action</w:t>
            </w:r>
          </w:p>
        </w:tc>
        <w:tc>
          <w:tcPr>
            <w:tcW w:type="dxa" w:w="930"/>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S I R B C</w:t>
            </w:r>
          </w:p>
        </w:tc>
        <w:tc>
          <w:tcPr>
            <w:tcW w:type="dxa" w:w="542"/>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Base</w:t>
            </w:r>
          </w:p>
        </w:tc>
        <w:tc>
          <w:tcPr>
            <w:tcW w:type="dxa" w:w="969"/>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Gate</w:t>
            </w:r>
          </w:p>
        </w:tc>
        <w:tc>
          <w:tcPr>
            <w:tcW w:type="dxa" w:w="1291"/>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Decision</w:t>
            </w:r>
          </w:p>
        </w:tc>
        <w:tc>
          <w:tcPr>
            <w:tcW w:type="dxa" w:w="1873"/>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Identity; approver; expiry</w:t>
            </w:r>
          </w:p>
        </w:tc>
        <w:tc>
          <w:tcPr>
            <w:tcW w:type="dxa" w:w="1420"/>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Rollback</w:t>
            </w:r>
          </w:p>
        </w:tc>
      </w:tr>
      <w:tr>
        <w:trPr>
          <w:cantSplit/>
          <w:tblHeader w:val="false"/>
        </w:trPr>
        <w:tc>
          <w:tcPr>
            <w:tcW w:type="dxa" w:w="64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AUT-01</w:t>
            </w:r>
          </w:p>
        </w:tc>
        <w:tc>
          <w:tcPr>
            <w:tcW w:type="dxa" w:w="284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Audit freshness breach or diagnostic setting deleted → create P1 incident, snapshot config, start Policy remediation</w:t>
            </w:r>
          </w:p>
        </w:tc>
        <w:tc>
          <w:tcPr>
            <w:tcW w:type="dxa" w:w="93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2 2 1 2 5</w:t>
            </w:r>
          </w:p>
        </w:tc>
        <w:tc>
          <w:tcPr>
            <w:tcW w:type="dxa" w:w="54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8</w:t>
            </w:r>
          </w:p>
        </w:tc>
        <w:tc>
          <w:tcPr>
            <w:tcW w:type="dxa" w:w="96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None</w:t>
            </w:r>
          </w:p>
        </w:tc>
        <w:tc>
          <w:tcPr>
            <w:tcW w:type="dxa" w:w="129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Automatic</w:t>
            </w:r>
          </w:p>
        </w:tc>
        <w:tc>
          <w:tcPr>
            <w:tcW w:type="dxa" w:w="187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Logic App MI; n/a</w:t>
            </w:r>
          </w:p>
        </w:tc>
        <w:tc>
          <w:tcPr>
            <w:tcW w:type="dxa" w:w="142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Remove re-created setting (rarely needed)</w:t>
            </w:r>
          </w:p>
        </w:tc>
      </w:tr>
      <w:tr>
        <w:trPr>
          <w:cantSplit/>
          <w:tblHeader w:val="false"/>
        </w:trPr>
        <w:tc>
          <w:tcPr>
            <w:tcW w:type="dxa" w:w="64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AUT-02</w:t>
            </w:r>
          </w:p>
        </w:tc>
        <w:tc>
          <w:tcPr>
            <w:tcW w:type="dxa" w:w="284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P1 SLO-01 breach with transient failures (P-001, P-003) → pause consumption (queue ReceiveDisabled or stop trigger) for ≤30 min</w:t>
            </w:r>
          </w:p>
        </w:tc>
        <w:tc>
          <w:tcPr>
            <w:tcW w:type="dxa" w:w="93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3 3 2 3 4</w:t>
            </w:r>
          </w:p>
        </w:tc>
        <w:tc>
          <w:tcPr>
            <w:tcW w:type="dxa" w:w="54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19</w:t>
            </w:r>
          </w:p>
        </w:tc>
        <w:tc>
          <w:tcPr>
            <w:tcW w:type="dxa" w:w="969"/>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None</w:t>
            </w:r>
          </w:p>
        </w:tc>
        <w:tc>
          <w:tcPr>
            <w:tcW w:type="dxa" w:w="129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Automatic</w:t>
            </w:r>
            <w:r>
              <w:rPr>
                <w:rFonts w:ascii="Calibri" w:cs="Calibri" w:eastAsia="Calibri" w:hAnsi="Calibri"/>
                <w:b w:val="false"/>
                <w:bCs w:val="false"/>
                <w:color w:val="1F2937"/>
                <w:sz w:val="14"/>
                <w:szCs w:val="14"/>
              </w:rPr>
              <w:t xml:space="preserve">, auto-expires</w:t>
            </w:r>
          </w:p>
        </w:tc>
        <w:tc>
          <w:tcPr>
            <w:tcW w:type="dxa" w:w="1873"/>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Ingest Operator; extension needs AUT-07</w:t>
            </w:r>
          </w:p>
        </w:tc>
        <w:tc>
          <w:tcPr>
            <w:tcW w:type="dxa" w:w="142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Queue Active / restart trigger from checkpoint</w:t>
            </w:r>
          </w:p>
        </w:tc>
      </w:tr>
      <w:tr>
        <w:trPr>
          <w:cantSplit/>
          <w:tblHeader w:val="false"/>
        </w:trPr>
        <w:tc>
          <w:tcPr>
            <w:tcW w:type="dxa" w:w="64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AUT-03</w:t>
            </w:r>
          </w:p>
        </w:tc>
        <w:tc>
          <w:tcPr>
            <w:tcW w:type="dxa" w:w="284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Conversion or validation failure → quarantine item</w:t>
            </w:r>
          </w:p>
        </w:tc>
        <w:tc>
          <w:tcPr>
            <w:tcW w:type="dxa" w:w="93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4 3 2 1 5</w:t>
            </w:r>
          </w:p>
        </w:tc>
        <w:tc>
          <w:tcPr>
            <w:tcW w:type="dxa" w:w="54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16</w:t>
            </w:r>
          </w:p>
        </w:tc>
        <w:tc>
          <w:tcPr>
            <w:tcW w:type="dxa" w:w="96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None</w:t>
            </w:r>
          </w:p>
        </w:tc>
        <w:tc>
          <w:tcPr>
            <w:tcW w:type="dxa" w:w="129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Automatic</w:t>
            </w:r>
          </w:p>
        </w:tc>
        <w:tc>
          <w:tcPr>
            <w:tcW w:type="dxa" w:w="187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uami-ingest-worker; n/a</w:t>
            </w:r>
          </w:p>
        </w:tc>
        <w:tc>
          <w:tcPr>
            <w:tcW w:type="dxa" w:w="142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Replay after fix (AUT-05)</w:t>
            </w:r>
          </w:p>
        </w:tc>
      </w:tr>
      <w:tr>
        <w:trPr>
          <w:cantSplit/>
          <w:tblHeader w:val="false"/>
        </w:trPr>
        <w:tc>
          <w:tcPr>
            <w:tcW w:type="dxa" w:w="64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AUT-04</w:t>
            </w:r>
          </w:p>
        </w:tc>
        <w:tc>
          <w:tcPr>
            <w:tcW w:type="dxa" w:w="284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Queue backlog → scale workers within cap</w:t>
            </w:r>
          </w:p>
        </w:tc>
        <w:tc>
          <w:tcPr>
            <w:tcW w:type="dxa" w:w="93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3 2 1 2 5</w:t>
            </w:r>
          </w:p>
        </w:tc>
        <w:tc>
          <w:tcPr>
            <w:tcW w:type="dxa" w:w="54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10</w:t>
            </w:r>
          </w:p>
        </w:tc>
        <w:tc>
          <w:tcPr>
            <w:tcW w:type="dxa" w:w="969"/>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None</w:t>
            </w:r>
          </w:p>
        </w:tc>
        <w:tc>
          <w:tcPr>
            <w:tcW w:type="dxa" w:w="129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Automatic</w:t>
            </w:r>
          </w:p>
        </w:tc>
        <w:tc>
          <w:tcPr>
            <w:tcW w:type="dxa" w:w="1873"/>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Platform scale controller</w:t>
            </w:r>
          </w:p>
        </w:tc>
        <w:tc>
          <w:tcPr>
            <w:tcW w:type="dxa" w:w="142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Automatic scale-in</w:t>
            </w:r>
          </w:p>
        </w:tc>
      </w:tr>
      <w:tr>
        <w:trPr>
          <w:cantSplit/>
          <w:tblHeader w:val="false"/>
        </w:trPr>
        <w:tc>
          <w:tcPr>
            <w:tcW w:type="dxa" w:w="64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AUT-05</w:t>
            </w:r>
          </w:p>
        </w:tc>
        <w:tc>
          <w:tcPr>
            <w:tcW w:type="dxa" w:w="284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Replay ≤ partner limit (10,000 P-001; 5,000 P-002 resend) → run pl_replay</w:t>
            </w:r>
          </w:p>
        </w:tc>
        <w:tc>
          <w:tcPr>
            <w:tcW w:type="dxa" w:w="93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4 4 3 3 4</w:t>
            </w:r>
          </w:p>
        </w:tc>
        <w:tc>
          <w:tcPr>
            <w:tcW w:type="dxa" w:w="54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29</w:t>
            </w:r>
          </w:p>
        </w:tc>
        <w:tc>
          <w:tcPr>
            <w:tcW w:type="dxa" w:w="96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None</w:t>
            </w:r>
          </w:p>
        </w:tc>
        <w:tc>
          <w:tcPr>
            <w:tcW w:type="dxa" w:w="129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Approval-gated</w:t>
            </w:r>
          </w:p>
        </w:tc>
        <w:tc>
          <w:tcPr>
            <w:tcW w:type="dxa" w:w="187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Peer engineer (not requester); 2 h; &gt;1 batch: On-call Lead</w:t>
            </w:r>
          </w:p>
        </w:tc>
        <w:tc>
          <w:tcPr>
            <w:tcW w:type="dxa" w:w="142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Stop, restore checkpoint, re-quarantine</w:t>
            </w:r>
          </w:p>
        </w:tc>
      </w:tr>
      <w:tr>
        <w:trPr>
          <w:cantSplit/>
          <w:tblHeader w:val="false"/>
        </w:trPr>
        <w:tc>
          <w:tcPr>
            <w:tcW w:type="dxa" w:w="64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AUT-06</w:t>
            </w:r>
          </w:p>
        </w:tc>
        <w:tc>
          <w:tcPr>
            <w:tcW w:type="dxa" w:w="284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Litware full-batch replay → re-run pl_p003_nightly</w:t>
            </w:r>
          </w:p>
        </w:tc>
        <w:tc>
          <w:tcPr>
            <w:tcW w:type="dxa" w:w="93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4 4 3 3 4</w:t>
            </w:r>
          </w:p>
        </w:tc>
        <w:tc>
          <w:tcPr>
            <w:tcW w:type="dxa" w:w="54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29</w:t>
            </w:r>
          </w:p>
        </w:tc>
        <w:tc>
          <w:tcPr>
            <w:tcW w:type="dxa" w:w="969"/>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None</w:t>
            </w:r>
          </w:p>
        </w:tc>
        <w:tc>
          <w:tcPr>
            <w:tcW w:type="dxa" w:w="129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Approval-gated</w:t>
            </w:r>
          </w:p>
        </w:tc>
        <w:tc>
          <w:tcPr>
            <w:tcW w:type="dxa" w:w="1873"/>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Duty manager (A-02); until 05:00</w:t>
            </w:r>
          </w:p>
        </w:tc>
        <w:tc>
          <w:tcPr>
            <w:tcW w:type="dxa" w:w="142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Stop; reconcile; partner re-export</w:t>
            </w:r>
          </w:p>
        </w:tc>
      </w:tr>
      <w:tr>
        <w:trPr>
          <w:cantSplit/>
          <w:tblHeader w:val="false"/>
        </w:trPr>
        <w:tc>
          <w:tcPr>
            <w:tcW w:type="dxa" w:w="64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AUT-07</w:t>
            </w:r>
          </w:p>
        </w:tc>
        <w:tc>
          <w:tcPr>
            <w:tcW w:type="dxa" w:w="284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Pause beyond 30 min, or pause Fabrikam (APIM 503 + Retry-After)</w:t>
            </w:r>
          </w:p>
        </w:tc>
        <w:tc>
          <w:tcPr>
            <w:tcW w:type="dxa" w:w="93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3 4 2 3 4</w:t>
            </w:r>
          </w:p>
        </w:tc>
        <w:tc>
          <w:tcPr>
            <w:tcW w:type="dxa" w:w="54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22</w:t>
            </w:r>
          </w:p>
        </w:tc>
        <w:tc>
          <w:tcPr>
            <w:tcW w:type="dxa" w:w="96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None</w:t>
            </w:r>
          </w:p>
        </w:tc>
        <w:tc>
          <w:tcPr>
            <w:tcW w:type="dxa" w:w="129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Approval-gated</w:t>
            </w:r>
            <w:r>
              <w:rPr>
                <w:rFonts w:ascii="Calibri" w:cs="Calibri" w:eastAsia="Calibri" w:hAnsi="Calibri"/>
                <w:b w:val="false"/>
                <w:bCs w:val="false"/>
                <w:color w:val="1F2937"/>
                <w:sz w:val="14"/>
                <w:szCs w:val="14"/>
              </w:rPr>
              <w:t xml:space="preserve"> (stricter than score: partner-visible)</w:t>
            </w:r>
          </w:p>
        </w:tc>
        <w:tc>
          <w:tcPr>
            <w:tcW w:type="dxa" w:w="187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On-call Lead; 4 h</w:t>
            </w:r>
          </w:p>
        </w:tc>
        <w:tc>
          <w:tcPr>
            <w:tcW w:type="dxa" w:w="142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Resume from checkpoint; partner notified</w:t>
            </w:r>
          </w:p>
        </w:tc>
      </w:tr>
      <w:tr>
        <w:trPr>
          <w:cantSplit/>
          <w:tblHeader w:val="false"/>
        </w:trPr>
        <w:tc>
          <w:tcPr>
            <w:tcW w:type="dxa" w:w="64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AUT-08</w:t>
            </w:r>
          </w:p>
        </w:tc>
        <w:tc>
          <w:tcPr>
            <w:tcW w:type="dxa" w:w="284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Workload-identity compromise indicator (KQL-05 + abnormal reads) → disable Fabrikam SP or remove its FHIR role</w:t>
            </w:r>
          </w:p>
        </w:tc>
        <w:tc>
          <w:tcPr>
            <w:tcW w:type="dxa" w:w="93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5 4 2 3 3</w:t>
            </w:r>
          </w:p>
        </w:tc>
        <w:tc>
          <w:tcPr>
            <w:tcW w:type="dxa" w:w="54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32</w:t>
            </w:r>
          </w:p>
        </w:tc>
        <w:tc>
          <w:tcPr>
            <w:tcW w:type="dxa" w:w="969"/>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Access</w:t>
            </w:r>
          </w:p>
        </w:tc>
        <w:tc>
          <w:tcPr>
            <w:tcW w:type="dxa" w:w="129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Approval-gated</w:t>
            </w:r>
          </w:p>
        </w:tc>
        <w:tc>
          <w:tcPr>
            <w:tcW w:type="dxa" w:w="1873"/>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Security Operations (emergency identity containment); incident</w:t>
            </w:r>
          </w:p>
        </w:tc>
        <w:tc>
          <w:tcPr>
            <w:tcW w:type="dxa" w:w="142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Re-enable on SecOps approval; rotate cert</w:t>
            </w:r>
          </w:p>
        </w:tc>
      </w:tr>
      <w:tr>
        <w:trPr>
          <w:cantSplit/>
          <w:tblHeader w:val="false"/>
        </w:trPr>
        <w:tc>
          <w:tcPr>
            <w:tcW w:type="dxa" w:w="64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AUT-09</w:t>
            </w:r>
          </w:p>
        </w:tc>
        <w:tc>
          <w:tcPr>
            <w:tcW w:type="dxa" w:w="284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Human privileged account compromise → revoke roles and sessions</w:t>
            </w:r>
          </w:p>
        </w:tc>
        <w:tc>
          <w:tcPr>
            <w:tcW w:type="dxa" w:w="93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5 5 3 4 3</w:t>
            </w:r>
          </w:p>
        </w:tc>
        <w:tc>
          <w:tcPr>
            <w:tcW w:type="dxa" w:w="54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43</w:t>
            </w:r>
          </w:p>
        </w:tc>
        <w:tc>
          <w:tcPr>
            <w:tcW w:type="dxa" w:w="96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Access</w:t>
            </w:r>
          </w:p>
        </w:tc>
        <w:tc>
          <w:tcPr>
            <w:tcW w:type="dxa" w:w="129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Manual</w:t>
            </w:r>
          </w:p>
        </w:tc>
        <w:tc>
          <w:tcPr>
            <w:tcW w:type="dxa" w:w="187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SecOps via PIM; incident commander</w:t>
            </w:r>
          </w:p>
        </w:tc>
        <w:tc>
          <w:tcPr>
            <w:tcW w:type="dxa" w:w="142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Restore only on approval</w:t>
            </w:r>
          </w:p>
        </w:tc>
      </w:tr>
      <w:tr>
        <w:trPr>
          <w:cantSplit/>
          <w:tblHeader w:val="false"/>
        </w:trPr>
        <w:tc>
          <w:tcPr>
            <w:tcW w:type="dxa" w:w="64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AUT-10</w:t>
            </w:r>
          </w:p>
        </w:tc>
        <w:tc>
          <w:tcPr>
            <w:tcW w:type="dxa" w:w="284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Exfiltration indicator → isolate FHIR private endpoint</w:t>
            </w:r>
          </w:p>
        </w:tc>
        <w:tc>
          <w:tcPr>
            <w:tcW w:type="dxa" w:w="93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5 5 4 5 3</w:t>
            </w:r>
          </w:p>
        </w:tc>
        <w:tc>
          <w:tcPr>
            <w:tcW w:type="dxa" w:w="54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51</w:t>
            </w:r>
          </w:p>
        </w:tc>
        <w:tc>
          <w:tcPr>
            <w:tcW w:type="dxa" w:w="969"/>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Clinical</w:t>
            </w:r>
          </w:p>
        </w:tc>
        <w:tc>
          <w:tcPr>
            <w:tcW w:type="dxa" w:w="129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Manual</w:t>
            </w:r>
          </w:p>
        </w:tc>
        <w:tc>
          <w:tcPr>
            <w:tcW w:type="dxa" w:w="1873"/>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SecOps commander + Clinical Ops</w:t>
            </w:r>
          </w:p>
        </w:tc>
        <w:tc>
          <w:tcPr>
            <w:tcW w:type="dxa" w:w="142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Re-apply approved network config</w:t>
            </w:r>
          </w:p>
        </w:tc>
      </w:tr>
      <w:tr>
        <w:trPr>
          <w:cantSplit/>
          <w:tblHeader w:val="false"/>
        </w:trPr>
        <w:tc>
          <w:tcPr>
            <w:tcW w:type="dxa" w:w="64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AUT-11</w:t>
            </w:r>
          </w:p>
        </w:tc>
        <w:tc>
          <w:tcPr>
            <w:tcW w:type="dxa" w:w="284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Quarantine disposal, purge, retention change</w:t>
            </w:r>
          </w:p>
        </w:tc>
        <w:tc>
          <w:tcPr>
            <w:tcW w:type="dxa" w:w="93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5 5 5 4 4</w:t>
            </w:r>
          </w:p>
        </w:tc>
        <w:tc>
          <w:tcPr>
            <w:tcW w:type="dxa" w:w="54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49</w:t>
            </w:r>
          </w:p>
        </w:tc>
        <w:tc>
          <w:tcPr>
            <w:tcW w:type="dxa" w:w="96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Delete, retention</w:t>
            </w:r>
          </w:p>
        </w:tc>
        <w:tc>
          <w:tcPr>
            <w:tcW w:type="dxa" w:w="129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Manual</w:t>
            </w:r>
            <w:r>
              <w:rPr>
                <w:rFonts w:ascii="Calibri" w:cs="Calibri" w:eastAsia="Calibri" w:hAnsi="Calibri"/>
                <w:b w:val="false"/>
                <w:bCs w:val="false"/>
                <w:color w:val="1F2937"/>
                <w:sz w:val="14"/>
                <w:szCs w:val="14"/>
              </w:rPr>
              <w:t xml:space="preserve">, two-person</w:t>
            </w:r>
          </w:p>
        </w:tc>
        <w:tc>
          <w:tcPr>
            <w:tcW w:type="dxa" w:w="187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Privacy Officer + Data Governance (On-call Lead cannot approve alone)</w:t>
            </w:r>
          </w:p>
        </w:tc>
        <w:tc>
          <w:tcPr>
            <w:tcW w:type="dxa" w:w="142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Irreversible; check legal hold first</w:t>
            </w:r>
          </w:p>
        </w:tc>
      </w:tr>
      <w:tr>
        <w:trPr>
          <w:cantSplit/>
          <w:tblHeader w:val="false"/>
        </w:trPr>
        <w:tc>
          <w:tcPr>
            <w:tcW w:type="dxa" w:w="64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AUT-12</w:t>
            </w:r>
          </w:p>
        </w:tc>
        <w:tc>
          <w:tcPr>
            <w:tcW w:type="dxa" w:w="284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Any action that changes clinical data or decisions</w:t>
            </w:r>
          </w:p>
        </w:tc>
        <w:tc>
          <w:tcPr>
            <w:tcW w:type="dxa" w:w="93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n/a</w:t>
            </w:r>
          </w:p>
        </w:tc>
        <w:tc>
          <w:tcPr>
            <w:tcW w:type="dxa" w:w="54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n/a</w:t>
            </w:r>
          </w:p>
        </w:tc>
        <w:tc>
          <w:tcPr>
            <w:tcW w:type="dxa" w:w="969"/>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Clinical</w:t>
            </w:r>
          </w:p>
        </w:tc>
        <w:tc>
          <w:tcPr>
            <w:tcW w:type="dxa" w:w="129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Prohibited</w:t>
            </w:r>
            <w:r>
              <w:rPr>
                <w:rFonts w:ascii="Calibri" w:cs="Calibri" w:eastAsia="Calibri" w:hAnsi="Calibri"/>
                <w:b w:val="false"/>
                <w:bCs w:val="false"/>
                <w:color w:val="1F2937"/>
                <w:sz w:val="14"/>
                <w:szCs w:val="14"/>
              </w:rPr>
              <w:t xml:space="preserve"> (PC-01)</w:t>
            </w:r>
          </w:p>
        </w:tc>
        <w:tc>
          <w:tcPr>
            <w:tcW w:type="dxa" w:w="1873"/>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n/a</w:t>
            </w:r>
          </w:p>
        </w:tc>
        <w:tc>
          <w:tcPr>
            <w:tcW w:type="dxa" w:w="142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n/a</w:t>
            </w:r>
          </w:p>
        </w:tc>
      </w:tr>
    </w:tbl>
    <w:p>
      <w:pPr>
        <w:pStyle w:val="Heading2"/>
        <w:keepNext/>
        <w:spacing w:after="40" w:before="90"/>
      </w:pPr>
      <w:r>
        <w:rPr>
          <w:rFonts w:ascii="Calibri" w:cs="Calibri" w:eastAsia="Calibri" w:hAnsi="Calibri"/>
          <w:b/>
          <w:bCs/>
          <w:color w:val="0F6CBD"/>
          <w:sz w:val="20"/>
          <w:szCs w:val="20"/>
        </w:rPr>
        <w:t xml:space="preserve">7.1  Automation flows (Logic Apps Standard and Functions)</w:t>
      </w:r>
    </w:p>
    <w:p>
      <w:pPr>
        <w:spacing w:after="60" w:before="0" w:line="236"/>
        <w:jc w:val="left"/>
      </w:pPr>
      <w:r>
        <w:rPr>
          <w:rFonts w:ascii="Calibri" w:cs="Calibri" w:eastAsia="Calibri" w:hAnsi="Calibri"/>
          <w:b/>
          <w:bCs/>
          <w:color w:val="1F2937"/>
          <w:sz w:val="17"/>
          <w:szCs w:val="17"/>
        </w:rPr>
        <w:t xml:space="preserve">F1 Alert to incident</w:t>
      </w:r>
      <w:r>
        <w:rPr>
          <w:rFonts w:ascii="Calibri" w:cs="Calibri" w:eastAsia="Calibri" w:hAnsi="Calibri"/>
          <w:color w:val="1F2937"/>
          <w:sz w:val="17"/>
          <w:szCs w:val="17"/>
        </w:rPr>
        <w:t xml:space="preserve"> (</w:t>
      </w:r>
      <w:r>
        <w:rPr>
          <w:rFonts w:ascii="Courier New" w:cs="Courier New" w:eastAsia="Courier New" w:hAnsi="Courier New"/>
          <w:color w:val="0B3A6E"/>
          <w:sz w:val="14"/>
          <w:szCs w:val="14"/>
        </w:rPr>
        <w:t xml:space="preserve">la-incident-orchestrator</w:t>
      </w:r>
      <w:r>
        <w:rPr>
          <w:rFonts w:ascii="Calibri" w:cs="Calibri" w:eastAsia="Calibri" w:hAnsi="Calibri"/>
          <w:color w:val="1F2937"/>
          <w:sz w:val="17"/>
          <w:szCs w:val="17"/>
        </w:rPr>
        <w:t xml:space="preserve">): secure-webhook trigger with the common alert schema (EX-01) → allow-list the rule ID → de-duplicate per alert and partner for 30 min → create ITSM incident with severity and runbook ID → attach a counts-only KQL snapshot → run the automatic action or request approval per Table 12.</w:t>
      </w:r>
    </w:p>
    <w:p>
      <w:pPr>
        <w:spacing w:after="60" w:before="0" w:line="236"/>
        <w:jc w:val="left"/>
      </w:pPr>
      <w:r>
        <w:rPr>
          <w:rFonts w:ascii="Calibri" w:cs="Calibri" w:eastAsia="Calibri" w:hAnsi="Calibri"/>
          <w:b/>
          <w:bCs/>
          <w:color w:val="1F2937"/>
          <w:sz w:val="17"/>
          <w:szCs w:val="17"/>
        </w:rPr>
        <w:t xml:space="preserve">F2 Circuit breaker</w:t>
      </w:r>
      <w:r>
        <w:rPr>
          <w:rFonts w:ascii="Calibri" w:cs="Calibri" w:eastAsia="Calibri" w:hAnsi="Calibri"/>
          <w:color w:val="1F2937"/>
          <w:sz w:val="17"/>
          <w:szCs w:val="17"/>
        </w:rPr>
        <w:t xml:space="preserve"> (</w:t>
      </w:r>
      <w:r>
        <w:rPr>
          <w:rFonts w:ascii="Courier New" w:cs="Courier New" w:eastAsia="Courier New" w:hAnsi="Courier New"/>
          <w:color w:val="0B3A6E"/>
          <w:sz w:val="14"/>
          <w:szCs w:val="14"/>
        </w:rPr>
        <w:t xml:space="preserve">fn-circuit-breaker</w:t>
      </w:r>
      <w:r>
        <w:rPr>
          <w:rFonts w:ascii="Calibri" w:cs="Calibri" w:eastAsia="Calibri" w:hAnsi="Calibri"/>
          <w:color w:val="1F2937"/>
          <w:sz w:val="17"/>
          <w:szCs w:val="17"/>
        </w:rPr>
        <w:t xml:space="preserve">, durable): checks no maintenance window, transient failure class, not already paused → sets the queue to ReceiveDisabled or stops the ADF trigger → re-evaluates at 30 min → resumes if canary and error rate are healthy, else asks the On-call Lead to extend (AUT-07). The listener keeps accepting, so nothing is refused or lost.</w:t>
      </w:r>
    </w:p>
    <w:p>
      <w:pPr>
        <w:spacing w:after="60" w:before="0" w:line="236"/>
        <w:jc w:val="left"/>
      </w:pPr>
      <w:r>
        <w:rPr>
          <w:rFonts w:ascii="Calibri" w:cs="Calibri" w:eastAsia="Calibri" w:hAnsi="Calibri"/>
          <w:b/>
          <w:bCs/>
          <w:color w:val="1F2937"/>
          <w:sz w:val="17"/>
          <w:szCs w:val="17"/>
        </w:rPr>
        <w:t xml:space="preserve">F3 Replay gate</w:t>
      </w:r>
      <w:r>
        <w:rPr>
          <w:rFonts w:ascii="Calibri" w:cs="Calibri" w:eastAsia="Calibri" w:hAnsi="Calibri"/>
          <w:color w:val="1F2937"/>
          <w:sz w:val="17"/>
          <w:szCs w:val="17"/>
        </w:rPr>
        <w:t xml:space="preserve"> (</w:t>
      </w:r>
      <w:r>
        <w:rPr>
          <w:rFonts w:ascii="Courier New" w:cs="Courier New" w:eastAsia="Courier New" w:hAnsi="Courier New"/>
          <w:color w:val="0B3A6E"/>
          <w:sz w:val="14"/>
          <w:szCs w:val="14"/>
        </w:rPr>
        <w:t xml:space="preserve">la-replay-gate</w:t>
      </w:r>
      <w:r>
        <w:rPr>
          <w:rFonts w:ascii="Calibri" w:cs="Calibri" w:eastAsia="Calibri" w:hAnsi="Calibri"/>
          <w:color w:val="1F2937"/>
          <w:sz w:val="17"/>
          <w:szCs w:val="17"/>
        </w:rPr>
        <w:t xml:space="preserve">) runs replay steps 2–5 (Section 6.2); ADF enforces it again, because </w:t>
      </w:r>
      <w:r>
        <w:rPr>
          <w:rFonts w:ascii="Courier New" w:cs="Courier New" w:eastAsia="Courier New" w:hAnsi="Courier New"/>
          <w:color w:val="0B3A6E"/>
          <w:sz w:val="14"/>
          <w:szCs w:val="14"/>
        </w:rPr>
        <w:t xml:space="preserve">pl_replay</w:t>
      </w:r>
      <w:r>
        <w:rPr>
          <w:rFonts w:ascii="Calibri" w:cs="Calibri" w:eastAsia="Calibri" w:hAnsi="Calibri"/>
          <w:color w:val="1F2937"/>
          <w:sz w:val="17"/>
          <w:szCs w:val="17"/>
        </w:rPr>
        <w:t xml:space="preserve"> starts with an If Condition that fails unless </w:t>
      </w:r>
      <w:r>
        <w:rPr>
          <w:rFonts w:ascii="Courier New" w:cs="Courier New" w:eastAsia="Courier New" w:hAnsi="Courier New"/>
          <w:color w:val="0B3A6E"/>
          <w:sz w:val="14"/>
          <w:szCs w:val="14"/>
        </w:rPr>
        <w:t xml:space="preserve">replayAuthorized</w:t>
      </w:r>
      <w:r>
        <w:rPr>
          <w:rFonts w:ascii="Calibri" w:cs="Calibri" w:eastAsia="Calibri" w:hAnsi="Calibri"/>
          <w:color w:val="1F2937"/>
          <w:sz w:val="17"/>
          <w:szCs w:val="17"/>
        </w:rPr>
        <w:t xml:space="preserve"> is true, an approvalId exists and the count is within the limit (Appendix E). </w:t>
      </w:r>
      <w:r>
        <w:rPr>
          <w:rFonts w:ascii="Calibri" w:cs="Calibri" w:eastAsia="Calibri" w:hAnsi="Calibri"/>
          <w:b/>
          <w:bCs/>
          <w:color w:val="1F2937"/>
          <w:sz w:val="17"/>
          <w:szCs w:val="17"/>
        </w:rPr>
        <w:t xml:space="preserve">F4 Daily evidence</w:t>
      </w:r>
      <w:r>
        <w:rPr>
          <w:rFonts w:ascii="Calibri" w:cs="Calibri" w:eastAsia="Calibri" w:hAnsi="Calibri"/>
          <w:color w:val="1F2937"/>
          <w:sz w:val="17"/>
          <w:szCs w:val="17"/>
        </w:rPr>
        <w:t xml:space="preserve"> (</w:t>
      </w:r>
      <w:r>
        <w:rPr>
          <w:rFonts w:ascii="Courier New" w:cs="Courier New" w:eastAsia="Courier New" w:hAnsi="Courier New"/>
          <w:color w:val="0B3A6E"/>
          <w:sz w:val="14"/>
          <w:szCs w:val="14"/>
        </w:rPr>
        <w:t xml:space="preserve">la-evidence-daily</w:t>
      </w:r>
      <w:r>
        <w:rPr>
          <w:rFonts w:ascii="Calibri" w:cs="Calibri" w:eastAsia="Calibri" w:hAnsi="Calibri"/>
          <w:color w:val="1F2937"/>
          <w:sz w:val="17"/>
          <w:szCs w:val="17"/>
        </w:rPr>
        <w:t xml:space="preserve">) exports results to the immutable archive (Section 8.3).</w:t>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12"/>
      </w:tblGrid>
      <w:tr>
        <w:trPr>
          <w:cantSplit/>
        </w:trPr>
        <w:tc>
          <w:tcPr>
            <w:tcW w:type="dxa" w:w="10512"/>
            <w:tcBorders>
              <w:top w:val="single" w:color="BFC7D5" w:sz="4"/>
              <w:left w:val="single" w:color="B26B00" w:sz="24"/>
              <w:bottom w:val="single" w:color="BFC7D5" w:sz="4"/>
              <w:right w:val="single" w:color="BFC7D5" w:sz="4"/>
            </w:tcBorders>
            <w:shd w:fill="FFF8EB" w:color="auto" w:val="clear"/>
            <w:tcMar>
              <w:top w:type="dxa" w:w="60"/>
              <w:left w:type="dxa" w:w="120"/>
              <w:bottom w:type="dxa" w:w="40"/>
              <w:right w:type="dxa" w:w="100"/>
            </w:tcMar>
          </w:tcPr>
          <w:p>
            <w:pPr>
              <w:spacing w:after="30" w:before="0" w:line="240"/>
            </w:pPr>
            <w:r>
              <w:rPr>
                <w:rFonts w:ascii="Calibri" w:cs="Calibri" w:eastAsia="Calibri" w:hAnsi="Calibri"/>
                <w:b/>
                <w:bCs/>
                <w:color w:val="1F2937"/>
                <w:sz w:val="17"/>
                <w:szCs w:val="17"/>
              </w:rPr>
              <w:t xml:space="preserve">Every action touching an ePHI-bearing system is logged.</w:t>
            </w:r>
            <w:r>
              <w:rPr>
                <w:rFonts w:ascii="Calibri" w:cs="Calibri" w:eastAsia="Calibri" w:hAnsi="Calibri"/>
                <w:color w:val="1F2937"/>
                <w:sz w:val="17"/>
                <w:szCs w:val="17"/>
              </w:rPr>
              <w:t xml:space="preserve"> Each flow writes an </w:t>
            </w:r>
            <w:r>
              <w:rPr>
                <w:rFonts w:ascii="Courier New" w:cs="Courier New" w:eastAsia="Courier New" w:hAnsi="Courier New"/>
                <w:color w:val="0B3A6E"/>
                <w:sz w:val="14"/>
                <w:szCs w:val="14"/>
              </w:rPr>
              <w:t xml:space="preserve">AutomationAudit_CL</w:t>
            </w:r>
            <w:r>
              <w:rPr>
                <w:rFonts w:ascii="Calibri" w:cs="Calibri" w:eastAsia="Calibri" w:hAnsi="Calibri"/>
                <w:color w:val="1F2937"/>
                <w:sz w:val="17"/>
                <w:szCs w:val="17"/>
              </w:rPr>
              <w:t xml:space="preserve"> record at start and end (automationId, correlationId, incident and alert IDs, action, target, partnerId, item count, approvalId, approver and executor object IDs, expiry, pre/post checks, result, rollback reference; schema in Appendix A). The data-plane effect also appears in FHIR AuditLogs or ADF logs under the same managed identity, joined by correlationId. No payloads or identifiers; KQL-09 alerts on any gated action without an approvalId.</w:t>
            </w:r>
          </w:p>
        </w:tc>
      </w:tr>
    </w:tbl>
    <w:p>
      <w:pPr>
        <w:pStyle w:val="Heading1"/>
        <w:keepNext/>
        <w:pBdr>
          <w:bottom w:val="single" w:color="1F3864" w:sz="6" w:space="2"/>
        </w:pBdr>
        <w:spacing w:after="70" w:before="120"/>
      </w:pPr>
      <w:r>
        <w:rPr>
          <w:rFonts w:ascii="Calibri" w:cs="Calibri" w:eastAsia="Calibri" w:hAnsi="Calibri"/>
          <w:b/>
          <w:bCs/>
          <w:color w:val="1F3864"/>
          <w:sz w:val="26"/>
          <w:szCs w:val="26"/>
        </w:rPr>
        <w:t xml:space="preserve">8  Compliance Remediation Runbook</w:t>
      </w:r>
    </w:p>
    <w:p>
      <w:pPr>
        <w:pStyle w:val="Heading2"/>
        <w:keepNext/>
        <w:spacing w:after="40" w:before="90"/>
      </w:pPr>
      <w:r>
        <w:rPr>
          <w:rFonts w:ascii="Calibri" w:cs="Calibri" w:eastAsia="Calibri" w:hAnsi="Calibri"/>
          <w:b/>
          <w:bCs/>
          <w:color w:val="0F6CBD"/>
          <w:sz w:val="20"/>
          <w:szCs w:val="20"/>
        </w:rPr>
        <w:t xml:space="preserve">8.1  RB-AUDIT-001: Restore FHIR and pipeline audit-log continuity</w:t>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7"/>
        <w:gridCol w:w="3529"/>
        <w:gridCol w:w="1727"/>
        <w:gridCol w:w="3529"/>
      </w:tblGrid>
      <w:tr>
        <w:trPr>
          <w:cantSplit/>
          <w:tblHeader/>
        </w:trPr>
        <w:tc>
          <w:tcPr>
            <w:tcW w:type="dxa" w:w="1727"/>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Field</w:t>
            </w:r>
          </w:p>
        </w:tc>
        <w:tc>
          <w:tcPr>
            <w:tcW w:type="dxa" w:w="3529"/>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Entry</w:t>
            </w:r>
          </w:p>
        </w:tc>
        <w:tc>
          <w:tcPr>
            <w:tcW w:type="dxa" w:w="1727"/>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Field</w:t>
            </w:r>
          </w:p>
        </w:tc>
        <w:tc>
          <w:tcPr>
            <w:tcW w:type="dxa" w:w="3529"/>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Entry</w:t>
            </w:r>
          </w:p>
        </w:tc>
      </w:tr>
      <w:tr>
        <w:trPr>
          <w:cantSplit/>
          <w:tblHeader w:val="false"/>
        </w:trPr>
        <w:tc>
          <w:tcPr>
            <w:tcW w:type="dxa" w:w="1727"/>
            <w:tcBorders>
              <w:top w:val="single" w:color="BFC7D5" w:sz="4"/>
              <w:left w:val="single" w:color="BFC7D5" w:sz="4"/>
              <w:bottom w:val="single" w:color="BFC7D5" w:sz="4"/>
              <w:right w:val="single" w:color="BFC7D5" w:sz="4"/>
            </w:tcBorders>
            <w:shd w:fill="EEF2F7"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Version / reviewed</w:t>
            </w:r>
          </w:p>
        </w:tc>
        <w:tc>
          <w:tcPr>
            <w:tcW w:type="dxa" w:w="352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v1.0 / 2026-10-11</w:t>
            </w:r>
          </w:p>
        </w:tc>
        <w:tc>
          <w:tcPr>
            <w:tcW w:type="dxa" w:w="1727"/>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Owner / approver</w:t>
            </w:r>
          </w:p>
        </w:tc>
        <w:tc>
          <w:tcPr>
            <w:tcW w:type="dxa" w:w="352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Security Operations / SecOps lead</w:t>
            </w:r>
          </w:p>
        </w:tc>
      </w:tr>
      <w:tr>
        <w:trPr>
          <w:cantSplit/>
          <w:tblHeader w:val="false"/>
        </w:trPr>
        <w:tc>
          <w:tcPr>
            <w:tcW w:type="dxa" w:w="1727"/>
            <w:tcBorders>
              <w:top w:val="single" w:color="BFC7D5" w:sz="4"/>
              <w:left w:val="single" w:color="BFC7D5" w:sz="4"/>
              <w:bottom w:val="single" w:color="BFC7D5" w:sz="4"/>
              <w:right w:val="single" w:color="BFC7D5" w:sz="4"/>
            </w:tcBorders>
            <w:shd w:fill="EEF2F7"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Severity</w:t>
            </w:r>
          </w:p>
        </w:tc>
        <w:tc>
          <w:tcPr>
            <w:tcW w:type="dxa" w:w="352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P1 (SLO-03)</w:t>
            </w:r>
          </w:p>
        </w:tc>
        <w:tc>
          <w:tcPr>
            <w:tcW w:type="dxa" w:w="1727"/>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Related alerts</w:t>
            </w:r>
          </w:p>
        </w:tc>
        <w:tc>
          <w:tcPr>
            <w:tcW w:type="dxa" w:w="352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A3 (KQL-03), A4 (KQL-04)</w:t>
            </w:r>
          </w:p>
        </w:tc>
      </w:tr>
      <w:tr>
        <w:trPr>
          <w:cantSplit/>
          <w:tblHeader w:val="false"/>
        </w:trPr>
        <w:tc>
          <w:tcPr>
            <w:tcW w:type="dxa" w:w="1727"/>
            <w:tcBorders>
              <w:top w:val="single" w:color="BFC7D5" w:sz="4"/>
              <w:left w:val="single" w:color="BFC7D5" w:sz="4"/>
              <w:bottom w:val="single" w:color="BFC7D5" w:sz="4"/>
              <w:right w:val="single" w:color="BFC7D5" w:sz="4"/>
            </w:tcBorders>
            <w:shd w:fill="EEF2F7"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Controls</w:t>
            </w:r>
          </w:p>
        </w:tc>
        <w:tc>
          <w:tcPr>
            <w:tcW w:type="dxa" w:w="352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CTRL-005, CTRL-011; 164.312(b); 164.308(a)(1)(ii)(D)</w:t>
            </w:r>
          </w:p>
        </w:tc>
        <w:tc>
          <w:tcPr>
            <w:tcW w:type="dxa" w:w="1727"/>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Targets</w:t>
            </w:r>
          </w:p>
        </w:tc>
        <w:tc>
          <w:tcPr>
            <w:tcW w:type="dxa" w:w="352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FHIR service C-06, ADF C-05, workspace C-08, evidence archive</w:t>
            </w:r>
          </w:p>
        </w:tc>
      </w:tr>
      <w:tr>
        <w:trPr>
          <w:cantSplit/>
          <w:tblHeader w:val="false"/>
        </w:trPr>
        <w:tc>
          <w:tcPr>
            <w:tcW w:type="dxa" w:w="1727"/>
            <w:tcBorders>
              <w:top w:val="single" w:color="BFC7D5" w:sz="4"/>
              <w:left w:val="single" w:color="BFC7D5" w:sz="4"/>
              <w:bottom w:val="single" w:color="BFC7D5" w:sz="4"/>
              <w:right w:val="single" w:color="BFC7D5" w:sz="4"/>
            </w:tcBorders>
            <w:shd w:fill="EEF2F7"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Purpose / scope</w:t>
            </w:r>
          </w:p>
        </w:tc>
        <w:tc>
          <w:tcPr>
            <w:tcW w:type="dxa" w:w="352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Restore audit-log flow within 30 min and bound any evidence gap (INC-2026-027). Not partner logs or data backlog (RB-INGEST-001).</w:t>
            </w:r>
          </w:p>
        </w:tc>
        <w:tc>
          <w:tcPr>
            <w:tcW w:type="dxa" w:w="1727"/>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Entry; false positives</w:t>
            </w:r>
          </w:p>
        </w:tc>
        <w:tc>
          <w:tcPr>
            <w:tcW w:type="dxa" w:w="352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A3 or A4 fires, confirmed by running KQL-03. Approved maintenance is suppressed; an Azure Monitor incident is still an evidence gap (do steps 6–7).</w:t>
            </w:r>
          </w:p>
        </w:tc>
      </w:tr>
      <w:tr>
        <w:trPr>
          <w:cantSplit/>
          <w:tblHeader w:val="false"/>
        </w:trPr>
        <w:tc>
          <w:tcPr>
            <w:tcW w:type="dxa" w:w="1727"/>
            <w:tcBorders>
              <w:top w:val="single" w:color="BFC7D5" w:sz="4"/>
              <w:left w:val="single" w:color="BFC7D5" w:sz="4"/>
              <w:bottom w:val="single" w:color="BFC7D5" w:sz="4"/>
              <w:right w:val="single" w:color="BFC7D5" w:sz="4"/>
            </w:tcBorders>
            <w:shd w:fill="EEF2F7"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No approval needed</w:t>
            </w:r>
          </w:p>
        </w:tc>
        <w:tc>
          <w:tcPr>
            <w:tcW w:type="dxa" w:w="352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Policy remediation, re-creating the approved diagnostic setting, re-running evidence export.</w:t>
            </w:r>
          </w:p>
        </w:tc>
        <w:tc>
          <w:tcPr>
            <w:tcW w:type="dxa" w:w="1727"/>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Approval needed</w:t>
            </w:r>
          </w:p>
        </w:tc>
        <w:tc>
          <w:tcPr>
            <w:tcW w:type="dxa" w:w="352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Changing destinations, retention or policy assignments (SecOps lead + Privacy). Break-glass only if PIM is unavailable.</w:t>
            </w:r>
          </w:p>
        </w:tc>
      </w:tr>
      <w:tr>
        <w:trPr>
          <w:cantSplit/>
          <w:tblHeader w:val="false"/>
        </w:trPr>
        <w:tc>
          <w:tcPr>
            <w:tcW w:type="dxa" w:w="1727"/>
            <w:tcBorders>
              <w:top w:val="single" w:color="BFC7D5" w:sz="4"/>
              <w:left w:val="single" w:color="BFC7D5" w:sz="4"/>
              <w:bottom w:val="single" w:color="BFC7D5" w:sz="4"/>
              <w:right w:val="single" w:color="BFC7D5" w:sz="4"/>
            </w:tcBorders>
            <w:shd w:fill="EEF2F7"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Prerequisites</w:t>
            </w:r>
          </w:p>
        </w:tc>
        <w:tc>
          <w:tcPr>
            <w:tcW w:type="dxa" w:w="352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Monitoring Contributor on target via PIM (2 h); Log Analytics Reader including AuditLogs; Azure CLI.</w:t>
            </w:r>
          </w:p>
        </w:tc>
        <w:tc>
          <w:tcPr>
            <w:tcW w:type="dxa" w:w="1727"/>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PHI-safe evidence</w:t>
            </w:r>
          </w:p>
        </w:tc>
        <w:tc>
          <w:tcPr>
            <w:tcW w:type="dxa" w:w="3529"/>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No screenshots of AuditLogs rows; export counts and timestamps only; never RequestUri.</w:t>
            </w:r>
          </w:p>
        </w:tc>
      </w:tr>
    </w:tbl>
    <w:p>
      <w:pPr>
        <w:keepNext/>
        <w:spacing w:after="30" w:before="60"/>
      </w:pPr>
      <w:r>
        <w:rPr>
          <w:rFonts w:ascii="Calibri" w:cs="Calibri" w:eastAsia="Calibri" w:hAnsi="Calibri"/>
          <w:b/>
          <w:bCs/>
          <w:color w:val="1F3864"/>
          <w:sz w:val="16"/>
          <w:szCs w:val="16"/>
        </w:rPr>
        <w:t xml:space="preserve">Table 13. RB-AUDIT-001 procedure. Capture alert ID, KQL-03/04 output, current diagnostic-setting JSON and incident ID before step 4.</w:t>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
        <w:gridCol w:w="3003"/>
        <w:gridCol w:w="2328"/>
        <w:gridCol w:w="2778"/>
        <w:gridCol w:w="1952"/>
      </w:tblGrid>
      <w:tr>
        <w:trPr>
          <w:cantSplit/>
          <w:tblHeader/>
        </w:trPr>
        <w:tc>
          <w:tcPr>
            <w:tcW w:type="dxa" w:w="451"/>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w:t>
            </w:r>
          </w:p>
        </w:tc>
        <w:tc>
          <w:tcPr>
            <w:tcW w:type="dxa" w:w="3003"/>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Command / portal path</w:t>
            </w:r>
          </w:p>
        </w:tc>
        <w:tc>
          <w:tcPr>
            <w:tcW w:type="dxa" w:w="2328"/>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Expected output</w:t>
            </w:r>
          </w:p>
        </w:tc>
        <w:tc>
          <w:tcPr>
            <w:tcW w:type="dxa" w:w="2778"/>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Decision / stop condition</w:t>
            </w:r>
          </w:p>
        </w:tc>
        <w:tc>
          <w:tcPr>
            <w:tcW w:type="dxa" w:w="1952"/>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Evidence to retain</w:t>
            </w:r>
          </w:p>
        </w:tc>
      </w:tr>
      <w:tr>
        <w:trPr>
          <w:cantSplit/>
          <w:tblHeader w:val="false"/>
        </w:trPr>
        <w:tc>
          <w:tcPr>
            <w:tcW w:type="dxa" w:w="45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1</w:t>
            </w:r>
          </w:p>
        </w:tc>
        <w:tc>
          <w:tcPr>
            <w:tcW w:type="dxa" w:w="300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Acknowledge page; open P1 incident; start timeline</w:t>
            </w:r>
          </w:p>
        </w:tc>
        <w:tc>
          <w:tcPr>
            <w:tcW w:type="dxa" w:w="232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Incident ID within 10 min</w:t>
            </w:r>
          </w:p>
        </w:tc>
        <w:tc>
          <w:tcPr>
            <w:tcW w:type="dxa" w:w="277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No ack at 10 min → On-call Lead paged</w:t>
            </w:r>
          </w:p>
        </w:tc>
        <w:tc>
          <w:tcPr>
            <w:tcW w:type="dxa" w:w="195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Incident ID, timestamps</w:t>
            </w:r>
          </w:p>
        </w:tc>
      </w:tr>
      <w:tr>
        <w:trPr>
          <w:cantSplit/>
          <w:tblHeader w:val="false"/>
        </w:trPr>
        <w:tc>
          <w:tcPr>
            <w:tcW w:type="dxa" w:w="45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2</w:t>
            </w:r>
          </w:p>
        </w:tc>
        <w:tc>
          <w:tcPr>
            <w:tcW w:type="dxa" w:w="3003"/>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Run saved functions </w:t>
            </w:r>
            <w:r>
              <w:rPr>
                <w:rFonts w:ascii="Courier New" w:cs="Courier New" w:eastAsia="Courier New" w:hAnsi="Courier New"/>
                <w:color w:val="0B3A6E"/>
                <w:sz w:val="12"/>
                <w:szCs w:val="12"/>
              </w:rPr>
              <w:t xml:space="preserve">fn_AuditFreshness</w:t>
            </w:r>
            <w:r>
              <w:rPr>
                <w:rFonts w:ascii="Calibri" w:cs="Calibri" w:eastAsia="Calibri" w:hAnsi="Calibri"/>
                <w:color w:val="1F2937"/>
                <w:sz w:val="14"/>
                <w:szCs w:val="14"/>
              </w:rPr>
              <w:t xml:space="preserve"> (KQL-03) and </w:t>
            </w:r>
            <w:r>
              <w:rPr>
                <w:rFonts w:ascii="Courier New" w:cs="Courier New" w:eastAsia="Courier New" w:hAnsi="Courier New"/>
                <w:color w:val="0B3A6E"/>
                <w:sz w:val="12"/>
                <w:szCs w:val="12"/>
              </w:rPr>
              <w:t xml:space="preserve">fn_DiagChanges</w:t>
            </w:r>
            <w:r>
              <w:rPr>
                <w:rFonts w:ascii="Calibri" w:cs="Calibri" w:eastAsia="Calibri" w:hAnsi="Calibri"/>
                <w:color w:val="1F2937"/>
                <w:sz w:val="14"/>
                <w:szCs w:val="14"/>
              </w:rPr>
              <w:t xml:space="preserve"> (KQL-04)</w:t>
            </w:r>
          </w:p>
        </w:tc>
        <w:tc>
          <w:tcPr>
            <w:tcW w:type="dxa" w:w="232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Gap per source; delete or move event and caller</w:t>
            </w:r>
          </w:p>
        </w:tc>
        <w:tc>
          <w:tcPr>
            <w:tcW w:type="dxa" w:w="277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No config change + Azure service incident → go to step 6</w:t>
            </w:r>
          </w:p>
        </w:tc>
        <w:tc>
          <w:tcPr>
            <w:tcW w:type="dxa" w:w="195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Query output (CSV, counts only)</w:t>
            </w:r>
          </w:p>
        </w:tc>
      </w:tr>
      <w:tr>
        <w:trPr>
          <w:cantSplit/>
          <w:tblHeader w:val="false"/>
        </w:trPr>
        <w:tc>
          <w:tcPr>
            <w:tcW w:type="dxa" w:w="45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3</w:t>
            </w:r>
          </w:p>
        </w:tc>
        <w:tc>
          <w:tcPr>
            <w:tcW w:type="dxa" w:w="300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ourier New" w:cs="Courier New" w:eastAsia="Courier New" w:hAnsi="Courier New"/>
                <w:color w:val="0B3A6E"/>
                <w:sz w:val="12"/>
                <w:szCs w:val="12"/>
              </w:rPr>
              <w:t xml:space="preserve">az monitor diagnostic-settings list --resource &lt;FHIR_RESOURCE_ID&gt;</w:t>
            </w:r>
          </w:p>
        </w:tc>
        <w:tc>
          <w:tcPr>
            <w:tcW w:type="dxa" w:w="232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ourier New" w:cs="Courier New" w:eastAsia="Courier New" w:hAnsi="Courier New"/>
                <w:color w:val="0B3A6E"/>
                <w:sz w:val="12"/>
                <w:szCs w:val="12"/>
              </w:rPr>
              <w:t xml:space="preserve">diag-fhir-audit</w:t>
            </w:r>
            <w:r>
              <w:rPr>
                <w:rFonts w:ascii="Calibri" w:cs="Calibri" w:eastAsia="Calibri" w:hAnsi="Calibri"/>
                <w:color w:val="1F2937"/>
                <w:sz w:val="14"/>
                <w:szCs w:val="14"/>
              </w:rPr>
              <w:t xml:space="preserve"> with AuditLogs → workspace + archive</w:t>
            </w:r>
          </w:p>
        </w:tc>
        <w:tc>
          <w:tcPr>
            <w:tcW w:type="dxa" w:w="277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Missing or changed → step 4</w:t>
            </w:r>
          </w:p>
        </w:tc>
        <w:tc>
          <w:tcPr>
            <w:tcW w:type="dxa" w:w="195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Setting JSON before change</w:t>
            </w:r>
          </w:p>
        </w:tc>
      </w:tr>
      <w:tr>
        <w:trPr>
          <w:cantSplit/>
          <w:tblHeader w:val="false"/>
        </w:trPr>
        <w:tc>
          <w:tcPr>
            <w:tcW w:type="dxa" w:w="45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4</w:t>
            </w:r>
          </w:p>
        </w:tc>
        <w:tc>
          <w:tcPr>
            <w:tcW w:type="dxa" w:w="3003"/>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ourier New" w:cs="Courier New" w:eastAsia="Courier New" w:hAnsi="Courier New"/>
                <w:color w:val="0B3A6E"/>
                <w:sz w:val="12"/>
                <w:szCs w:val="12"/>
              </w:rPr>
              <w:t xml:space="preserve">az policy remediation create --name rem-diag-fhir --policy-assignment &lt;ASSIGNMENT_ID&gt; --resource-group &lt;RG&gt;</w:t>
            </w:r>
          </w:p>
        </w:tc>
        <w:tc>
          <w:tcPr>
            <w:tcW w:type="dxa" w:w="232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Remediation Succeeded; setting re-created</w:t>
            </w:r>
          </w:p>
        </w:tc>
        <w:tc>
          <w:tcPr>
            <w:tcW w:type="dxa" w:w="277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Fails → create setting from Appendix C template</w:t>
            </w:r>
          </w:p>
        </w:tc>
        <w:tc>
          <w:tcPr>
            <w:tcW w:type="dxa" w:w="195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Remediation ID; setting JSON after</w:t>
            </w:r>
          </w:p>
        </w:tc>
      </w:tr>
      <w:tr>
        <w:trPr>
          <w:cantSplit/>
          <w:tblHeader w:val="false"/>
        </w:trPr>
        <w:tc>
          <w:tcPr>
            <w:tcW w:type="dxa" w:w="45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5</w:t>
            </w:r>
          </w:p>
        </w:tc>
        <w:tc>
          <w:tcPr>
            <w:tcW w:type="dxa" w:w="300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Re-run KQL-03; confirm FHIR canary read</w:t>
            </w:r>
          </w:p>
        </w:tc>
        <w:tc>
          <w:tcPr>
            <w:tcW w:type="dxa" w:w="232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New AuditLogs events within 20 min</w:t>
            </w:r>
          </w:p>
        </w:tc>
        <w:tc>
          <w:tcPr>
            <w:tcW w:type="dxa" w:w="277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Still none at 30 min → Microsoft support + CISO delegate</w:t>
            </w:r>
          </w:p>
        </w:tc>
        <w:tc>
          <w:tcPr>
            <w:tcW w:type="dxa" w:w="195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Query output</w:t>
            </w:r>
          </w:p>
        </w:tc>
      </w:tr>
      <w:tr>
        <w:trPr>
          <w:cantSplit/>
          <w:tblHeader w:val="false"/>
        </w:trPr>
        <w:tc>
          <w:tcPr>
            <w:tcW w:type="dxa" w:w="45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6</w:t>
            </w:r>
          </w:p>
        </w:tc>
        <w:tc>
          <w:tcPr>
            <w:tcW w:type="dxa" w:w="3003"/>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Bound the gap: first and last event either side; compare ledger and Activity Log for that window</w:t>
            </w:r>
          </w:p>
        </w:tc>
        <w:tc>
          <w:tcPr>
            <w:tcW w:type="dxa" w:w="232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Gap start/end; operations during gap</w:t>
            </w:r>
          </w:p>
        </w:tc>
        <w:tc>
          <w:tcPr>
            <w:tcW w:type="dxa" w:w="277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ePHI access in gap cannot be reconstructed → Privacy Officer (breach risk assessment)</w:t>
            </w:r>
          </w:p>
        </w:tc>
        <w:tc>
          <w:tcPr>
            <w:tcW w:type="dxa" w:w="195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Gap report</w:t>
            </w:r>
          </w:p>
        </w:tc>
      </w:tr>
      <w:tr>
        <w:trPr>
          <w:cantSplit/>
          <w:tblHeader w:val="false"/>
        </w:trPr>
        <w:tc>
          <w:tcPr>
            <w:tcW w:type="dxa" w:w="45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7</w:t>
            </w:r>
          </w:p>
        </w:tc>
        <w:tc>
          <w:tcPr>
            <w:tcW w:type="dxa" w:w="300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Root cause: who moved or edited the resource; was DINE assigned at that scope?</w:t>
            </w:r>
          </w:p>
        </w:tc>
        <w:tc>
          <w:tcPr>
            <w:tcW w:type="dxa" w:w="232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Problem record</w:t>
            </w:r>
          </w:p>
        </w:tc>
        <w:tc>
          <w:tcPr>
            <w:tcW w:type="dxa" w:w="277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Missing guardrail → change request</w:t>
            </w:r>
          </w:p>
        </w:tc>
        <w:tc>
          <w:tcPr>
            <w:tcW w:type="dxa" w:w="195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Problem ticket</w:t>
            </w:r>
          </w:p>
        </w:tc>
      </w:tr>
    </w:tbl>
    <w:p>
      <w:pPr>
        <w:spacing w:after="60" w:before="0" w:line="236"/>
        <w:jc w:val="left"/>
      </w:pPr>
      <w:r>
        <w:rPr>
          <w:rFonts w:ascii="Calibri" w:cs="Calibri" w:eastAsia="Calibri" w:hAnsi="Calibri"/>
          <w:b/>
          <w:bCs/>
          <w:color w:val="1F2937"/>
          <w:sz w:val="17"/>
          <w:szCs w:val="17"/>
        </w:rPr>
        <w:t xml:space="preserve">Validation:</w:t>
      </w:r>
      <w:r>
        <w:rPr>
          <w:rFonts w:ascii="Calibri" w:cs="Calibri" w:eastAsia="Calibri" w:hAnsi="Calibri"/>
          <w:color w:val="1F2937"/>
          <w:sz w:val="17"/>
          <w:szCs w:val="17"/>
        </w:rPr>
        <w:t xml:space="preserve"> freshness &lt;20 min for two evaluations; archive export resumed; Policy compliant; one canary correlationId traced end to end. </w:t>
      </w:r>
      <w:r>
        <w:rPr>
          <w:rFonts w:ascii="Calibri" w:cs="Calibri" w:eastAsia="Calibri" w:hAnsi="Calibri"/>
          <w:b/>
          <w:bCs/>
          <w:color w:val="1F2937"/>
          <w:sz w:val="17"/>
          <w:szCs w:val="17"/>
        </w:rPr>
        <w:t xml:space="preserve">Rollback:</w:t>
      </w:r>
      <w:r>
        <w:rPr>
          <w:rFonts w:ascii="Calibri" w:cs="Calibri" w:eastAsia="Calibri" w:hAnsi="Calibri"/>
          <w:color w:val="1F2937"/>
          <w:sz w:val="17"/>
          <w:szCs w:val="17"/>
        </w:rPr>
        <w:t xml:space="preserve"> restoration is additive; if a wrong destination was added, delete only that setting, never the archive. </w:t>
      </w:r>
      <w:r>
        <w:rPr>
          <w:rFonts w:ascii="Calibri" w:cs="Calibri" w:eastAsia="Calibri" w:hAnsi="Calibri"/>
          <w:b/>
          <w:bCs/>
          <w:color w:val="1F2937"/>
          <w:sz w:val="17"/>
          <w:szCs w:val="17"/>
        </w:rPr>
        <w:t xml:space="preserve">Communications:</w:t>
      </w:r>
      <w:r>
        <w:rPr>
          <w:rFonts w:ascii="Calibri" w:cs="Calibri" w:eastAsia="Calibri" w:hAnsi="Calibri"/>
          <w:color w:val="1F2937"/>
          <w:sz w:val="17"/>
          <w:szCs w:val="17"/>
        </w:rPr>
        <w:t xml:space="preserve"> SecOps lead at P1; Privacy Officer if step 6 escalates; Clinical Ops only if ingestion is affected; updates every 30 min. </w:t>
      </w:r>
      <w:r>
        <w:rPr>
          <w:rFonts w:ascii="Calibri" w:cs="Calibri" w:eastAsia="Calibri" w:hAnsi="Calibri"/>
          <w:b/>
          <w:bCs/>
          <w:color w:val="1F2937"/>
          <w:sz w:val="17"/>
          <w:szCs w:val="17"/>
        </w:rPr>
        <w:t xml:space="preserve">Closure:</w:t>
      </w:r>
      <w:r>
        <w:rPr>
          <w:rFonts w:ascii="Calibri" w:cs="Calibri" w:eastAsia="Calibri" w:hAnsi="Calibri"/>
          <w:color w:val="1F2937"/>
          <w:sz w:val="17"/>
          <w:szCs w:val="17"/>
        </w:rPr>
        <w:t xml:space="preserve"> evidence to archive (owner SecOps, D-05); review within 5 business days; update this runbook if a step failed.</w:t>
      </w:r>
    </w:p>
    <w:p>
      <w:pPr>
        <w:pStyle w:val="Heading2"/>
        <w:keepNext/>
        <w:spacing w:after="40" w:before="90"/>
      </w:pPr>
      <w:r>
        <w:rPr>
          <w:rFonts w:ascii="Calibri" w:cs="Calibri" w:eastAsia="Calibri" w:hAnsi="Calibri"/>
          <w:b/>
          <w:bCs/>
          <w:color w:val="0F6CBD"/>
          <w:sz w:val="20"/>
          <w:szCs w:val="20"/>
        </w:rPr>
        <w:t xml:space="preserve">8.2  Remediation plan for known gaps</w:t>
      </w:r>
    </w:p>
    <w:p>
      <w:pPr>
        <w:keepNext/>
        <w:spacing w:after="30" w:before="60"/>
      </w:pPr>
      <w:r>
        <w:rPr>
          <w:rFonts w:ascii="Calibri" w:cs="Calibri" w:eastAsia="Calibri" w:hAnsi="Calibri"/>
          <w:b/>
          <w:bCs/>
          <w:color w:val="1F3864"/>
          <w:sz w:val="16"/>
          <w:szCs w:val="16"/>
        </w:rPr>
        <w:t xml:space="preserve">Table 14. Remediation items. "Go-live" items block production onboarding.</w:t>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3"/>
        <w:gridCol w:w="2431"/>
        <w:gridCol w:w="3154"/>
        <w:gridCol w:w="1445"/>
        <w:gridCol w:w="788"/>
        <w:gridCol w:w="1971"/>
      </w:tblGrid>
      <w:tr>
        <w:trPr>
          <w:cantSplit/>
          <w:tblHeader/>
        </w:trPr>
        <w:tc>
          <w:tcPr>
            <w:tcW w:type="dxa" w:w="723"/>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ID</w:t>
            </w:r>
          </w:p>
        </w:tc>
        <w:tc>
          <w:tcPr>
            <w:tcW w:type="dxa" w:w="2431"/>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Gap (source)</w:t>
            </w:r>
          </w:p>
        </w:tc>
        <w:tc>
          <w:tcPr>
            <w:tcW w:type="dxa" w:w="3154"/>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Remediation</w:t>
            </w:r>
          </w:p>
        </w:tc>
        <w:tc>
          <w:tcPr>
            <w:tcW w:type="dxa" w:w="1445"/>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Owner</w:t>
            </w:r>
          </w:p>
        </w:tc>
        <w:tc>
          <w:tcPr>
            <w:tcW w:type="dxa" w:w="788"/>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Due</w:t>
            </w:r>
          </w:p>
        </w:tc>
        <w:tc>
          <w:tcPr>
            <w:tcW w:type="dxa" w:w="1971"/>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Closure evidence</w:t>
            </w:r>
          </w:p>
        </w:tc>
      </w:tr>
      <w:tr>
        <w:trPr>
          <w:cantSplit/>
          <w:tblHeader w:val="false"/>
        </w:trPr>
        <w:tc>
          <w:tcPr>
            <w:tcW w:type="dxa" w:w="72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REM-01</w:t>
            </w:r>
          </w:p>
        </w:tc>
        <w:tc>
          <w:tcPr>
            <w:tcW w:type="dxa" w:w="243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ADF client secret (C-05, INC-2026-014)</w:t>
            </w:r>
          </w:p>
        </w:tc>
        <w:tc>
          <w:tcPr>
            <w:tcW w:type="dxa" w:w="315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Switch linked service to MI; revoke secret; repo secret scanning with push protection</w:t>
            </w:r>
          </w:p>
        </w:tc>
        <w:tc>
          <w:tcPr>
            <w:tcW w:type="dxa" w:w="144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Identity &amp; Security</w:t>
            </w:r>
          </w:p>
        </w:tc>
        <w:tc>
          <w:tcPr>
            <w:tcW w:type="dxa" w:w="78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Go-live</w:t>
            </w:r>
          </w:p>
        </w:tc>
        <w:tc>
          <w:tcPr>
            <w:tcW w:type="dxa" w:w="197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Role record, revocation ticket, scan report</w:t>
            </w:r>
          </w:p>
        </w:tc>
      </w:tr>
      <w:tr>
        <w:trPr>
          <w:cantSplit/>
          <w:tblHeader w:val="false"/>
        </w:trPr>
        <w:tc>
          <w:tcPr>
            <w:tcW w:type="dxa" w:w="723"/>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REM-02</w:t>
            </w:r>
          </w:p>
        </w:tc>
        <w:tc>
          <w:tcPr>
            <w:tcW w:type="dxa" w:w="243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Public exposure: ADF, FHIR, workspace, Logic App (C-05, C-06, C-08, C-09)</w:t>
            </w:r>
          </w:p>
        </w:tc>
        <w:tc>
          <w:tcPr>
            <w:tcW w:type="dxa" w:w="315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Private endpoints, publicNetworkAccess Disabled, AMPLS (D-07), Logic Apps Standard with EX-01 controls, Policy deny</w:t>
            </w:r>
          </w:p>
        </w:tc>
        <w:tc>
          <w:tcPr>
            <w:tcW w:type="dxa" w:w="144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Platform Eng</w:t>
            </w:r>
          </w:p>
        </w:tc>
        <w:tc>
          <w:tcPr>
            <w:tcW w:type="dxa" w:w="78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Go-live</w:t>
            </w:r>
          </w:p>
        </w:tc>
        <w:tc>
          <w:tcPr>
            <w:tcW w:type="dxa" w:w="197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Public-deny test results</w:t>
            </w:r>
          </w:p>
        </w:tc>
      </w:tr>
      <w:tr>
        <w:trPr>
          <w:cantSplit/>
          <w:tblHeader w:val="false"/>
        </w:trPr>
        <w:tc>
          <w:tcPr>
            <w:tcW w:type="dxa" w:w="72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REM-03</w:t>
            </w:r>
          </w:p>
        </w:tc>
        <w:tc>
          <w:tcPr>
            <w:tcW w:type="dxa" w:w="243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Audit-log drift (C-06, INC-2026-027)</w:t>
            </w:r>
          </w:p>
        </w:tc>
        <w:tc>
          <w:tcPr>
            <w:tcW w:type="dxa" w:w="315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DINE policy, delete alert, freshness alert, canary, RB-AUDIT-001 tabletop</w:t>
            </w:r>
          </w:p>
        </w:tc>
        <w:tc>
          <w:tcPr>
            <w:tcW w:type="dxa" w:w="144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Security Ops</w:t>
            </w:r>
          </w:p>
        </w:tc>
        <w:tc>
          <w:tcPr>
            <w:tcW w:type="dxa" w:w="78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Go-live</w:t>
            </w:r>
          </w:p>
        </w:tc>
        <w:tc>
          <w:tcPr>
            <w:tcW w:type="dxa" w:w="197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Policy compliance; tabletop record</w:t>
            </w:r>
          </w:p>
        </w:tc>
      </w:tr>
      <w:tr>
        <w:trPr>
          <w:cantSplit/>
          <w:tblHeader w:val="false"/>
        </w:trPr>
        <w:tc>
          <w:tcPr>
            <w:tcW w:type="dxa" w:w="723"/>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REM-04</w:t>
            </w:r>
          </w:p>
        </w:tc>
        <w:tc>
          <w:tcPr>
            <w:tcW w:type="dxa" w:w="243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No unified correlation ID (C-02)</w:t>
            </w:r>
          </w:p>
        </w:tc>
        <w:tc>
          <w:tcPr>
            <w:tcW w:type="dxa" w:w="315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correlationId at first contact, propagated (Section 6)</w:t>
            </w:r>
          </w:p>
        </w:tc>
        <w:tc>
          <w:tcPr>
            <w:tcW w:type="dxa" w:w="144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Integration Eng</w:t>
            </w:r>
          </w:p>
        </w:tc>
        <w:tc>
          <w:tcPr>
            <w:tcW w:type="dxa" w:w="78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30 days</w:t>
            </w:r>
          </w:p>
        </w:tc>
        <w:tc>
          <w:tcPr>
            <w:tcW w:type="dxa" w:w="197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End-to-end trace test</w:t>
            </w:r>
          </w:p>
        </w:tc>
      </w:tr>
      <w:tr>
        <w:trPr>
          <w:cantSplit/>
          <w:tblHeader w:val="false"/>
        </w:trPr>
        <w:tc>
          <w:tcPr>
            <w:tcW w:type="dxa" w:w="72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REM-05</w:t>
            </w:r>
          </w:p>
        </w:tc>
        <w:tc>
          <w:tcPr>
            <w:tcW w:type="dxa" w:w="243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Template drift (INC-2026-041)</w:t>
            </w:r>
          </w:p>
        </w:tc>
        <w:tc>
          <w:tcPr>
            <w:tcW w:type="dxa" w:w="315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D-02 controls; partner change agreement (OQ-06)</w:t>
            </w:r>
          </w:p>
        </w:tc>
        <w:tc>
          <w:tcPr>
            <w:tcW w:type="dxa" w:w="144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Integration Eng + P-001</w:t>
            </w:r>
          </w:p>
        </w:tc>
        <w:tc>
          <w:tcPr>
            <w:tcW w:type="dxa" w:w="78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Go-live</w:t>
            </w:r>
          </w:p>
        </w:tc>
        <w:tc>
          <w:tcPr>
            <w:tcW w:type="dxa" w:w="197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Contract-test report</w:t>
            </w:r>
          </w:p>
        </w:tc>
      </w:tr>
      <w:tr>
        <w:trPr>
          <w:cantSplit/>
          <w:tblHeader w:val="false"/>
        </w:trPr>
        <w:tc>
          <w:tcPr>
            <w:tcW w:type="dxa" w:w="723"/>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REM-06</w:t>
            </w:r>
          </w:p>
        </w:tc>
        <w:tc>
          <w:tcPr>
            <w:tcW w:type="dxa" w:w="243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Single-node SHIR; shared Windows account (C-03)</w:t>
            </w:r>
          </w:p>
        </w:tc>
        <w:tc>
          <w:tcPr>
            <w:tcW w:type="dxa" w:w="315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Two nodes; virtual service account; key in Key Vault</w:t>
            </w:r>
          </w:p>
        </w:tc>
        <w:tc>
          <w:tcPr>
            <w:tcW w:type="dxa" w:w="144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Platform Eng</w:t>
            </w:r>
          </w:p>
        </w:tc>
        <w:tc>
          <w:tcPr>
            <w:tcW w:type="dxa" w:w="78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30 days</w:t>
            </w:r>
          </w:p>
        </w:tc>
        <w:tc>
          <w:tcPr>
            <w:tcW w:type="dxa" w:w="197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Node status; failover test</w:t>
            </w:r>
          </w:p>
        </w:tc>
      </w:tr>
      <w:tr>
        <w:trPr>
          <w:cantSplit/>
          <w:tblHeader w:val="false"/>
        </w:trPr>
        <w:tc>
          <w:tcPr>
            <w:tcW w:type="dxa" w:w="72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REM-07</w:t>
            </w:r>
          </w:p>
        </w:tc>
        <w:tc>
          <w:tcPr>
            <w:tcW w:type="dxa" w:w="243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No replay gate (C-09); duplicates (INC-2026-052)</w:t>
            </w:r>
          </w:p>
        </w:tc>
        <w:tc>
          <w:tcPr>
            <w:tcW w:type="dxa" w:w="315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F3 flow, ADF gate, D-03; replay test at 10,000 items</w:t>
            </w:r>
          </w:p>
        </w:tc>
        <w:tc>
          <w:tcPr>
            <w:tcW w:type="dxa" w:w="144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Integration Eng / On-call Lead</w:t>
            </w:r>
          </w:p>
        </w:tc>
        <w:tc>
          <w:tcPr>
            <w:tcW w:type="dxa" w:w="78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Go-live</w:t>
            </w:r>
          </w:p>
        </w:tc>
        <w:tc>
          <w:tcPr>
            <w:tcW w:type="dxa" w:w="197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Replay report; KQL-08 = 0</w:t>
            </w:r>
          </w:p>
        </w:tc>
      </w:tr>
      <w:tr>
        <w:trPr>
          <w:cantSplit/>
          <w:tblHeader w:val="false"/>
        </w:trPr>
        <w:tc>
          <w:tcPr>
            <w:tcW w:type="dxa" w:w="723"/>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REM-08</w:t>
            </w:r>
          </w:p>
        </w:tc>
        <w:tc>
          <w:tcPr>
            <w:tcW w:type="dxa" w:w="243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Retention not approved (C-04); owner unclear (C-08)</w:t>
            </w:r>
          </w:p>
        </w:tc>
        <w:tc>
          <w:tcPr>
            <w:tcW w:type="dxa" w:w="315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Approve D-05; owners: SecOps (logs), Data Governance (data)</w:t>
            </w:r>
          </w:p>
        </w:tc>
        <w:tc>
          <w:tcPr>
            <w:tcW w:type="dxa" w:w="144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Privacy + Security + Legal</w:t>
            </w:r>
          </w:p>
        </w:tc>
        <w:tc>
          <w:tcPr>
            <w:tcW w:type="dxa" w:w="78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30 days</w:t>
            </w:r>
          </w:p>
        </w:tc>
        <w:tc>
          <w:tcPr>
            <w:tcW w:type="dxa" w:w="197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Signed retention decision</w:t>
            </w:r>
          </w:p>
        </w:tc>
      </w:tr>
      <w:tr>
        <w:trPr>
          <w:cantSplit/>
          <w:tblHeader w:val="false"/>
        </w:trPr>
        <w:tc>
          <w:tcPr>
            <w:tcW w:type="dxa" w:w="72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REM-09</w:t>
            </w:r>
          </w:p>
        </w:tc>
        <w:tc>
          <w:tcPr>
            <w:tcW w:type="dxa" w:w="243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No output lineage ID (C-07)</w:t>
            </w:r>
          </w:p>
        </w:tc>
        <w:tc>
          <w:tcPr>
            <w:tcW w:type="dxa" w:w="315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Lineage ID on every analytics output</w:t>
            </w:r>
          </w:p>
        </w:tc>
        <w:tc>
          <w:tcPr>
            <w:tcW w:type="dxa" w:w="144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Clinical Ops / Data Gov</w:t>
            </w:r>
          </w:p>
        </w:tc>
        <w:tc>
          <w:tcPr>
            <w:tcW w:type="dxa" w:w="788"/>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90 days</w:t>
            </w:r>
          </w:p>
        </w:tc>
        <w:tc>
          <w:tcPr>
            <w:tcW w:type="dxa" w:w="197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Sample output trace</w:t>
            </w:r>
          </w:p>
        </w:tc>
      </w:tr>
      <w:tr>
        <w:trPr>
          <w:cantSplit/>
          <w:tblHeader w:val="false"/>
        </w:trPr>
        <w:tc>
          <w:tcPr>
            <w:tcW w:type="dxa" w:w="723"/>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REM-10</w:t>
            </w:r>
          </w:p>
        </w:tc>
        <w:tc>
          <w:tcPr>
            <w:tcW w:type="dxa" w:w="243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Telemetry privacy baseline (PC-05)</w:t>
            </w:r>
          </w:p>
        </w:tc>
        <w:tc>
          <w:tcPr>
            <w:tcW w:type="dxa" w:w="315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Allow-list schema; KQL-10 scan; restrict AuditLogs; evaluate RequestUri transformation (EX-07)</w:t>
            </w:r>
          </w:p>
        </w:tc>
        <w:tc>
          <w:tcPr>
            <w:tcW w:type="dxa" w:w="144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Privacy Officer</w:t>
            </w:r>
          </w:p>
        </w:tc>
        <w:tc>
          <w:tcPr>
            <w:tcW w:type="dxa" w:w="788"/>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Go-live</w:t>
            </w:r>
          </w:p>
        </w:tc>
        <w:tc>
          <w:tcPr>
            <w:tcW w:type="dxa" w:w="197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Scan = 0; access review</w:t>
            </w:r>
          </w:p>
        </w:tc>
      </w:tr>
    </w:tbl>
    <w:p>
      <w:pPr>
        <w:pStyle w:val="Heading2"/>
        <w:keepNext/>
        <w:spacing w:after="40" w:before="90"/>
      </w:pPr>
      <w:r>
        <w:rPr>
          <w:rFonts w:ascii="Calibri" w:cs="Calibri" w:eastAsia="Calibri" w:hAnsi="Calibri"/>
          <w:b/>
          <w:bCs/>
          <w:color w:val="0F6CBD"/>
          <w:sz w:val="20"/>
          <w:szCs w:val="20"/>
        </w:rPr>
        <w:t xml:space="preserve">8.3  Audit evidence collection (RB-EVID-001)</w:t>
      </w:r>
    </w:p>
    <w:p>
      <w:pPr>
        <w:spacing w:after="60" w:before="0" w:line="236"/>
        <w:jc w:val="left"/>
      </w:pPr>
      <w:r>
        <w:rPr>
          <w:rFonts w:ascii="Calibri" w:cs="Calibri" w:eastAsia="Calibri" w:hAnsi="Calibri"/>
          <w:color w:val="1F2937"/>
          <w:sz w:val="17"/>
          <w:szCs w:val="17"/>
        </w:rPr>
        <w:t xml:space="preserve">Flow F4 runs daily at 06:00 ET and writes privacy-safe query results to </w:t>
      </w:r>
      <w:r>
        <w:rPr>
          <w:rFonts w:ascii="Courier New" w:cs="Courier New" w:eastAsia="Courier New" w:hAnsi="Courier New"/>
          <w:color w:val="0B3A6E"/>
          <w:sz w:val="14"/>
          <w:szCs w:val="14"/>
        </w:rPr>
        <w:t xml:space="preserve">evidence/{yyyy}/{mm}/{dd}/</w:t>
      </w:r>
      <w:r>
        <w:rPr>
          <w:rFonts w:ascii="Calibri" w:cs="Calibri" w:eastAsia="Calibri" w:hAnsi="Calibri"/>
          <w:color w:val="1F2937"/>
          <w:sz w:val="17"/>
          <w:szCs w:val="17"/>
        </w:rPr>
        <w:t xml:space="preserve"> in the immutable archive with a SHA-256 manifest. </w:t>
      </w:r>
      <w:r>
        <w:rPr>
          <w:rFonts w:ascii="Calibri" w:cs="Calibri" w:eastAsia="Calibri" w:hAnsi="Calibri"/>
          <w:b/>
          <w:bCs/>
          <w:color w:val="1F2937"/>
          <w:sz w:val="17"/>
          <w:szCs w:val="17"/>
        </w:rPr>
        <w:t xml:space="preserve">Daily:</w:t>
      </w:r>
      <w:r>
        <w:rPr>
          <w:rFonts w:ascii="Calibri" w:cs="Calibri" w:eastAsia="Calibri" w:hAnsi="Calibri"/>
          <w:color w:val="1F2937"/>
          <w:sz w:val="17"/>
          <w:szCs w:val="17"/>
        </w:rPr>
        <w:t xml:space="preserve"> freshness, Policy compliance, approvals (KQL-09), leak scan (KQL-10). </w:t>
      </w:r>
      <w:r>
        <w:rPr>
          <w:rFonts w:ascii="Calibri" w:cs="Calibri" w:eastAsia="Calibri" w:hAnsi="Calibri"/>
          <w:b/>
          <w:bCs/>
          <w:color w:val="1F2937"/>
          <w:sz w:val="17"/>
          <w:szCs w:val="17"/>
        </w:rPr>
        <w:t xml:space="preserve">Monthly:</w:t>
      </w:r>
      <w:r>
        <w:rPr>
          <w:rFonts w:ascii="Calibri" w:cs="Calibri" w:eastAsia="Calibri" w:hAnsi="Calibri"/>
          <w:color w:val="1F2937"/>
          <w:sz w:val="17"/>
          <w:szCs w:val="17"/>
        </w:rPr>
        <w:t xml:space="preserve"> role and PIM export. </w:t>
      </w:r>
      <w:r>
        <w:rPr>
          <w:rFonts w:ascii="Calibri" w:cs="Calibri" w:eastAsia="Calibri" w:hAnsi="Calibri"/>
          <w:b/>
          <w:bCs/>
          <w:color w:val="1F2937"/>
          <w:sz w:val="17"/>
          <w:szCs w:val="17"/>
        </w:rPr>
        <w:t xml:space="preserve">Per event:</w:t>
      </w:r>
      <w:r>
        <w:rPr>
          <w:rFonts w:ascii="Calibri" w:cs="Calibri" w:eastAsia="Calibri" w:hAnsi="Calibri"/>
          <w:color w:val="1F2937"/>
          <w:sz w:val="17"/>
          <w:szCs w:val="17"/>
        </w:rPr>
        <w:t xml:space="preserve"> replay, reconciliation and contract-test reports, template digests. </w:t>
      </w:r>
      <w:r>
        <w:rPr>
          <w:rFonts w:ascii="Calibri" w:cs="Calibri" w:eastAsia="Calibri" w:hAnsi="Calibri"/>
          <w:b/>
          <w:bCs/>
          <w:color w:val="1F2937"/>
          <w:sz w:val="17"/>
          <w:szCs w:val="17"/>
        </w:rPr>
        <w:t xml:space="preserve">Quarterly:</w:t>
      </w:r>
      <w:r>
        <w:rPr>
          <w:rFonts w:ascii="Calibri" w:cs="Calibri" w:eastAsia="Calibri" w:hAnsi="Calibri"/>
          <w:color w:val="1F2937"/>
          <w:sz w:val="17"/>
          <w:szCs w:val="17"/>
        </w:rPr>
        <w:t xml:space="preserve"> access review, DR and failure-injection tests. </w:t>
      </w:r>
      <w:r>
        <w:rPr>
          <w:rFonts w:ascii="Calibri" w:cs="Calibri" w:eastAsia="Calibri" w:hAnsi="Calibri"/>
          <w:b/>
          <w:bCs/>
          <w:color w:val="1F2937"/>
          <w:sz w:val="17"/>
          <w:szCs w:val="17"/>
        </w:rPr>
        <w:t xml:space="preserve">Semiannual:</w:t>
      </w:r>
      <w:r>
        <w:rPr>
          <w:rFonts w:ascii="Calibri" w:cs="Calibri" w:eastAsia="Calibri" w:hAnsi="Calibri"/>
          <w:color w:val="1F2937"/>
          <w:sz w:val="17"/>
          <w:szCs w:val="17"/>
        </w:rPr>
        <w:t xml:space="preserve"> tabletop, break-glass test. Each quarter the Privacy Officer samples one item per category for retrievability, completeness and absence of PHI.</w:t>
      </w:r>
    </w:p>
    <w:p>
      <w:pPr>
        <w:pStyle w:val="Heading1"/>
        <w:keepNext/>
        <w:pBdr>
          <w:bottom w:val="single" w:color="1F3864" w:sz="6" w:space="2"/>
        </w:pBdr>
        <w:spacing w:after="70" w:before="120"/>
      </w:pPr>
      <w:r>
        <w:rPr>
          <w:rFonts w:ascii="Calibri" w:cs="Calibri" w:eastAsia="Calibri" w:hAnsi="Calibri"/>
          <w:b/>
          <w:bCs/>
          <w:color w:val="1F3864"/>
          <w:sz w:val="26"/>
          <w:szCs w:val="26"/>
        </w:rPr>
        <w:t xml:space="preserve">9  Operational Procedures</w:t>
      </w:r>
    </w:p>
    <w:p>
      <w:pPr>
        <w:pStyle w:val="Heading2"/>
        <w:keepNext/>
        <w:spacing w:after="40" w:before="90"/>
      </w:pPr>
      <w:r>
        <w:rPr>
          <w:rFonts w:ascii="Calibri" w:cs="Calibri" w:eastAsia="Calibri" w:hAnsi="Calibri"/>
          <w:b/>
          <w:bCs/>
          <w:color w:val="0F6CBD"/>
          <w:sz w:val="20"/>
          <w:szCs w:val="20"/>
        </w:rPr>
        <w:t xml:space="preserve">9.1  RB-INGEST-001: Ingestion SLO breach, backlog or replay (P1/P2)</w:t>
      </w:r>
    </w:p>
    <w:p>
      <w:pPr>
        <w:spacing w:after="60" w:before="0" w:line="236"/>
        <w:jc w:val="left"/>
      </w:pPr>
      <w:r>
        <w:rPr>
          <w:rFonts w:ascii="Calibri" w:cs="Calibri" w:eastAsia="Calibri" w:hAnsi="Calibri"/>
          <w:b/>
          <w:bCs/>
          <w:color w:val="1F2937"/>
          <w:sz w:val="17"/>
          <w:szCs w:val="17"/>
        </w:rPr>
        <w:t xml:space="preserve">Authorization boundary:</w:t>
      </w:r>
      <w:r>
        <w:rPr>
          <w:rFonts w:ascii="Calibri" w:cs="Calibri" w:eastAsia="Calibri" w:hAnsi="Calibri"/>
          <w:color w:val="1F2937"/>
          <w:sz w:val="17"/>
          <w:szCs w:val="17"/>
        </w:rPr>
        <w:t xml:space="preserve"> engineers may quarantine, pause ≤30 min and approve a peer's in-limit replay; the On-call Lead approves longer pauses and multi- or full-batch replays; nobody deletes data here.</w:t>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
        <w:gridCol w:w="5106"/>
        <w:gridCol w:w="4955"/>
      </w:tblGrid>
      <w:tr>
        <w:trPr>
          <w:cantSplit/>
          <w:tblHeader/>
        </w:trPr>
        <w:tc>
          <w:tcPr>
            <w:tcW w:type="dxa" w:w="451"/>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w:t>
            </w:r>
          </w:p>
        </w:tc>
        <w:tc>
          <w:tcPr>
            <w:tcW w:type="dxa" w:w="5106"/>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Action</w:t>
            </w:r>
          </w:p>
        </w:tc>
        <w:tc>
          <w:tcPr>
            <w:tcW w:type="dxa" w:w="4955"/>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Expected result / stop condition</w:t>
            </w:r>
          </w:p>
        </w:tc>
      </w:tr>
      <w:tr>
        <w:trPr>
          <w:cantSplit/>
          <w:tblHeader w:val="false"/>
        </w:trPr>
        <w:tc>
          <w:tcPr>
            <w:tcW w:type="dxa" w:w="45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1</w:t>
            </w:r>
          </w:p>
        </w:tc>
        <w:tc>
          <w:tcPr>
            <w:tcW w:type="dxa" w:w="510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Acknowledge within 10 min; open incident with partner, alert ID and correlation IDs (never payloads).</w:t>
            </w:r>
          </w:p>
        </w:tc>
        <w:tc>
          <w:tcPr>
            <w:tcW w:type="dxa" w:w="495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Incident open; timeline started.</w:t>
            </w:r>
          </w:p>
        </w:tc>
      </w:tr>
      <w:tr>
        <w:trPr>
          <w:cantSplit/>
          <w:tblHeader w:val="false"/>
        </w:trPr>
        <w:tc>
          <w:tcPr>
            <w:tcW w:type="dxa" w:w="45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2</w:t>
            </w:r>
          </w:p>
        </w:tc>
        <w:tc>
          <w:tcPr>
            <w:tcW w:type="dxa" w:w="510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Classify with KQL-01, KQL-06 and KQL-07 by failureCode: transient, validation/conversion, or connectivity.</w:t>
            </w:r>
          </w:p>
        </w:tc>
        <w:tc>
          <w:tcPr>
            <w:tcW w:type="dxa" w:w="495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One class identified; mixed classes → handle transient first.</w:t>
            </w:r>
          </w:p>
        </w:tc>
      </w:tr>
      <w:tr>
        <w:trPr>
          <w:cantSplit/>
          <w:tblHeader w:val="false"/>
        </w:trPr>
        <w:tc>
          <w:tcPr>
            <w:tcW w:type="dxa" w:w="45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3</w:t>
            </w:r>
          </w:p>
        </w:tc>
        <w:tc>
          <w:tcPr>
            <w:tcW w:type="dxa" w:w="510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Transient: confirm circuit breaker state (AUT-02) and FHIR health and throttling. Connectivity: VPN, private DNS, SHIR nodes, partner contact. Validation: check the version gate and partner notices; deploy templates only through D-02 (no hotfix in production).</w:t>
            </w:r>
          </w:p>
        </w:tc>
        <w:tc>
          <w:tcPr>
            <w:tcW w:type="dxa" w:w="495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Cause isolated. Not recovering by 30 min → On-call Lead approves extended pause (AUT-07).</w:t>
            </w:r>
          </w:p>
        </w:tc>
      </w:tr>
      <w:tr>
        <w:trPr>
          <w:cantSplit/>
          <w:tblHeader w:val="false"/>
        </w:trPr>
        <w:tc>
          <w:tcPr>
            <w:tcW w:type="dxa" w:w="451"/>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4</w:t>
            </w:r>
          </w:p>
        </w:tc>
        <w:tc>
          <w:tcPr>
            <w:tcW w:type="dxa" w:w="510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Contain within 30 min: data stays buffered in the queue or at the partner and nothing is discarded. Tell Clinical Ops if partner workflow impact passes 30 min.</w:t>
            </w:r>
          </w:p>
        </w:tc>
        <w:tc>
          <w:tcPr>
            <w:tcW w:type="dxa" w:w="495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Containment time recorded.</w:t>
            </w:r>
          </w:p>
        </w:tc>
      </w:tr>
      <w:tr>
        <w:trPr>
          <w:cantSplit/>
          <w:tblHeader w:val="false"/>
        </w:trPr>
        <w:tc>
          <w:tcPr>
            <w:tcW w:type="dxa" w:w="451"/>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5</w:t>
            </w:r>
          </w:p>
        </w:tc>
        <w:tc>
          <w:tcPr>
            <w:tcW w:type="dxa" w:w="510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Recover and close: resume; replay quarantined items via F3 within limit; SLO met for two windows; review every P1.</w:t>
            </w:r>
          </w:p>
        </w:tc>
        <w:tc>
          <w:tcPr>
            <w:tcW w:type="dxa" w:w="495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KQL-08 = 0; reconciliation balanced; evidence archived.</w:t>
            </w:r>
          </w:p>
        </w:tc>
      </w:tr>
    </w:tbl>
    <w:p>
      <w:pPr>
        <w:pStyle w:val="Heading2"/>
        <w:keepNext/>
        <w:spacing w:after="40" w:before="90"/>
      </w:pPr>
      <w:r>
        <w:rPr>
          <w:rFonts w:ascii="Calibri" w:cs="Calibri" w:eastAsia="Calibri" w:hAnsi="Calibri"/>
          <w:b/>
          <w:bCs/>
          <w:color w:val="0F6CBD"/>
          <w:sz w:val="20"/>
          <w:szCs w:val="20"/>
        </w:rPr>
        <w:t xml:space="preserve">9.2  RB-ACCESS-001: Denied-request spike, payload leak or credential compromise</w:t>
      </w:r>
    </w:p>
    <w:p>
      <w:pPr>
        <w:spacing w:after="60" w:before="0" w:line="236"/>
        <w:jc w:val="left"/>
      </w:pPr>
      <w:r>
        <w:rPr>
          <w:rFonts w:ascii="Calibri" w:cs="Calibri" w:eastAsia="Calibri" w:hAnsi="Calibri"/>
          <w:color w:val="1F2937"/>
          <w:sz w:val="17"/>
          <w:szCs w:val="17"/>
        </w:rPr>
        <w:t xml:space="preserve">(1) SecOps triages KQL-05: caller, operations, IPs, recent changes such as a certificate rotation. (2) Workload identity: approve and disable the service principal or its FHIR role (AUT-08); human account: revoke roles and sessions through PIM (AUT-09). (3) The caller's reads in the restricted AuditLogs go to the Privacy Officer for the breach risk assessment and notification decision. (4) Payload leak (KQL-10): restrict table access at once, fix the logging code, purge only via the two-person procedure (AUT-11). (5) Restore access only with SecOps approval and new credentials.</w:t>
      </w:r>
    </w:p>
    <w:p>
      <w:pPr>
        <w:pStyle w:val="Heading2"/>
        <w:keepNext/>
        <w:spacing w:after="40" w:before="90"/>
      </w:pPr>
      <w:r>
        <w:rPr>
          <w:rFonts w:ascii="Calibri" w:cs="Calibri" w:eastAsia="Calibri" w:hAnsi="Calibri"/>
          <w:b/>
          <w:bCs/>
          <w:color w:val="0F6CBD"/>
          <w:sz w:val="20"/>
          <w:szCs w:val="20"/>
        </w:rPr>
        <w:t xml:space="preserve">9.3  Daily checks (start of each 12-hour shift)</w:t>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05"/>
        <w:gridCol w:w="3003"/>
        <w:gridCol w:w="2704"/>
      </w:tblGrid>
      <w:tr>
        <w:trPr>
          <w:cantSplit/>
          <w:tblHeader/>
        </w:trPr>
        <w:tc>
          <w:tcPr>
            <w:tcW w:type="dxa" w:w="4805"/>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Check</w:t>
            </w:r>
          </w:p>
        </w:tc>
        <w:tc>
          <w:tcPr>
            <w:tcW w:type="dxa" w:w="3003"/>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Pass criterion</w:t>
            </w:r>
          </w:p>
        </w:tc>
        <w:tc>
          <w:tcPr>
            <w:tcW w:type="dxa" w:w="2704"/>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If failed</w:t>
            </w:r>
          </w:p>
        </w:tc>
      </w:tr>
      <w:tr>
        <w:trPr>
          <w:cantSplit/>
          <w:tblHeader w:val="false"/>
        </w:trPr>
        <w:tc>
          <w:tcPr>
            <w:tcW w:type="dxa" w:w="480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Litware batch reconciled (KQL-06b); SLO-01 over last 12 h (KQL-01)</w:t>
            </w:r>
          </w:p>
        </w:tc>
        <w:tc>
          <w:tcPr>
            <w:tcW w:type="dxa" w:w="300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Before 05:00 ET; every window ≥99.5%</w:t>
            </w:r>
          </w:p>
        </w:tc>
        <w:tc>
          <w:tcPr>
            <w:tcW w:type="dxa" w:w="270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RB-INGEST-001; Clinical Ops; problem record</w:t>
            </w:r>
          </w:p>
        </w:tc>
      </w:tr>
      <w:tr>
        <w:trPr>
          <w:cantSplit/>
          <w:tblHeader w:val="false"/>
        </w:trPr>
        <w:tc>
          <w:tcPr>
            <w:tcW w:type="dxa" w:w="480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Quarantine backlog and failure codes (KQL-07)</w:t>
            </w:r>
          </w:p>
        </w:tc>
        <w:tc>
          <w:tcPr>
            <w:tcW w:type="dxa" w:w="3003"/>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&lt;5,000; oldest &lt;60 min; no new codes</w:t>
            </w:r>
          </w:p>
        </w:tc>
        <w:tc>
          <w:tcPr>
            <w:tcW w:type="dxa" w:w="270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New code → partner contact (possible change)</w:t>
            </w:r>
          </w:p>
        </w:tc>
      </w:tr>
      <w:tr>
        <w:trPr>
          <w:cantSplit/>
          <w:tblHeader w:val="false"/>
        </w:trPr>
        <w:tc>
          <w:tcPr>
            <w:tcW w:type="dxa" w:w="480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Audit freshness, diagnostic changes (KQL-03/04); Policy compliance</w:t>
            </w:r>
          </w:p>
        </w:tc>
        <w:tc>
          <w:tcPr>
            <w:tcW w:type="dxa" w:w="300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All &lt;20 min; 0 unapproved changes; 100% compliant</w:t>
            </w:r>
          </w:p>
        </w:tc>
        <w:tc>
          <w:tcPr>
            <w:tcW w:type="dxa" w:w="270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RB-AUDIT-001; remediate</w:t>
            </w:r>
          </w:p>
        </w:tc>
      </w:tr>
      <w:tr>
        <w:trPr>
          <w:cantSplit/>
          <w:tblHeader w:val="false"/>
        </w:trPr>
        <w:tc>
          <w:tcPr>
            <w:tcW w:type="dxa" w:w="480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Service Bus DLQ and queue age; SHIR nodes</w:t>
            </w:r>
          </w:p>
        </w:tc>
        <w:tc>
          <w:tcPr>
            <w:tcW w:type="dxa" w:w="3003"/>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DLQ 0; oldest &lt;10 min; 2/2 nodes online</w:t>
            </w:r>
          </w:p>
        </w:tc>
        <w:tc>
          <w:tcPr>
            <w:tcW w:type="dxa" w:w="270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RB-INGEST-001; node repair</w:t>
            </w:r>
          </w:p>
        </w:tc>
      </w:tr>
      <w:tr>
        <w:trPr>
          <w:cantSplit/>
          <w:tblHeader w:val="false"/>
        </w:trPr>
        <w:tc>
          <w:tcPr>
            <w:tcW w:type="dxa" w:w="4805"/>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Automation approvals (KQL-09) and open circuit breakers</w:t>
            </w:r>
          </w:p>
        </w:tc>
        <w:tc>
          <w:tcPr>
            <w:tcW w:type="dxa" w:w="300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0 missing approvals; no expired pauses</w:t>
            </w:r>
          </w:p>
        </w:tc>
        <w:tc>
          <w:tcPr>
            <w:tcW w:type="dxa" w:w="2704"/>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SecOps P1 (control failure)</w:t>
            </w:r>
          </w:p>
        </w:tc>
      </w:tr>
      <w:tr>
        <w:trPr>
          <w:cantSplit/>
          <w:tblHeader w:val="false"/>
        </w:trPr>
        <w:tc>
          <w:tcPr>
            <w:tcW w:type="dxa" w:w="4805"/>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Leak scan (KQL-10); break-glass (KQL-11); certificates; evidence export (F4)</w:t>
            </w:r>
          </w:p>
        </w:tc>
        <w:tc>
          <w:tcPr>
            <w:tcW w:type="dxa" w:w="3003"/>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0; 0; &gt;30 days; succeeded</w:t>
            </w:r>
          </w:p>
        </w:tc>
        <w:tc>
          <w:tcPr>
            <w:tcW w:type="dxa" w:w="2704"/>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color w:val="1F2937"/>
                <w:sz w:val="14"/>
                <w:szCs w:val="14"/>
              </w:rPr>
              <w:t xml:space="preserve">RB-ACCESS-001; rotation; re-run F4</w:t>
            </w:r>
          </w:p>
        </w:tc>
      </w:tr>
    </w:tbl>
    <w:p>
      <w:pPr>
        <w:pStyle w:val="Heading2"/>
        <w:keepNext/>
        <w:spacing w:after="40" w:before="90"/>
      </w:pPr>
      <w:r>
        <w:rPr>
          <w:rFonts w:ascii="Calibri" w:cs="Calibri" w:eastAsia="Calibri" w:hAnsi="Calibri"/>
          <w:b/>
          <w:bCs/>
          <w:color w:val="0F6CBD"/>
          <w:sz w:val="20"/>
          <w:szCs w:val="20"/>
        </w:rPr>
        <w:t xml:space="preserve">9.4  On-call handoff (each shift change, ~15 min, in ITSM) and periodic operations</w:t>
      </w:r>
    </w:p>
    <w:p>
      <w:pPr>
        <w:spacing w:after="60" w:before="0" w:line="236"/>
        <w:jc w:val="left"/>
      </w:pPr>
      <w:r>
        <w:rPr>
          <w:rFonts w:ascii="Calibri" w:cs="Calibri" w:eastAsia="Calibri" w:hAnsi="Calibri"/>
          <w:color w:val="1F2937"/>
          <w:sz w:val="17"/>
          <w:szCs w:val="17"/>
        </w:rPr>
        <w:t xml:space="preserve">Both engineers sign the handoff record: open incidents and severity; active pauses and expiry times; approvals in flight (approvalId, expiry); running replays (chunk progress, KQL-08); quarantine backlog and top failure codes per partner; pending partner communications; active suppressions; PIM activations still open (expected none); risks for the next shift (tonight's Litware batch, certificate expiry, changes). </w:t>
      </w:r>
      <w:r>
        <w:rPr>
          <w:rFonts w:ascii="Calibri" w:cs="Calibri" w:eastAsia="Calibri" w:hAnsi="Calibri"/>
          <w:b/>
          <w:bCs/>
          <w:color w:val="1F2937"/>
          <w:sz w:val="17"/>
          <w:szCs w:val="17"/>
        </w:rPr>
        <w:t xml:space="preserve">No PHI in handoff notes</w:t>
      </w:r>
      <w:r>
        <w:rPr>
          <w:rFonts w:ascii="Calibri" w:cs="Calibri" w:eastAsia="Calibri" w:hAnsi="Calibri"/>
          <w:color w:val="1F2937"/>
          <w:sz w:val="17"/>
          <w:szCs w:val="17"/>
        </w:rPr>
        <w:t xml:space="preserve">: IDs, counts and tokens only.</w:t>
      </w:r>
    </w:p>
    <w:p>
      <w:pPr>
        <w:spacing w:after="60" w:before="0" w:line="236"/>
        <w:jc w:val="left"/>
      </w:pPr>
      <w:r>
        <w:rPr>
          <w:rFonts w:ascii="Calibri" w:cs="Calibri" w:eastAsia="Calibri" w:hAnsi="Calibri"/>
          <w:b/>
          <w:bCs/>
          <w:color w:val="1F2937"/>
          <w:sz w:val="17"/>
          <w:szCs w:val="17"/>
        </w:rPr>
        <w:t xml:space="preserve">Weekly:</w:t>
      </w:r>
      <w:r>
        <w:rPr>
          <w:rFonts w:ascii="Calibri" w:cs="Calibri" w:eastAsia="Calibri" w:hAnsi="Calibri"/>
          <w:color w:val="1F2937"/>
          <w:sz w:val="17"/>
          <w:szCs w:val="17"/>
        </w:rPr>
        <w:t xml:space="preserve"> alert-noise review. </w:t>
      </w:r>
      <w:r>
        <w:rPr>
          <w:rFonts w:ascii="Calibri" w:cs="Calibri" w:eastAsia="Calibri" w:hAnsi="Calibri"/>
          <w:b/>
          <w:bCs/>
          <w:color w:val="1F2937"/>
          <w:sz w:val="17"/>
          <w:szCs w:val="17"/>
        </w:rPr>
        <w:t xml:space="preserve">Monthly:</w:t>
      </w:r>
      <w:r>
        <w:rPr>
          <w:rFonts w:ascii="Calibri" w:cs="Calibri" w:eastAsia="Calibri" w:hAnsi="Calibri"/>
          <w:color w:val="1F2937"/>
          <w:sz w:val="17"/>
          <w:szCs w:val="17"/>
        </w:rPr>
        <w:t xml:space="preserve"> role export, schema review, failure-code trends with partners. </w:t>
      </w:r>
      <w:r>
        <w:rPr>
          <w:rFonts w:ascii="Calibri" w:cs="Calibri" w:eastAsia="Calibri" w:hAnsi="Calibri"/>
          <w:b/>
          <w:bCs/>
          <w:color w:val="1F2937"/>
          <w:sz w:val="17"/>
          <w:szCs w:val="17"/>
        </w:rPr>
        <w:t xml:space="preserve">Quarterly:</w:t>
      </w:r>
      <w:r>
        <w:rPr>
          <w:rFonts w:ascii="Calibri" w:cs="Calibri" w:eastAsia="Calibri" w:hAnsi="Calibri"/>
          <w:color w:val="1F2937"/>
          <w:sz w:val="17"/>
          <w:szCs w:val="17"/>
        </w:rPr>
        <w:t xml:space="preserve"> access review; DR test (RTO 2 h, RPO 15 min) plus regional tabletop (OQ-07); replay, failure-injection and SHIR failover tests; automation score review. </w:t>
      </w:r>
      <w:r>
        <w:rPr>
          <w:rFonts w:ascii="Calibri" w:cs="Calibri" w:eastAsia="Calibri" w:hAnsi="Calibri"/>
          <w:b/>
          <w:bCs/>
          <w:color w:val="1F2937"/>
          <w:sz w:val="17"/>
          <w:szCs w:val="17"/>
        </w:rPr>
        <w:t xml:space="preserve">Semiannual:</w:t>
      </w:r>
      <w:r>
        <w:rPr>
          <w:rFonts w:ascii="Calibri" w:cs="Calibri" w:eastAsia="Calibri" w:hAnsi="Calibri"/>
          <w:color w:val="1F2937"/>
          <w:sz w:val="17"/>
          <w:szCs w:val="17"/>
        </w:rPr>
        <w:t xml:space="preserve"> break-glass test; RB-AUDIT-001 and RB-ACCESS-001 tabletops. </w:t>
      </w:r>
      <w:r>
        <w:rPr>
          <w:rFonts w:ascii="Calibri" w:cs="Calibri" w:eastAsia="Calibri" w:hAnsi="Calibri"/>
          <w:b/>
          <w:bCs/>
          <w:color w:val="1F2937"/>
          <w:sz w:val="17"/>
          <w:szCs w:val="17"/>
        </w:rPr>
        <w:t xml:space="preserve">Annual:</w:t>
      </w:r>
      <w:r>
        <w:rPr>
          <w:rFonts w:ascii="Calibri" w:cs="Calibri" w:eastAsia="Calibri" w:hAnsi="Calibri"/>
          <w:color w:val="1F2937"/>
          <w:sz w:val="17"/>
          <w:szCs w:val="17"/>
        </w:rPr>
        <w:t xml:space="preserve"> retention review; SSH and VPN key rotation.</w:t>
      </w:r>
    </w:p>
    <w:p>
      <w:pPr>
        <w:sectPr>
          <w:headerReference w:type="default" r:id="rId15"/>
          <w:footerReference w:type="default" r:id="rId16"/>
          <w:pgSz w:w="12240" w:h="15840" w:orient="portrait"/>
          <w:pgMar w:top="880" w:right="864" w:bottom="800" w:left="864" w:header="400" w:footer="380" w:gutter="0"/>
          <w:pgNumType/>
          <w:docGrid w:linePitch="360"/>
        </w:sectPr>
      </w:pPr>
    </w:p>
    <w:p>
      <w:pPr>
        <w:pStyle w:val="Heading1"/>
        <w:keepNext/>
        <w:pBdr>
          <w:bottom w:val="single" w:color="1F3864" w:sz="6" w:space="2"/>
        </w:pBdr>
        <w:spacing w:after="70" w:before="120"/>
      </w:pPr>
      <w:r>
        <w:rPr>
          <w:rFonts w:ascii="Calibri" w:cs="Calibri" w:eastAsia="Calibri" w:hAnsi="Calibri"/>
          <w:b/>
          <w:bCs/>
          <w:color w:val="1F3864"/>
          <w:sz w:val="26"/>
          <w:szCs w:val="26"/>
        </w:rPr>
        <w:t xml:space="preserve">Appendix: Config Snippets and Supporting Detail</w:t>
      </w:r>
    </w:p>
    <w:p>
      <w:pPr>
        <w:spacing w:after="60" w:before="0" w:line="236"/>
        <w:jc w:val="left"/>
      </w:pPr>
      <w:r>
        <w:rPr>
          <w:rFonts w:ascii="Calibri" w:cs="Calibri" w:eastAsia="Calibri" w:hAnsi="Calibri"/>
          <w:color w:val="4B5563"/>
          <w:sz w:val="17"/>
          <w:szCs w:val="17"/>
        </w:rPr>
        <w:t xml:space="preserve">Appendix pages are numbered separately and fall outside the 10–14-page body. All values are synthetic or placeholders in the </w:t>
      </w:r>
      <w:r>
        <w:rPr>
          <w:rFonts w:ascii="Courier New" w:cs="Courier New" w:eastAsia="Courier New" w:hAnsi="Courier New"/>
          <w:color w:val="0B3A6E"/>
          <w:sz w:val="14"/>
          <w:szCs w:val="14"/>
        </w:rPr>
        <w:t xml:space="preserve">&lt;REPLACE_WITH_...&gt;</w:t>
      </w:r>
      <w:r>
        <w:rPr>
          <w:rFonts w:ascii="Calibri" w:cs="Calibri" w:eastAsia="Calibri" w:hAnsi="Calibri"/>
          <w:color w:val="4B5563"/>
          <w:sz w:val="17"/>
          <w:szCs w:val="17"/>
        </w:rPr>
        <w:t xml:space="preserve"> convention. No secrets, tenant IDs or production endpoints appear.</w:t>
      </w:r>
    </w:p>
    <w:p>
      <w:pPr>
        <w:pStyle w:val="Heading2"/>
        <w:keepNext/>
        <w:spacing w:after="40" w:before="90"/>
      </w:pPr>
      <w:r>
        <w:rPr>
          <w:rFonts w:ascii="Calibri" w:cs="Calibri" w:eastAsia="Calibri" w:hAnsi="Calibri"/>
          <w:b/>
          <w:bCs/>
          <w:color w:val="0F6CBD"/>
          <w:sz w:val="20"/>
          <w:szCs w:val="20"/>
        </w:rPr>
        <w:t xml:space="preserve">A. KQL query library and query records</w:t>
      </w:r>
    </w:p>
    <w:p>
      <w:pPr>
        <w:spacing w:after="60" w:before="0" w:line="236"/>
        <w:jc w:val="left"/>
      </w:pPr>
      <w:r>
        <w:rPr>
          <w:rFonts w:ascii="Calibri" w:cs="Calibri" w:eastAsia="Calibri" w:hAnsi="Calibri"/>
          <w:color w:val="1F2937"/>
          <w:sz w:val="17"/>
          <w:szCs w:val="17"/>
        </w:rPr>
        <w:t xml:space="preserve">KQL-03 appears in Section 5.3. Template queries 1, 2, 5, 7, 8 and 9 are used unchanged as dashboard tiles. KQL-03 replaces template query 4 (sign error fixed), and KQL-06 replaces template query 10 (de-duplicated by RunId).</w:t>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12"/>
      </w:tblGrid>
      <w:tr>
        <w:trPr>
          <w:cantSplit w:val="false"/>
        </w:trPr>
        <w:tc>
          <w:tcPr>
            <w:tcW w:type="dxa" w:w="10512"/>
            <w:tcBorders>
              <w:top w:val="single" w:color="BFC7D5" w:sz="4"/>
              <w:left w:val="single" w:color="0F6CBD" w:sz="18"/>
              <w:bottom w:val="single" w:color="BFC7D5" w:sz="4"/>
              <w:right w:val="single" w:color="BFC7D5" w:sz="4"/>
            </w:tcBorders>
            <w:shd w:fill="F3F4F6" w:color="auto" w:val="clear"/>
            <w:tcMar>
              <w:top w:type="dxa" w:w="40"/>
              <w:left w:type="dxa" w:w="90"/>
              <w:bottom w:type="dxa" w:w="40"/>
              <w:right w:type="dxa" w:w="60"/>
            </w:tcMar>
          </w:tcPr>
          <w:p>
            <w:pPr>
              <w:spacing w:after="0" w:before="0" w:line="220"/>
            </w:pPr>
            <w:r>
              <w:rPr>
                <w:rFonts w:ascii="Courier New" w:cs="Courier New" w:eastAsia="Courier New" w:hAnsi="Courier New"/>
                <w:color w:val="4B5563"/>
                <w:sz w:val="13"/>
                <w:szCs w:val="13"/>
              </w:rPr>
              <w:t xml:space="preserve">// KQL-01  SLO-01 accepted and reconciled rate per partner (rows written by pl_reconcile_15m after a 5-min settle; alert A1)</w:t>
            </w:r>
          </w:p>
          <w:p>
            <w:pPr>
              <w:spacing w:after="0" w:before="0" w:line="220"/>
            </w:pPr>
            <w:r>
              <w:rPr>
                <w:rFonts w:ascii="Courier New" w:cs="Courier New" w:eastAsia="Courier New" w:hAnsi="Courier New"/>
                <w:color w:val="111827"/>
                <w:sz w:val="13"/>
                <w:szCs w:val="13"/>
              </w:rPr>
              <w:t xml:space="preserve">IngestLedger_CL</w:t>
            </w:r>
          </w:p>
          <w:p>
            <w:pPr>
              <w:spacing w:after="0" w:before="0" w:line="220"/>
            </w:pPr>
            <w:r>
              <w:rPr>
                <w:rFonts w:ascii="Courier New" w:cs="Courier New" w:eastAsia="Courier New" w:hAnsi="Courier New"/>
                <w:color w:val="111827"/>
                <w:sz w:val="13"/>
                <w:szCs w:val="13"/>
              </w:rPr>
              <w:t xml:space="preserve">| where TimeGenerated &gt; ago(24h) and Stage == "Reconcile"</w:t>
            </w:r>
          </w:p>
          <w:p>
            <w:pPr>
              <w:spacing w:after="0" w:before="0" w:line="220"/>
            </w:pPr>
            <w:r>
              <w:rPr>
                <w:rFonts w:ascii="Courier New" w:cs="Courier New" w:eastAsia="Courier New" w:hAnsi="Courier New"/>
                <w:color w:val="111827"/>
                <w:sz w:val="13"/>
                <w:szCs w:val="13"/>
              </w:rPr>
              <w:t xml:space="preserve">| extend Eligible = Received - ValidationRejected          // validation rejects reported separately (PC-07)</w:t>
            </w:r>
          </w:p>
          <w:p>
            <w:pPr>
              <w:spacing w:after="0" w:before="0" w:line="220"/>
            </w:pPr>
            <w:r>
              <w:rPr>
                <w:rFonts w:ascii="Courier New" w:cs="Courier New" w:eastAsia="Courier New" w:hAnsi="Courier New"/>
                <w:color w:val="111827"/>
                <w:sz w:val="13"/>
                <w:szCs w:val="13"/>
              </w:rPr>
              <w:t xml:space="preserve">| extend SuccessRate = iif(Eligible &lt;= 0, 1.0, todouble(Accepted) / todouble(Eligible))</w:t>
            </w:r>
          </w:p>
          <w:p>
            <w:pPr>
              <w:spacing w:after="0" w:before="0" w:line="220"/>
            </w:pPr>
            <w:r>
              <w:rPr>
                <w:rFonts w:ascii="Courier New" w:cs="Courier New" w:eastAsia="Courier New" w:hAnsi="Courier New"/>
                <w:color w:val="111827"/>
                <w:sz w:val="13"/>
                <w:szCs w:val="13"/>
              </w:rPr>
              <w:t xml:space="preserve">| extend Severity = case(SuccessRate &lt; 0.98, "P1", SuccessRate &lt; 0.995, "P2", "OK")</w:t>
            </w:r>
          </w:p>
          <w:p>
            <w:pPr>
              <w:spacing w:after="0" w:before="0" w:line="220"/>
            </w:pPr>
            <w:r>
              <w:rPr>
                <w:rFonts w:ascii="Courier New" w:cs="Courier New" w:eastAsia="Courier New" w:hAnsi="Courier New"/>
                <w:color w:val="111827"/>
                <w:sz w:val="13"/>
                <w:szCs w:val="13"/>
              </w:rPr>
              <w:t xml:space="preserve">| project WindowStart, PartnerId, Received, Accepted, ValidationRejected, InFlight, SuccessRate, Severity</w:t>
            </w:r>
          </w:p>
        </w:tc>
      </w:tr>
    </w:tbl>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12"/>
      </w:tblGrid>
      <w:tr>
        <w:trPr>
          <w:cantSplit w:val="false"/>
        </w:trPr>
        <w:tc>
          <w:tcPr>
            <w:tcW w:type="dxa" w:w="10512"/>
            <w:tcBorders>
              <w:top w:val="single" w:color="BFC7D5" w:sz="4"/>
              <w:left w:val="single" w:color="0F6CBD" w:sz="18"/>
              <w:bottom w:val="single" w:color="BFC7D5" w:sz="4"/>
              <w:right w:val="single" w:color="BFC7D5" w:sz="4"/>
            </w:tcBorders>
            <w:shd w:fill="F3F4F6" w:color="auto" w:val="clear"/>
            <w:tcMar>
              <w:top w:type="dxa" w:w="40"/>
              <w:left w:type="dxa" w:w="90"/>
              <w:bottom w:type="dxa" w:w="40"/>
              <w:right w:type="dxa" w:w="60"/>
            </w:tcMar>
          </w:tcPr>
          <w:p>
            <w:pPr>
              <w:spacing w:after="0" w:before="0" w:line="220"/>
            </w:pPr>
            <w:r>
              <w:rPr>
                <w:rFonts w:ascii="Courier New" w:cs="Courier New" w:eastAsia="Courier New" w:hAnsi="Courier New"/>
                <w:color w:val="4B5563"/>
                <w:sz w:val="13"/>
                <w:szCs w:val="13"/>
              </w:rPr>
              <w:t xml:space="preserve">// KQL-02  SLO-02 P95 end-to-end latency vs partner target (alert A2)</w:t>
            </w:r>
          </w:p>
          <w:p>
            <w:pPr>
              <w:spacing w:after="0" w:before="0" w:line="220"/>
            </w:pPr>
            <w:r>
              <w:rPr>
                <w:rFonts w:ascii="Courier New" w:cs="Courier New" w:eastAsia="Courier New" w:hAnsi="Courier New"/>
                <w:color w:val="111827"/>
                <w:sz w:val="13"/>
                <w:szCs w:val="13"/>
              </w:rPr>
              <w:t xml:space="preserve">let Targets = datatable(PartnerId:string, TargetSeconds:real)["P-001", 120.0, "P-002", 90.0];</w:t>
            </w:r>
          </w:p>
          <w:p>
            <w:pPr>
              <w:spacing w:after="0" w:before="0" w:line="220"/>
            </w:pPr>
            <w:r>
              <w:rPr>
                <w:rFonts w:ascii="Courier New" w:cs="Courier New" w:eastAsia="Courier New" w:hAnsi="Courier New"/>
                <w:color w:val="111827"/>
                <w:sz w:val="13"/>
                <w:szCs w:val="13"/>
              </w:rPr>
              <w:t xml:space="preserve">let P001 = IngestLedger_CL</w:t>
            </w:r>
          </w:p>
          <w:p>
            <w:pPr>
              <w:spacing w:after="0" w:before="0" w:line="220"/>
            </w:pPr>
            <w:r>
              <w:rPr>
                <w:rFonts w:ascii="Courier New" w:cs="Courier New" w:eastAsia="Courier New" w:hAnsi="Courier New"/>
                <w:color w:val="111827"/>
                <w:sz w:val="13"/>
                <w:szCs w:val="13"/>
              </w:rPr>
              <w:t xml:space="preserve">    | where TimeGenerated &gt; ago(24h) and PartnerId == "P-001" and Stage == "Persisted"</w:t>
            </w:r>
          </w:p>
          <w:p>
            <w:pPr>
              <w:spacing w:after="0" w:before="0" w:line="220"/>
            </w:pPr>
            <w:r>
              <w:rPr>
                <w:rFonts w:ascii="Courier New" w:cs="Courier New" w:eastAsia="Courier New" w:hAnsi="Courier New"/>
                <w:color w:val="111827"/>
                <w:sz w:val="13"/>
                <w:szCs w:val="13"/>
              </w:rPr>
              <w:t xml:space="preserve">    | project TimeGenerated, PartnerId, Seconds = todouble(EndToEndSeconds);</w:t>
            </w:r>
          </w:p>
          <w:p>
            <w:pPr>
              <w:spacing w:after="0" w:before="0" w:line="220"/>
            </w:pPr>
            <w:r>
              <w:rPr>
                <w:rFonts w:ascii="Courier New" w:cs="Courier New" w:eastAsia="Courier New" w:hAnsi="Courier New"/>
                <w:color w:val="111827"/>
                <w:sz w:val="13"/>
                <w:szCs w:val="13"/>
              </w:rPr>
              <w:t xml:space="preserve">let P002 = ApiManagementGatewayLogs          // TotalTime in ms; Url is never projected (EX-07)</w:t>
            </w:r>
          </w:p>
          <w:p>
            <w:pPr>
              <w:spacing w:after="0" w:before="0" w:line="220"/>
            </w:pPr>
            <w:r>
              <w:rPr>
                <w:rFonts w:ascii="Courier New" w:cs="Courier New" w:eastAsia="Courier New" w:hAnsi="Courier New"/>
                <w:color w:val="111827"/>
                <w:sz w:val="13"/>
                <w:szCs w:val="13"/>
              </w:rPr>
              <w:t xml:space="preserve">    | where TimeGenerated &gt; ago(24h) and ApiId == "fhir-p002" and ResponseCode between (200 .. 299)</w:t>
            </w:r>
          </w:p>
          <w:p>
            <w:pPr>
              <w:spacing w:after="0" w:before="0" w:line="220"/>
            </w:pPr>
            <w:r>
              <w:rPr>
                <w:rFonts w:ascii="Courier New" w:cs="Courier New" w:eastAsia="Courier New" w:hAnsi="Courier New"/>
                <w:color w:val="111827"/>
                <w:sz w:val="13"/>
                <w:szCs w:val="13"/>
              </w:rPr>
              <w:t xml:space="preserve">    | project TimeGenerated, PartnerId = "P-002", Seconds = todouble(TotalTime) / 1000.0;</w:t>
            </w:r>
          </w:p>
          <w:p>
            <w:pPr>
              <w:spacing w:after="0" w:before="0" w:line="220"/>
            </w:pPr>
            <w:r>
              <w:rPr>
                <w:rFonts w:ascii="Courier New" w:cs="Courier New" w:eastAsia="Courier New" w:hAnsi="Courier New"/>
                <w:color w:val="111827"/>
                <w:sz w:val="13"/>
                <w:szCs w:val="13"/>
              </w:rPr>
              <w:t xml:space="preserve">union P001, P002</w:t>
            </w:r>
          </w:p>
          <w:p>
            <w:pPr>
              <w:spacing w:after="0" w:before="0" w:line="220"/>
            </w:pPr>
            <w:r>
              <w:rPr>
                <w:rFonts w:ascii="Courier New" w:cs="Courier New" w:eastAsia="Courier New" w:hAnsi="Courier New"/>
                <w:color w:val="111827"/>
                <w:sz w:val="13"/>
                <w:szCs w:val="13"/>
              </w:rPr>
              <w:t xml:space="preserve">| summarize P95Seconds = percentile(Seconds, 95), Requests = count() by PartnerId, bin(TimeGenerated, 15m)</w:t>
            </w:r>
          </w:p>
          <w:p>
            <w:pPr>
              <w:spacing w:after="0" w:before="0" w:line="220"/>
            </w:pPr>
            <w:r>
              <w:rPr>
                <w:rFonts w:ascii="Courier New" w:cs="Courier New" w:eastAsia="Courier New" w:hAnsi="Courier New"/>
                <w:color w:val="111827"/>
                <w:sz w:val="13"/>
                <w:szCs w:val="13"/>
              </w:rPr>
              <w:t xml:space="preserve">| join kind=inner Targets on PartnerId</w:t>
            </w:r>
          </w:p>
          <w:p>
            <w:pPr>
              <w:spacing w:after="0" w:before="0" w:line="220"/>
            </w:pPr>
            <w:r>
              <w:rPr>
                <w:rFonts w:ascii="Courier New" w:cs="Courier New" w:eastAsia="Courier New" w:hAnsi="Courier New"/>
                <w:color w:val="111827"/>
                <w:sz w:val="13"/>
                <w:szCs w:val="13"/>
              </w:rPr>
              <w:t xml:space="preserve">| extend Breach = P95Seconds &gt; TargetSeconds</w:t>
            </w:r>
          </w:p>
          <w:p>
            <w:pPr>
              <w:spacing w:after="0" w:before="0" w:line="220"/>
            </w:pPr>
            <w:r>
              <w:rPr>
                <w:rFonts w:ascii="Courier New" w:cs="Courier New" w:eastAsia="Courier New" w:hAnsi="Courier New"/>
                <w:color w:val="111827"/>
                <w:sz w:val="13"/>
                <w:szCs w:val="13"/>
              </w:rPr>
              <w:t xml:space="preserve">| project TimeGenerated, PartnerId, P95Seconds, TargetSeconds, Requests, Breach</w:t>
            </w:r>
          </w:p>
        </w:tc>
      </w:tr>
    </w:tbl>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12"/>
      </w:tblGrid>
      <w:tr>
        <w:trPr>
          <w:cantSplit w:val="false"/>
        </w:trPr>
        <w:tc>
          <w:tcPr>
            <w:tcW w:type="dxa" w:w="10512"/>
            <w:tcBorders>
              <w:top w:val="single" w:color="BFC7D5" w:sz="4"/>
              <w:left w:val="single" w:color="0F6CBD" w:sz="18"/>
              <w:bottom w:val="single" w:color="BFC7D5" w:sz="4"/>
              <w:right w:val="single" w:color="BFC7D5" w:sz="4"/>
            </w:tcBorders>
            <w:shd w:fill="F3F4F6" w:color="auto" w:val="clear"/>
            <w:tcMar>
              <w:top w:type="dxa" w:w="40"/>
              <w:left w:type="dxa" w:w="90"/>
              <w:bottom w:type="dxa" w:w="40"/>
              <w:right w:type="dxa" w:w="60"/>
            </w:tcMar>
          </w:tcPr>
          <w:p>
            <w:pPr>
              <w:spacing w:after="0" w:before="0" w:line="220"/>
            </w:pPr>
            <w:r>
              <w:rPr>
                <w:rFonts w:ascii="Courier New" w:cs="Courier New" w:eastAsia="Courier New" w:hAnsi="Courier New"/>
                <w:color w:val="4B5563"/>
                <w:sz w:val="13"/>
                <w:szCs w:val="13"/>
              </w:rPr>
              <w:t xml:space="preserve">// KQL-04  Diagnostic-setting change or resource move on in-scope resources (alert A4, INC-2026-027)</w:t>
            </w:r>
          </w:p>
          <w:p>
            <w:pPr>
              <w:spacing w:after="0" w:before="0" w:line="220"/>
            </w:pPr>
            <w:r>
              <w:rPr>
                <w:rFonts w:ascii="Courier New" w:cs="Courier New" w:eastAsia="Courier New" w:hAnsi="Courier New"/>
                <w:color w:val="111827"/>
                <w:sz w:val="13"/>
                <w:szCs w:val="13"/>
              </w:rPr>
              <w:t xml:space="preserve">AzureActivity</w:t>
            </w:r>
          </w:p>
          <w:p>
            <w:pPr>
              <w:spacing w:after="0" w:before="0" w:line="220"/>
            </w:pPr>
            <w:r>
              <w:rPr>
                <w:rFonts w:ascii="Courier New" w:cs="Courier New" w:eastAsia="Courier New" w:hAnsi="Courier New"/>
                <w:color w:val="111827"/>
                <w:sz w:val="13"/>
                <w:szCs w:val="13"/>
              </w:rPr>
              <w:t xml:space="preserve">| where TimeGenerated &gt; ago(1h)</w:t>
            </w:r>
          </w:p>
          <w:p>
            <w:pPr>
              <w:spacing w:after="0" w:before="0" w:line="220"/>
            </w:pPr>
            <w:r>
              <w:rPr>
                <w:rFonts w:ascii="Courier New" w:cs="Courier New" w:eastAsia="Courier New" w:hAnsi="Courier New"/>
                <w:color w:val="111827"/>
                <w:sz w:val="13"/>
                <w:szCs w:val="13"/>
              </w:rPr>
              <w:t xml:space="preserve">| where OperationNameValue in~ ("MICROSOFT.INSIGHTS/DIAGNOSTICSETTINGS/DELETE",</w:t>
            </w:r>
          </w:p>
          <w:p>
            <w:pPr>
              <w:spacing w:after="0" w:before="0" w:line="220"/>
            </w:pPr>
            <w:r>
              <w:rPr>
                <w:rFonts w:ascii="Courier New" w:cs="Courier New" w:eastAsia="Courier New" w:hAnsi="Courier New"/>
                <w:color w:val="111827"/>
                <w:sz w:val="13"/>
                <w:szCs w:val="13"/>
              </w:rPr>
              <w:t xml:space="preserve">                                "MICROSOFT.INSIGHTS/DIAGNOSTICSETTINGS/WRITE",</w:t>
            </w:r>
          </w:p>
          <w:p>
            <w:pPr>
              <w:spacing w:after="0" w:before="0" w:line="220"/>
            </w:pPr>
            <w:r>
              <w:rPr>
                <w:rFonts w:ascii="Courier New" w:cs="Courier New" w:eastAsia="Courier New" w:hAnsi="Courier New"/>
                <w:color w:val="111827"/>
                <w:sz w:val="13"/>
                <w:szCs w:val="13"/>
              </w:rPr>
              <w:t xml:space="preserve">                                "MICROSOFT.RESOURCES/SUBSCRIPTIONS/RESOURCEGROUPS/MOVERESOURCES/ACTION")</w:t>
            </w:r>
          </w:p>
          <w:p>
            <w:pPr>
              <w:spacing w:after="0" w:before="0" w:line="220"/>
            </w:pPr>
            <w:r>
              <w:rPr>
                <w:rFonts w:ascii="Courier New" w:cs="Courier New" w:eastAsia="Courier New" w:hAnsi="Courier New"/>
                <w:color w:val="111827"/>
                <w:sz w:val="13"/>
                <w:szCs w:val="13"/>
              </w:rPr>
              <w:t xml:space="preserve">| where ActivityStatusValue in~ ("Success", "Succeeded")</w:t>
            </w:r>
          </w:p>
          <w:p>
            <w:pPr>
              <w:spacing w:after="0" w:before="0" w:line="220"/>
            </w:pPr>
            <w:r>
              <w:rPr>
                <w:rFonts w:ascii="Courier New" w:cs="Courier New" w:eastAsia="Courier New" w:hAnsi="Courier New"/>
                <w:color w:val="111827"/>
                <w:sz w:val="13"/>
                <w:szCs w:val="13"/>
              </w:rPr>
              <w:t xml:space="preserve">| project TimeGenerated, OperationNameValue, Caller, ResourceGroup, _ResourceId, CorrelationId</w:t>
            </w:r>
          </w:p>
        </w:tc>
      </w:tr>
    </w:tbl>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12"/>
      </w:tblGrid>
      <w:tr>
        <w:trPr>
          <w:cantSplit w:val="false"/>
        </w:trPr>
        <w:tc>
          <w:tcPr>
            <w:tcW w:type="dxa" w:w="10512"/>
            <w:tcBorders>
              <w:top w:val="single" w:color="BFC7D5" w:sz="4"/>
              <w:left w:val="single" w:color="0F6CBD" w:sz="18"/>
              <w:bottom w:val="single" w:color="BFC7D5" w:sz="4"/>
              <w:right w:val="single" w:color="BFC7D5" w:sz="4"/>
            </w:tcBorders>
            <w:shd w:fill="F3F4F6" w:color="auto" w:val="clear"/>
            <w:tcMar>
              <w:top w:type="dxa" w:w="40"/>
              <w:left w:type="dxa" w:w="90"/>
              <w:bottom w:type="dxa" w:w="40"/>
              <w:right w:type="dxa" w:w="60"/>
            </w:tcMar>
          </w:tcPr>
          <w:p>
            <w:pPr>
              <w:spacing w:after="0" w:before="0" w:line="220"/>
            </w:pPr>
            <w:r>
              <w:rPr>
                <w:rFonts w:ascii="Courier New" w:cs="Courier New" w:eastAsia="Courier New" w:hAnsi="Courier New"/>
                <w:color w:val="4B5563"/>
                <w:sz w:val="13"/>
                <w:szCs w:val="13"/>
              </w:rPr>
              <w:t xml:space="preserve">// KQL-05  SLO-05 denied FHIR requests per caller vs 7-day baseline (alert A6)</w:t>
            </w:r>
          </w:p>
          <w:p>
            <w:pPr>
              <w:spacing w:after="0" w:before="0" w:line="220"/>
            </w:pPr>
            <w:r>
              <w:rPr>
                <w:rFonts w:ascii="Courier New" w:cs="Courier New" w:eastAsia="Courier New" w:hAnsi="Courier New"/>
                <w:color w:val="111827"/>
                <w:sz w:val="13"/>
                <w:szCs w:val="13"/>
              </w:rPr>
              <w:t xml:space="preserve">let BaselineDays = 7d;</w:t>
            </w:r>
          </w:p>
          <w:p>
            <w:pPr>
              <w:spacing w:after="0" w:before="0" w:line="220"/>
            </w:pPr>
            <w:r>
              <w:rPr>
                <w:rFonts w:ascii="Courier New" w:cs="Courier New" w:eastAsia="Courier New" w:hAnsi="Courier New"/>
                <w:color w:val="111827"/>
                <w:sz w:val="13"/>
                <w:szCs w:val="13"/>
              </w:rPr>
              <w:t xml:space="preserve">let CurrentWindow = 1h;</w:t>
            </w:r>
          </w:p>
          <w:p>
            <w:pPr>
              <w:spacing w:after="0" w:before="0" w:line="220"/>
            </w:pPr>
            <w:r>
              <w:rPr>
                <w:rFonts w:ascii="Courier New" w:cs="Courier New" w:eastAsia="Courier New" w:hAnsi="Courier New"/>
                <w:color w:val="111827"/>
                <w:sz w:val="13"/>
                <w:szCs w:val="13"/>
              </w:rPr>
              <w:t xml:space="preserve">let Denied = MicrosoftHealthcareApisAuditLogs</w:t>
            </w:r>
          </w:p>
          <w:p>
            <w:pPr>
              <w:spacing w:after="0" w:before="0" w:line="220"/>
            </w:pPr>
            <w:r>
              <w:rPr>
                <w:rFonts w:ascii="Courier New" w:cs="Courier New" w:eastAsia="Courier New" w:hAnsi="Courier New"/>
                <w:color w:val="111827"/>
                <w:sz w:val="13"/>
                <w:szCs w:val="13"/>
              </w:rPr>
              <w:t xml:space="preserve">    | where StatusCode in (401, 403)</w:t>
            </w:r>
          </w:p>
          <w:p>
            <w:pPr>
              <w:spacing w:after="0" w:before="0" w:line="220"/>
            </w:pPr>
            <w:r>
              <w:rPr>
                <w:rFonts w:ascii="Courier New" w:cs="Courier New" w:eastAsia="Courier New" w:hAnsi="Courier New"/>
                <w:color w:val="111827"/>
                <w:sz w:val="13"/>
                <w:szCs w:val="13"/>
              </w:rPr>
              <w:t xml:space="preserve">    | extend Caller = iif(isempty(CallerIdentityObjectId), strcat("unauthenticated:", CallerIPAddress), CallerIdentityObjectId);</w:t>
            </w:r>
          </w:p>
          <w:p>
            <w:pPr>
              <w:spacing w:after="0" w:before="0" w:line="220"/>
            </w:pPr>
            <w:r>
              <w:rPr>
                <w:rFonts w:ascii="Courier New" w:cs="Courier New" w:eastAsia="Courier New" w:hAnsi="Courier New"/>
                <w:color w:val="111827"/>
                <w:sz w:val="13"/>
                <w:szCs w:val="13"/>
              </w:rPr>
              <w:t xml:space="preserve">let Baseline = Denied</w:t>
            </w:r>
          </w:p>
          <w:p>
            <w:pPr>
              <w:spacing w:after="0" w:before="0" w:line="220"/>
            </w:pPr>
            <w:r>
              <w:rPr>
                <w:rFonts w:ascii="Courier New" w:cs="Courier New" w:eastAsia="Courier New" w:hAnsi="Courier New"/>
                <w:color w:val="111827"/>
                <w:sz w:val="13"/>
                <w:szCs w:val="13"/>
              </w:rPr>
              <w:t xml:space="preserve">    | where TimeGenerated between (ago(BaselineDays + CurrentWindow) .. ago(CurrentWindow))</w:t>
            </w:r>
          </w:p>
          <w:p>
            <w:pPr>
              <w:spacing w:after="0" w:before="0" w:line="220"/>
            </w:pPr>
            <w:r>
              <w:rPr>
                <w:rFonts w:ascii="Courier New" w:cs="Courier New" w:eastAsia="Courier New" w:hAnsi="Courier New"/>
                <w:color w:val="111827"/>
                <w:sz w:val="13"/>
                <w:szCs w:val="13"/>
              </w:rPr>
              <w:t xml:space="preserve">    | summarize BaselineHourly = todouble(count()) / (BaselineDays / 1h) by Caller;</w:t>
            </w:r>
          </w:p>
          <w:p>
            <w:pPr>
              <w:spacing w:after="0" w:before="0" w:line="220"/>
            </w:pPr>
            <w:r>
              <w:rPr>
                <w:rFonts w:ascii="Courier New" w:cs="Courier New" w:eastAsia="Courier New" w:hAnsi="Courier New"/>
                <w:color w:val="111827"/>
                <w:sz w:val="13"/>
                <w:szCs w:val="13"/>
              </w:rPr>
              <w:t xml:space="preserve">Denied</w:t>
            </w:r>
          </w:p>
          <w:p>
            <w:pPr>
              <w:spacing w:after="0" w:before="0" w:line="220"/>
            </w:pPr>
            <w:r>
              <w:rPr>
                <w:rFonts w:ascii="Courier New" w:cs="Courier New" w:eastAsia="Courier New" w:hAnsi="Courier New"/>
                <w:color w:val="111827"/>
                <w:sz w:val="13"/>
                <w:szCs w:val="13"/>
              </w:rPr>
              <w:t xml:space="preserve">| where TimeGenerated &gt;= ago(CurrentWindow)</w:t>
            </w:r>
          </w:p>
          <w:p>
            <w:pPr>
              <w:spacing w:after="0" w:before="0" w:line="220"/>
            </w:pPr>
            <w:r>
              <w:rPr>
                <w:rFonts w:ascii="Courier New" w:cs="Courier New" w:eastAsia="Courier New" w:hAnsi="Courier New"/>
                <w:color w:val="111827"/>
                <w:sz w:val="13"/>
                <w:szCs w:val="13"/>
              </w:rPr>
              <w:t xml:space="preserve">| summarize Attempts = count(), DistinctIPs = dcount(CallerIPAddress), Operations = make_set(OperationName, 10) by Caller</w:t>
            </w:r>
          </w:p>
          <w:p>
            <w:pPr>
              <w:spacing w:after="0" w:before="0" w:line="220"/>
            </w:pPr>
            <w:r>
              <w:rPr>
                <w:rFonts w:ascii="Courier New" w:cs="Courier New" w:eastAsia="Courier New" w:hAnsi="Courier New"/>
                <w:color w:val="111827"/>
                <w:sz w:val="13"/>
                <w:szCs w:val="13"/>
              </w:rPr>
              <w:t xml:space="preserve">| join kind=leftouter Baseline on Caller</w:t>
            </w:r>
          </w:p>
          <w:p>
            <w:pPr>
              <w:spacing w:after="0" w:before="0" w:line="220"/>
            </w:pPr>
            <w:r>
              <w:rPr>
                <w:rFonts w:ascii="Courier New" w:cs="Courier New" w:eastAsia="Courier New" w:hAnsi="Courier New"/>
                <w:color w:val="111827"/>
                <w:sz w:val="13"/>
                <w:szCs w:val="13"/>
              </w:rPr>
              <w:t xml:space="preserve">| extend BaselineHourly = coalesce(BaselineHourly, 0.0)</w:t>
            </w:r>
          </w:p>
          <w:p>
            <w:pPr>
              <w:spacing w:after="0" w:before="0" w:line="220"/>
            </w:pPr>
            <w:r>
              <w:rPr>
                <w:rFonts w:ascii="Courier New" w:cs="Courier New" w:eastAsia="Courier New" w:hAnsi="Courier New"/>
                <w:color w:val="111827"/>
                <w:sz w:val="13"/>
                <w:szCs w:val="13"/>
              </w:rPr>
              <w:t xml:space="preserve">| extend Ratio = Attempts / iif(BaselineHourly &lt; 1.0, 1.0, BaselineHourly)</w:t>
            </w:r>
          </w:p>
          <w:p>
            <w:pPr>
              <w:spacing w:after="0" w:before="0" w:line="220"/>
            </w:pPr>
            <w:r>
              <w:rPr>
                <w:rFonts w:ascii="Courier New" w:cs="Courier New" w:eastAsia="Courier New" w:hAnsi="Courier New"/>
                <w:color w:val="111827"/>
                <w:sz w:val="13"/>
                <w:szCs w:val="13"/>
              </w:rPr>
              <w:t xml:space="preserve">| where Attempts &gt;= 20 and Ratio &gt;= 3.0</w:t>
            </w:r>
          </w:p>
          <w:p>
            <w:pPr>
              <w:spacing w:after="0" w:before="0" w:line="220"/>
            </w:pPr>
            <w:r>
              <w:rPr>
                <w:rFonts w:ascii="Courier New" w:cs="Courier New" w:eastAsia="Courier New" w:hAnsi="Courier New"/>
                <w:color w:val="111827"/>
                <w:sz w:val="13"/>
                <w:szCs w:val="13"/>
              </w:rPr>
              <w:t xml:space="preserve">| project Caller, Attempts, BaselineHourly, Ratio, DistinctIPs, Operations</w:t>
            </w:r>
          </w:p>
        </w:tc>
      </w:tr>
    </w:tbl>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12"/>
      </w:tblGrid>
      <w:tr>
        <w:trPr>
          <w:cantSplit w:val="false"/>
        </w:trPr>
        <w:tc>
          <w:tcPr>
            <w:tcW w:type="dxa" w:w="10512"/>
            <w:tcBorders>
              <w:top w:val="single" w:color="BFC7D5" w:sz="4"/>
              <w:left w:val="single" w:color="0F6CBD" w:sz="18"/>
              <w:bottom w:val="single" w:color="BFC7D5" w:sz="4"/>
              <w:right w:val="single" w:color="BFC7D5" w:sz="4"/>
            </w:tcBorders>
            <w:shd w:fill="F3F4F6" w:color="auto" w:val="clear"/>
            <w:tcMar>
              <w:top w:type="dxa" w:w="40"/>
              <w:left w:type="dxa" w:w="90"/>
              <w:bottom w:type="dxa" w:w="40"/>
              <w:right w:type="dxa" w:w="60"/>
            </w:tcMar>
          </w:tcPr>
          <w:p>
            <w:pPr>
              <w:spacing w:after="0" w:before="0" w:line="220"/>
            </w:pPr>
            <w:r>
              <w:rPr>
                <w:rFonts w:ascii="Courier New" w:cs="Courier New" w:eastAsia="Courier New" w:hAnsi="Courier New"/>
                <w:color w:val="4B5563"/>
                <w:sz w:val="13"/>
                <w:szCs w:val="13"/>
              </w:rPr>
              <w:t xml:space="preserve">// KQL-06  SLO-04 ADF failed runs in 30 min, de-duplicated by RunId; cancelled runs excluded (alert A5)</w:t>
            </w:r>
          </w:p>
          <w:p>
            <w:pPr>
              <w:spacing w:after="0" w:before="0" w:line="220"/>
            </w:pPr>
            <w:r>
              <w:rPr>
                <w:rFonts w:ascii="Courier New" w:cs="Courier New" w:eastAsia="Courier New" w:hAnsi="Courier New"/>
                <w:color w:val="111827"/>
                <w:sz w:val="13"/>
                <w:szCs w:val="13"/>
              </w:rPr>
              <w:t xml:space="preserve">ADFPipelineRun</w:t>
            </w:r>
          </w:p>
          <w:p>
            <w:pPr>
              <w:spacing w:after="0" w:before="0" w:line="220"/>
            </w:pPr>
            <w:r>
              <w:rPr>
                <w:rFonts w:ascii="Courier New" w:cs="Courier New" w:eastAsia="Courier New" w:hAnsi="Courier New"/>
                <w:color w:val="111827"/>
                <w:sz w:val="13"/>
                <w:szCs w:val="13"/>
              </w:rPr>
              <w:t xml:space="preserve">| where TimeGenerated &gt; ago(30m) and Status == "Failed"</w:t>
            </w:r>
          </w:p>
          <w:p>
            <w:pPr>
              <w:spacing w:after="0" w:before="0" w:line="220"/>
            </w:pPr>
            <w:r>
              <w:rPr>
                <w:rFonts w:ascii="Courier New" w:cs="Courier New" w:eastAsia="Courier New" w:hAnsi="Courier New"/>
                <w:color w:val="111827"/>
                <w:sz w:val="13"/>
                <w:szCs w:val="13"/>
              </w:rPr>
              <w:t xml:space="preserve">| summarize arg_max(TimeGenerated, PipelineName, FailureType) by RunId</w:t>
            </w:r>
          </w:p>
          <w:p>
            <w:pPr>
              <w:spacing w:after="0" w:before="0" w:line="220"/>
            </w:pPr>
            <w:r>
              <w:rPr>
                <w:rFonts w:ascii="Courier New" w:cs="Courier New" w:eastAsia="Courier New" w:hAnsi="Courier New"/>
                <w:color w:val="111827"/>
                <w:sz w:val="13"/>
                <w:szCs w:val="13"/>
              </w:rPr>
              <w:t xml:space="preserve">| summarize Failures = count(), Pipelines = make_set(PipelineName, 10), LatestFailure = max(TimeGenerated)</w:t>
            </w:r>
          </w:p>
          <w:p>
            <w:pPr>
              <w:spacing w:after="0" w:before="0" w:line="220"/>
            </w:pPr>
            <w:r>
              <w:rPr>
                <w:rFonts w:ascii="Courier New" w:cs="Courier New" w:eastAsia="Courier New" w:hAnsi="Courier New"/>
                <w:color w:val="111827"/>
                <w:sz w:val="13"/>
                <w:szCs w:val="13"/>
              </w:rPr>
              <w:t xml:space="preserve">| where Failures &gt; 0</w:t>
            </w:r>
          </w:p>
          <w:p>
            <w:pPr>
              <w:spacing w:after="0" w:before="0" w:line="220"/>
            </w:pPr>
            <w:r>
              <w:rPr>
                <w:rFonts w:ascii="Courier New" w:cs="Courier New" w:eastAsia="Courier New" w:hAnsi="Courier New"/>
                <w:color w:val="111827"/>
                <w:sz w:val="13"/>
                <w:szCs w:val="13"/>
              </w:rPr>
              <w:t xml:space="preserve">| extend Severity = iif(Failures &gt;= 3, "P1", "P2"), RunbookId = "RB-INGEST-001"</w:t>
            </w:r>
          </w:p>
          <w:p>
            <w:pPr>
              <w:spacing w:after="0" w:before="0" w:line="220"/>
            </w:pPr>
            <w:r>
              <w:rPr>
                <w:rFonts w:ascii="Courier New" w:cs="Courier New" w:eastAsia="Courier New" w:hAnsi="Courier New"/>
                <w:color w:val="111827"/>
                <w:sz w:val="13"/>
                <w:szCs w:val="13"/>
              </w:rPr>
              <w:t xml:space="preserve"> </w:t>
            </w:r>
          </w:p>
          <w:p>
            <w:pPr>
              <w:spacing w:after="0" w:before="0" w:line="220"/>
            </w:pPr>
            <w:r>
              <w:rPr>
                <w:rFonts w:ascii="Courier New" w:cs="Courier New" w:eastAsia="Courier New" w:hAnsi="Courier New"/>
                <w:color w:val="4B5563"/>
                <w:sz w:val="13"/>
                <w:szCs w:val="13"/>
              </w:rPr>
              <w:t xml:space="preserve">// KQL-06b  Litware nightly batch at risk (alert A9; A-09 local time = America/New_York)</w:t>
            </w:r>
          </w:p>
          <w:p>
            <w:pPr>
              <w:spacing w:after="0" w:before="0" w:line="220"/>
            </w:pPr>
            <w:r>
              <w:rPr>
                <w:rFonts w:ascii="Courier New" w:cs="Courier New" w:eastAsia="Courier New" w:hAnsi="Courier New"/>
                <w:color w:val="111827"/>
                <w:sz w:val="13"/>
                <w:szCs w:val="13"/>
              </w:rPr>
              <w:t xml:space="preserve">let LocalNow = datetime_utc_to_local(now(), "America/New_York");</w:t>
            </w:r>
          </w:p>
          <w:p>
            <w:pPr>
              <w:spacing w:after="0" w:before="0" w:line="220"/>
            </w:pPr>
            <w:r>
              <w:rPr>
                <w:rFonts w:ascii="Courier New" w:cs="Courier New" w:eastAsia="Courier New" w:hAnsi="Courier New"/>
                <w:color w:val="111827"/>
                <w:sz w:val="13"/>
                <w:szCs w:val="13"/>
              </w:rPr>
              <w:t xml:space="preserve">let LocalDay = startofday(LocalNow);</w:t>
            </w:r>
          </w:p>
          <w:p>
            <w:pPr>
              <w:spacing w:after="0" w:before="0" w:line="220"/>
            </w:pPr>
            <w:r>
              <w:rPr>
                <w:rFonts w:ascii="Courier New" w:cs="Courier New" w:eastAsia="Courier New" w:hAnsi="Courier New"/>
                <w:color w:val="111827"/>
                <w:sz w:val="13"/>
                <w:szCs w:val="13"/>
              </w:rPr>
              <w:t xml:space="preserve">IngestLedger_CL</w:t>
            </w:r>
          </w:p>
          <w:p>
            <w:pPr>
              <w:spacing w:after="0" w:before="0" w:line="220"/>
            </w:pPr>
            <w:r>
              <w:rPr>
                <w:rFonts w:ascii="Courier New" w:cs="Courier New" w:eastAsia="Courier New" w:hAnsi="Courier New"/>
                <w:color w:val="111827"/>
                <w:sz w:val="13"/>
                <w:szCs w:val="13"/>
              </w:rPr>
              <w:t xml:space="preserve">| where TimeGenerated &gt; ago(12h) and PartnerId == "P-003"</w:t>
            </w:r>
          </w:p>
          <w:p>
            <w:pPr>
              <w:spacing w:after="0" w:before="0" w:line="220"/>
            </w:pPr>
            <w:r>
              <w:rPr>
                <w:rFonts w:ascii="Courier New" w:cs="Courier New" w:eastAsia="Courier New" w:hAnsi="Courier New"/>
                <w:color w:val="111827"/>
                <w:sz w:val="13"/>
                <w:szCs w:val="13"/>
              </w:rPr>
              <w:t xml:space="preserve">| extend LocalTime = datetime_utc_to_local(TimeGenerated, "America/New_York")</w:t>
            </w:r>
          </w:p>
          <w:p>
            <w:pPr>
              <w:spacing w:after="0" w:before="0" w:line="220"/>
            </w:pPr>
            <w:r>
              <w:rPr>
                <w:rFonts w:ascii="Courier New" w:cs="Courier New" w:eastAsia="Courier New" w:hAnsi="Courier New"/>
                <w:color w:val="111827"/>
                <w:sz w:val="13"/>
                <w:szCs w:val="13"/>
              </w:rPr>
              <w:t xml:space="preserve">| where LocalTime &gt;= LocalDay</w:t>
            </w:r>
          </w:p>
          <w:p>
            <w:pPr>
              <w:spacing w:after="0" w:before="0" w:line="220"/>
            </w:pPr>
            <w:r>
              <w:rPr>
                <w:rFonts w:ascii="Courier New" w:cs="Courier New" w:eastAsia="Courier New" w:hAnsi="Courier New"/>
                <w:color w:val="111827"/>
                <w:sz w:val="13"/>
                <w:szCs w:val="13"/>
              </w:rPr>
              <w:t xml:space="preserve">| summarize ManifestAt = minif(LocalTime, Stage == "Received"), ReconciledAt = minif(LocalTime, Stage == "Reconcile")</w:t>
            </w:r>
          </w:p>
          <w:p>
            <w:pPr>
              <w:spacing w:after="0" w:before="0" w:line="220"/>
            </w:pPr>
            <w:r>
              <w:rPr>
                <w:rFonts w:ascii="Courier New" w:cs="Courier New" w:eastAsia="Courier New" w:hAnsi="Courier New"/>
                <w:color w:val="111827"/>
                <w:sz w:val="13"/>
                <w:szCs w:val="13"/>
              </w:rPr>
              <w:t xml:space="preserve">| extend Severity = case(isnull(ReconciledAt) and LocalNow &gt;= LocalDay + 4h + 30m, "P1",</w:t>
            </w:r>
          </w:p>
          <w:p>
            <w:pPr>
              <w:spacing w:after="0" w:before="0" w:line="220"/>
            </w:pPr>
            <w:r>
              <w:rPr>
                <w:rFonts w:ascii="Courier New" w:cs="Courier New" w:eastAsia="Courier New" w:hAnsi="Courier New"/>
                <w:color w:val="111827"/>
                <w:sz w:val="13"/>
                <w:szCs w:val="13"/>
              </w:rPr>
              <w:t xml:space="preserve">                         isnull(ManifestAt) and LocalNow &gt;= LocalDay + 2h, "P2", "OK")</w:t>
            </w:r>
          </w:p>
        </w:tc>
      </w:tr>
    </w:tbl>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12"/>
      </w:tblGrid>
      <w:tr>
        <w:trPr>
          <w:cantSplit w:val="false"/>
        </w:trPr>
        <w:tc>
          <w:tcPr>
            <w:tcW w:type="dxa" w:w="10512"/>
            <w:tcBorders>
              <w:top w:val="single" w:color="BFC7D5" w:sz="4"/>
              <w:left w:val="single" w:color="0F6CBD" w:sz="18"/>
              <w:bottom w:val="single" w:color="BFC7D5" w:sz="4"/>
              <w:right w:val="single" w:color="BFC7D5" w:sz="4"/>
            </w:tcBorders>
            <w:shd w:fill="F3F4F6" w:color="auto" w:val="clear"/>
            <w:tcMar>
              <w:top w:type="dxa" w:w="40"/>
              <w:left w:type="dxa" w:w="90"/>
              <w:bottom w:type="dxa" w:w="40"/>
              <w:right w:type="dxa" w:w="60"/>
            </w:tcMar>
          </w:tcPr>
          <w:p>
            <w:pPr>
              <w:spacing w:after="0" w:before="0" w:line="220"/>
            </w:pPr>
            <w:r>
              <w:rPr>
                <w:rFonts w:ascii="Courier New" w:cs="Courier New" w:eastAsia="Courier New" w:hAnsi="Courier New"/>
                <w:color w:val="4B5563"/>
                <w:sz w:val="13"/>
                <w:szCs w:val="13"/>
              </w:rPr>
              <w:t xml:space="preserve">// KQL-07  SLO-06 quarantine backlog and oldest item per partner (alert A7)</w:t>
            </w:r>
          </w:p>
          <w:p>
            <w:pPr>
              <w:spacing w:after="0" w:before="0" w:line="220"/>
            </w:pPr>
            <w:r>
              <w:rPr>
                <w:rFonts w:ascii="Courier New" w:cs="Courier New" w:eastAsia="Courier New" w:hAnsi="Courier New"/>
                <w:color w:val="111827"/>
                <w:sz w:val="13"/>
                <w:szCs w:val="13"/>
              </w:rPr>
              <w:t xml:space="preserve">IngestLedger_CL</w:t>
            </w:r>
          </w:p>
          <w:p>
            <w:pPr>
              <w:spacing w:after="0" w:before="0" w:line="220"/>
            </w:pPr>
            <w:r>
              <w:rPr>
                <w:rFonts w:ascii="Courier New" w:cs="Courier New" w:eastAsia="Courier New" w:hAnsi="Courier New"/>
                <w:color w:val="111827"/>
                <w:sz w:val="13"/>
                <w:szCs w:val="13"/>
              </w:rPr>
              <w:t xml:space="preserve">| where TimeGenerated &gt; ago(14d) and Stage in ("Quarantined", "QuarantineResolved")</w:t>
            </w:r>
          </w:p>
          <w:p>
            <w:pPr>
              <w:spacing w:after="0" w:before="0" w:line="220"/>
            </w:pPr>
            <w:r>
              <w:rPr>
                <w:rFonts w:ascii="Courier New" w:cs="Courier New" w:eastAsia="Courier New" w:hAnsi="Courier New"/>
                <w:color w:val="111827"/>
                <w:sz w:val="13"/>
                <w:szCs w:val="13"/>
              </w:rPr>
              <w:t xml:space="preserve">| summarize arg_max(TimeGenerated, Stage, FailureCode) by PartnerId, CorrelationId</w:t>
            </w:r>
          </w:p>
          <w:p>
            <w:pPr>
              <w:spacing w:after="0" w:before="0" w:line="220"/>
            </w:pPr>
            <w:r>
              <w:rPr>
                <w:rFonts w:ascii="Courier New" w:cs="Courier New" w:eastAsia="Courier New" w:hAnsi="Courier New"/>
                <w:color w:val="111827"/>
                <w:sz w:val="13"/>
                <w:szCs w:val="13"/>
              </w:rPr>
              <w:t xml:space="preserve">| where Stage == "Quarantined"</w:t>
            </w:r>
          </w:p>
          <w:p>
            <w:pPr>
              <w:spacing w:after="0" w:before="0" w:line="220"/>
            </w:pPr>
            <w:r>
              <w:rPr>
                <w:rFonts w:ascii="Courier New" w:cs="Courier New" w:eastAsia="Courier New" w:hAnsi="Courier New"/>
                <w:color w:val="111827"/>
                <w:sz w:val="13"/>
                <w:szCs w:val="13"/>
              </w:rPr>
              <w:t xml:space="preserve">| summarize Backlog = count(), OldestMinutes = datetime_diff('minute', now(), min(TimeGenerated)),</w:t>
            </w:r>
          </w:p>
          <w:p>
            <w:pPr>
              <w:spacing w:after="0" w:before="0" w:line="220"/>
            </w:pPr>
            <w:r>
              <w:rPr>
                <w:rFonts w:ascii="Courier New" w:cs="Courier New" w:eastAsia="Courier New" w:hAnsi="Courier New"/>
                <w:color w:val="111827"/>
                <w:sz w:val="13"/>
                <w:szCs w:val="13"/>
              </w:rPr>
              <w:t xml:space="preserve">            TopCodes = make_set(FailureCode, 5) by PartnerId</w:t>
            </w:r>
          </w:p>
          <w:p>
            <w:pPr>
              <w:spacing w:after="0" w:before="0" w:line="220"/>
            </w:pPr>
            <w:r>
              <w:rPr>
                <w:rFonts w:ascii="Courier New" w:cs="Courier New" w:eastAsia="Courier New" w:hAnsi="Courier New"/>
                <w:color w:val="111827"/>
                <w:sz w:val="13"/>
                <w:szCs w:val="13"/>
              </w:rPr>
              <w:t xml:space="preserve">| extend Severity = case(Backlog &gt;= 10000 or (Backlog &gt;= 5000 and OldestMinutes &gt;= 60), "P1",</w:t>
            </w:r>
          </w:p>
          <w:p>
            <w:pPr>
              <w:spacing w:after="0" w:before="0" w:line="220"/>
            </w:pPr>
            <w:r>
              <w:rPr>
                <w:rFonts w:ascii="Courier New" w:cs="Courier New" w:eastAsia="Courier New" w:hAnsi="Courier New"/>
                <w:color w:val="111827"/>
                <w:sz w:val="13"/>
                <w:szCs w:val="13"/>
              </w:rPr>
              <w:t xml:space="preserve">                         Backlog &gt;= 5000 or OldestMinutes &gt;= 60, "P2", "OK")</w:t>
            </w:r>
          </w:p>
        </w:tc>
      </w:tr>
    </w:tbl>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12"/>
      </w:tblGrid>
      <w:tr>
        <w:trPr>
          <w:cantSplit w:val="false"/>
        </w:trPr>
        <w:tc>
          <w:tcPr>
            <w:tcW w:type="dxa" w:w="10512"/>
            <w:tcBorders>
              <w:top w:val="single" w:color="BFC7D5" w:sz="4"/>
              <w:left w:val="single" w:color="0F6CBD" w:sz="18"/>
              <w:bottom w:val="single" w:color="BFC7D5" w:sz="4"/>
              <w:right w:val="single" w:color="BFC7D5" w:sz="4"/>
            </w:tcBorders>
            <w:shd w:fill="F3F4F6" w:color="auto" w:val="clear"/>
            <w:tcMar>
              <w:top w:type="dxa" w:w="40"/>
              <w:left w:type="dxa" w:w="90"/>
              <w:bottom w:type="dxa" w:w="40"/>
              <w:right w:type="dxa" w:w="60"/>
            </w:tcMar>
          </w:tcPr>
          <w:p>
            <w:pPr>
              <w:spacing w:after="0" w:before="0" w:line="220"/>
            </w:pPr>
            <w:r>
              <w:rPr>
                <w:rFonts w:ascii="Courier New" w:cs="Courier New" w:eastAsia="Courier New" w:hAnsi="Courier New"/>
                <w:color w:val="4B5563"/>
                <w:sz w:val="13"/>
                <w:szCs w:val="13"/>
              </w:rPr>
              <w:t xml:space="preserve">// KQL-08  SLO-07 duplicate resources after a replay: pass = no rows (alert A8)</w:t>
            </w:r>
          </w:p>
          <w:p>
            <w:pPr>
              <w:spacing w:after="0" w:before="0" w:line="220"/>
            </w:pPr>
            <w:r>
              <w:rPr>
                <w:rFonts w:ascii="Courier New" w:cs="Courier New" w:eastAsia="Courier New" w:hAnsi="Courier New"/>
                <w:color w:val="111827"/>
                <w:sz w:val="13"/>
                <w:szCs w:val="13"/>
              </w:rPr>
              <w:t xml:space="preserve">let ReplayIdParam = "&lt;REPLAY_ID&gt;";</w:t>
            </w:r>
          </w:p>
          <w:p>
            <w:pPr>
              <w:spacing w:after="0" w:before="0" w:line="220"/>
            </w:pPr>
            <w:r>
              <w:rPr>
                <w:rFonts w:ascii="Courier New" w:cs="Courier New" w:eastAsia="Courier New" w:hAnsi="Courier New"/>
                <w:color w:val="111827"/>
                <w:sz w:val="13"/>
                <w:szCs w:val="13"/>
              </w:rPr>
              <w:t xml:space="preserve">let Touched = IngestLedger_CL</w:t>
            </w:r>
          </w:p>
          <w:p>
            <w:pPr>
              <w:spacing w:after="0" w:before="0" w:line="220"/>
            </w:pPr>
            <w:r>
              <w:rPr>
                <w:rFonts w:ascii="Courier New" w:cs="Courier New" w:eastAsia="Courier New" w:hAnsi="Courier New"/>
                <w:color w:val="111827"/>
                <w:sz w:val="13"/>
                <w:szCs w:val="13"/>
              </w:rPr>
              <w:t xml:space="preserve">    | where TimeGenerated &gt; ago(2d) and ReplayId == ReplayIdParam and Stage == "Persisted"</w:t>
            </w:r>
          </w:p>
          <w:p>
            <w:pPr>
              <w:spacing w:after="0" w:before="0" w:line="220"/>
            </w:pPr>
            <w:r>
              <w:rPr>
                <w:rFonts w:ascii="Courier New" w:cs="Courier New" w:eastAsia="Courier New" w:hAnsi="Courier New"/>
                <w:color w:val="111827"/>
                <w:sz w:val="13"/>
                <w:szCs w:val="13"/>
              </w:rPr>
              <w:t xml:space="preserve">    | distinct PartnerId, ResourceType, BusinessKeyToken;</w:t>
            </w:r>
          </w:p>
          <w:p>
            <w:pPr>
              <w:spacing w:after="0" w:before="0" w:line="220"/>
            </w:pPr>
            <w:r>
              <w:rPr>
                <w:rFonts w:ascii="Courier New" w:cs="Courier New" w:eastAsia="Courier New" w:hAnsi="Courier New"/>
                <w:color w:val="111827"/>
                <w:sz w:val="13"/>
                <w:szCs w:val="13"/>
              </w:rPr>
              <w:t xml:space="preserve">IngestLedger_CL</w:t>
            </w:r>
          </w:p>
          <w:p>
            <w:pPr>
              <w:spacing w:after="0" w:before="0" w:line="220"/>
            </w:pPr>
            <w:r>
              <w:rPr>
                <w:rFonts w:ascii="Courier New" w:cs="Courier New" w:eastAsia="Courier New" w:hAnsi="Courier New"/>
                <w:color w:val="111827"/>
                <w:sz w:val="13"/>
                <w:szCs w:val="13"/>
              </w:rPr>
              <w:t xml:space="preserve">| where TimeGenerated &gt; ago(90d) and Stage == "Persisted"</w:t>
            </w:r>
          </w:p>
          <w:p>
            <w:pPr>
              <w:spacing w:after="0" w:before="0" w:line="220"/>
            </w:pPr>
            <w:r>
              <w:rPr>
                <w:rFonts w:ascii="Courier New" w:cs="Courier New" w:eastAsia="Courier New" w:hAnsi="Courier New"/>
                <w:color w:val="111827"/>
                <w:sz w:val="13"/>
                <w:szCs w:val="13"/>
              </w:rPr>
              <w:t xml:space="preserve">| join kind=inner Touched on PartnerId, ResourceType, BusinessKeyToken</w:t>
            </w:r>
          </w:p>
          <w:p>
            <w:pPr>
              <w:spacing w:after="0" w:before="0" w:line="220"/>
            </w:pPr>
            <w:r>
              <w:rPr>
                <w:rFonts w:ascii="Courier New" w:cs="Courier New" w:eastAsia="Courier New" w:hAnsi="Courier New"/>
                <w:color w:val="111827"/>
                <w:sz w:val="13"/>
                <w:szCs w:val="13"/>
              </w:rPr>
              <w:t xml:space="preserve">| summarize DistinctResources = dcount(ResourceIdToken) by PartnerId, ResourceType, BusinessKeyToken</w:t>
            </w:r>
          </w:p>
          <w:p>
            <w:pPr>
              <w:spacing w:after="0" w:before="0" w:line="220"/>
            </w:pPr>
            <w:r>
              <w:rPr>
                <w:rFonts w:ascii="Courier New" w:cs="Courier New" w:eastAsia="Courier New" w:hAnsi="Courier New"/>
                <w:color w:val="111827"/>
                <w:sz w:val="13"/>
                <w:szCs w:val="13"/>
              </w:rPr>
              <w:t xml:space="preserve">| where DistinctResources &gt; 1</w:t>
            </w:r>
          </w:p>
          <w:p>
            <w:pPr>
              <w:spacing w:after="0" w:before="0" w:line="220"/>
            </w:pPr>
            <w:r>
              <w:rPr>
                <w:rFonts w:ascii="Courier New" w:cs="Courier New" w:eastAsia="Courier New" w:hAnsi="Courier New"/>
                <w:color w:val="111827"/>
                <w:sz w:val="13"/>
                <w:szCs w:val="13"/>
              </w:rPr>
              <w:t xml:space="preserve">| summarize DuplicateKeys = count() by PartnerId, ResourceType</w:t>
            </w:r>
          </w:p>
          <w:p>
            <w:pPr>
              <w:spacing w:after="0" w:before="0" w:line="220"/>
            </w:pPr>
            <w:r>
              <w:rPr>
                <w:rFonts w:ascii="Courier New" w:cs="Courier New" w:eastAsia="Courier New" w:hAnsi="Courier New"/>
                <w:color w:val="4B5563"/>
                <w:sz w:val="13"/>
                <w:szCs w:val="13"/>
              </w:rPr>
              <w:t xml:space="preserve">// Backed by a FHIR-side identifier count (POST _search, _summary=count) on a 1% sample of keys.</w:t>
            </w:r>
          </w:p>
        </w:tc>
      </w:tr>
    </w:tbl>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12"/>
      </w:tblGrid>
      <w:tr>
        <w:trPr>
          <w:cantSplit w:val="false"/>
        </w:trPr>
        <w:tc>
          <w:tcPr>
            <w:tcW w:type="dxa" w:w="10512"/>
            <w:tcBorders>
              <w:top w:val="single" w:color="BFC7D5" w:sz="4"/>
              <w:left w:val="single" w:color="0F6CBD" w:sz="18"/>
              <w:bottom w:val="single" w:color="BFC7D5" w:sz="4"/>
              <w:right w:val="single" w:color="BFC7D5" w:sz="4"/>
            </w:tcBorders>
            <w:shd w:fill="F3F4F6" w:color="auto" w:val="clear"/>
            <w:tcMar>
              <w:top w:type="dxa" w:w="40"/>
              <w:left w:type="dxa" w:w="90"/>
              <w:bottom w:type="dxa" w:w="40"/>
              <w:right w:type="dxa" w:w="60"/>
            </w:tcMar>
          </w:tcPr>
          <w:p>
            <w:pPr>
              <w:spacing w:after="0" w:before="0" w:line="220"/>
            </w:pPr>
            <w:r>
              <w:rPr>
                <w:rFonts w:ascii="Courier New" w:cs="Courier New" w:eastAsia="Courier New" w:hAnsi="Courier New"/>
                <w:color w:val="4B5563"/>
                <w:sz w:val="13"/>
                <w:szCs w:val="13"/>
              </w:rPr>
              <w:t xml:space="preserve">// KQL-09  Automation actions on ePHI-bearing systems; any missing approval is a P1 control failure (A10)</w:t>
            </w:r>
          </w:p>
          <w:p>
            <w:pPr>
              <w:spacing w:after="0" w:before="0" w:line="220"/>
            </w:pPr>
            <w:r>
              <w:rPr>
                <w:rFonts w:ascii="Courier New" w:cs="Courier New" w:eastAsia="Courier New" w:hAnsi="Courier New"/>
                <w:color w:val="111827"/>
                <w:sz w:val="13"/>
                <w:szCs w:val="13"/>
              </w:rPr>
              <w:t xml:space="preserve">AutomationAudit_CL</w:t>
            </w:r>
          </w:p>
          <w:p>
            <w:pPr>
              <w:spacing w:after="0" w:before="0" w:line="220"/>
            </w:pPr>
            <w:r>
              <w:rPr>
                <w:rFonts w:ascii="Courier New" w:cs="Courier New" w:eastAsia="Courier New" w:hAnsi="Courier New"/>
                <w:color w:val="111827"/>
                <w:sz w:val="13"/>
                <w:szCs w:val="13"/>
              </w:rPr>
              <w:t xml:space="preserve">| where TimeGenerated &gt; ago(24h) and TouchesEphiSystem == true</w:t>
            </w:r>
          </w:p>
          <w:p>
            <w:pPr>
              <w:spacing w:after="0" w:before="0" w:line="220"/>
            </w:pPr>
            <w:r>
              <w:rPr>
                <w:rFonts w:ascii="Courier New" w:cs="Courier New" w:eastAsia="Courier New" w:hAnsi="Courier New"/>
                <w:color w:val="111827"/>
                <w:sz w:val="13"/>
                <w:szCs w:val="13"/>
              </w:rPr>
              <w:t xml:space="preserve">| extend MissingApproval = ApprovalRequired == true and isempty(ApprovalId)</w:t>
            </w:r>
          </w:p>
          <w:p>
            <w:pPr>
              <w:spacing w:after="0" w:before="0" w:line="220"/>
            </w:pPr>
            <w:r>
              <w:rPr>
                <w:rFonts w:ascii="Courier New" w:cs="Courier New" w:eastAsia="Courier New" w:hAnsi="Courier New"/>
                <w:color w:val="111827"/>
                <w:sz w:val="13"/>
                <w:szCs w:val="13"/>
              </w:rPr>
              <w:t xml:space="preserve">| summarize Actions = count(), Failed = countif(Result != "Succeeded"), MissingApprovals = countif(MissingApproval)</w:t>
            </w:r>
          </w:p>
          <w:p>
            <w:pPr>
              <w:spacing w:after="0" w:before="0" w:line="220"/>
            </w:pPr>
            <w:r>
              <w:rPr>
                <w:rFonts w:ascii="Courier New" w:cs="Courier New" w:eastAsia="Courier New" w:hAnsi="Courier New"/>
                <w:color w:val="111827"/>
                <w:sz w:val="13"/>
                <w:szCs w:val="13"/>
              </w:rPr>
              <w:t xml:space="preserve">    by AutomationId, Action, PartnerId</w:t>
            </w:r>
          </w:p>
          <w:p>
            <w:pPr>
              <w:spacing w:after="0" w:before="0" w:line="220"/>
            </w:pPr>
            <w:r>
              <w:rPr>
                <w:rFonts w:ascii="Courier New" w:cs="Courier New" w:eastAsia="Courier New" w:hAnsi="Courier New"/>
                <w:color w:val="111827"/>
                <w:sz w:val="13"/>
                <w:szCs w:val="13"/>
              </w:rPr>
              <w:t xml:space="preserve">| order by MissingApprovals desc, Actions desc</w:t>
            </w:r>
          </w:p>
        </w:tc>
      </w:tr>
    </w:tbl>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12"/>
      </w:tblGrid>
      <w:tr>
        <w:trPr>
          <w:cantSplit w:val="false"/>
        </w:trPr>
        <w:tc>
          <w:tcPr>
            <w:tcW w:type="dxa" w:w="10512"/>
            <w:tcBorders>
              <w:top w:val="single" w:color="BFC7D5" w:sz="4"/>
              <w:left w:val="single" w:color="0F6CBD" w:sz="18"/>
              <w:bottom w:val="single" w:color="BFC7D5" w:sz="4"/>
              <w:right w:val="single" w:color="BFC7D5" w:sz="4"/>
            </w:tcBorders>
            <w:shd w:fill="F3F4F6" w:color="auto" w:val="clear"/>
            <w:tcMar>
              <w:top w:type="dxa" w:w="40"/>
              <w:left w:type="dxa" w:w="90"/>
              <w:bottom w:type="dxa" w:w="40"/>
              <w:right w:type="dxa" w:w="60"/>
            </w:tcMar>
          </w:tcPr>
          <w:p>
            <w:pPr>
              <w:spacing w:after="0" w:before="0" w:line="220"/>
            </w:pPr>
            <w:r>
              <w:rPr>
                <w:rFonts w:ascii="Courier New" w:cs="Courier New" w:eastAsia="Courier New" w:hAnsi="Courier New"/>
                <w:color w:val="4B5563"/>
                <w:sz w:val="13"/>
                <w:szCs w:val="13"/>
              </w:rPr>
              <w:t xml:space="preserve">// KQL-10  Payload-leak scan of telemetry text fields; report table and counts only, never the text (A10)</w:t>
            </w:r>
          </w:p>
          <w:p>
            <w:pPr>
              <w:spacing w:after="0" w:before="0" w:line="220"/>
            </w:pPr>
            <w:r>
              <w:rPr>
                <w:rFonts w:ascii="Courier New" w:cs="Courier New" w:eastAsia="Courier New" w:hAnsi="Courier New"/>
                <w:color w:val="111827"/>
                <w:sz w:val="13"/>
                <w:szCs w:val="13"/>
              </w:rPr>
              <w:t xml:space="preserve">union isfuzzy=true</w:t>
            </w:r>
          </w:p>
          <w:p>
            <w:pPr>
              <w:spacing w:after="0" w:before="0" w:line="220"/>
            </w:pPr>
            <w:r>
              <w:rPr>
                <w:rFonts w:ascii="Courier New" w:cs="Courier New" w:eastAsia="Courier New" w:hAnsi="Courier New"/>
                <w:color w:val="111827"/>
                <w:sz w:val="13"/>
                <w:szCs w:val="13"/>
              </w:rPr>
              <w:t xml:space="preserve">    (AppTraces       | where TimeGenerated &gt; ago(1d) | project TimeGenerated, SourceTable = "AppTraces", Text = Message),</w:t>
            </w:r>
          </w:p>
          <w:p>
            <w:pPr>
              <w:spacing w:after="0" w:before="0" w:line="220"/>
            </w:pPr>
            <w:r>
              <w:rPr>
                <w:rFonts w:ascii="Courier New" w:cs="Courier New" w:eastAsia="Courier New" w:hAnsi="Courier New"/>
                <w:color w:val="111827"/>
                <w:sz w:val="13"/>
                <w:szCs w:val="13"/>
              </w:rPr>
              <w:t xml:space="preserve">    (AppExceptions   | where TimeGenerated &gt; ago(1d) | project TimeGenerated, SourceTable = "AppExceptions", Text = OuterMessage),</w:t>
            </w:r>
          </w:p>
          <w:p>
            <w:pPr>
              <w:spacing w:after="0" w:before="0" w:line="220"/>
            </w:pPr>
            <w:r>
              <w:rPr>
                <w:rFonts w:ascii="Courier New" w:cs="Courier New" w:eastAsia="Courier New" w:hAnsi="Courier New"/>
                <w:color w:val="111827"/>
                <w:sz w:val="13"/>
                <w:szCs w:val="13"/>
              </w:rPr>
              <w:t xml:space="preserve">    (IngestLedger_CL | where TimeGenerated &gt; ago(1d) | project TimeGenerated, SourceTable = "IngestLedger_CL", Text = FailureDetail)</w:t>
            </w:r>
          </w:p>
          <w:p>
            <w:pPr>
              <w:spacing w:after="0" w:before="0" w:line="220"/>
            </w:pPr>
            <w:r>
              <w:rPr>
                <w:rFonts w:ascii="Courier New" w:cs="Courier New" w:eastAsia="Courier New" w:hAnsi="Courier New"/>
                <w:color w:val="111827"/>
                <w:sz w:val="13"/>
                <w:szCs w:val="13"/>
              </w:rPr>
              <w:t xml:space="preserve">| where Text matches regex @'(^|[\r\n])(MSH|PID|PV1|OBX)\|'     // HL7v2 segment</w:t>
            </w:r>
          </w:p>
          <w:p>
            <w:pPr>
              <w:spacing w:after="0" w:before="0" w:line="220"/>
            </w:pPr>
            <w:r>
              <w:rPr>
                <w:rFonts w:ascii="Courier New" w:cs="Courier New" w:eastAsia="Courier New" w:hAnsi="Courier New"/>
                <w:color w:val="111827"/>
                <w:sz w:val="13"/>
                <w:szCs w:val="13"/>
              </w:rPr>
              <w:t xml:space="preserve">     or Text matches regex @'"resourceType"\s*:'               // FHIR JSON</w:t>
            </w:r>
          </w:p>
          <w:p>
            <w:pPr>
              <w:spacing w:after="0" w:before="0" w:line="220"/>
            </w:pPr>
            <w:r>
              <w:rPr>
                <w:rFonts w:ascii="Courier New" w:cs="Courier New" w:eastAsia="Courier New" w:hAnsi="Courier New"/>
                <w:color w:val="111827"/>
                <w:sz w:val="13"/>
                <w:szCs w:val="13"/>
              </w:rPr>
              <w:t xml:space="preserve">     or Text matches regex @'\b\d{3}-\d{2}-\d{4}\b'              // SSN-like</w:t>
            </w:r>
          </w:p>
          <w:p>
            <w:pPr>
              <w:spacing w:after="0" w:before="0" w:line="220"/>
            </w:pPr>
            <w:r>
              <w:rPr>
                <w:rFonts w:ascii="Courier New" w:cs="Courier New" w:eastAsia="Courier New" w:hAnsi="Courier New"/>
                <w:color w:val="111827"/>
                <w:sz w:val="13"/>
                <w:szCs w:val="13"/>
              </w:rPr>
              <w:t xml:space="preserve">     or Text matches regex @'(?i)bearer\s+[a-z0-9._-]{20,}'     // access token</w:t>
            </w:r>
          </w:p>
          <w:p>
            <w:pPr>
              <w:spacing w:after="0" w:before="0" w:line="220"/>
            </w:pPr>
            <w:r>
              <w:rPr>
                <w:rFonts w:ascii="Courier New" w:cs="Courier New" w:eastAsia="Courier New" w:hAnsi="Courier New"/>
                <w:color w:val="111827"/>
                <w:sz w:val="13"/>
                <w:szCs w:val="13"/>
              </w:rPr>
              <w:t xml:space="preserve">| summarize Hits = count(), FirstSeen = min(TimeGenerated) by SourceTable</w:t>
            </w:r>
          </w:p>
        </w:tc>
      </w:tr>
    </w:tbl>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12"/>
      </w:tblGrid>
      <w:tr>
        <w:trPr>
          <w:cantSplit w:val="false"/>
        </w:trPr>
        <w:tc>
          <w:tcPr>
            <w:tcW w:type="dxa" w:w="10512"/>
            <w:tcBorders>
              <w:top w:val="single" w:color="BFC7D5" w:sz="4"/>
              <w:left w:val="single" w:color="0F6CBD" w:sz="18"/>
              <w:bottom w:val="single" w:color="BFC7D5" w:sz="4"/>
              <w:right w:val="single" w:color="BFC7D5" w:sz="4"/>
            </w:tcBorders>
            <w:shd w:fill="F3F4F6" w:color="auto" w:val="clear"/>
            <w:tcMar>
              <w:top w:type="dxa" w:w="40"/>
              <w:left w:type="dxa" w:w="90"/>
              <w:bottom w:type="dxa" w:w="40"/>
              <w:right w:type="dxa" w:w="60"/>
            </w:tcMar>
          </w:tcPr>
          <w:p>
            <w:pPr>
              <w:spacing w:after="0" w:before="0" w:line="220"/>
            </w:pPr>
            <w:r>
              <w:rPr>
                <w:rFonts w:ascii="Courier New" w:cs="Courier New" w:eastAsia="Courier New" w:hAnsi="Courier New"/>
                <w:color w:val="4B5563"/>
                <w:sz w:val="13"/>
                <w:szCs w:val="13"/>
              </w:rPr>
              <w:t xml:space="preserve">// KQL-11  Break-glass sign-ins and PIM activations (S4, S8)</w:t>
            </w:r>
          </w:p>
          <w:p>
            <w:pPr>
              <w:spacing w:after="0" w:before="0" w:line="220"/>
            </w:pPr>
            <w:r>
              <w:rPr>
                <w:rFonts w:ascii="Courier New" w:cs="Courier New" w:eastAsia="Courier New" w:hAnsi="Courier New"/>
                <w:color w:val="111827"/>
                <w:sz w:val="13"/>
                <w:szCs w:val="13"/>
              </w:rPr>
              <w:t xml:space="preserve">SigninLogs</w:t>
            </w:r>
          </w:p>
          <w:p>
            <w:pPr>
              <w:spacing w:after="0" w:before="0" w:line="220"/>
            </w:pPr>
            <w:r>
              <w:rPr>
                <w:rFonts w:ascii="Courier New" w:cs="Courier New" w:eastAsia="Courier New" w:hAnsi="Courier New"/>
                <w:color w:val="111827"/>
                <w:sz w:val="13"/>
                <w:szCs w:val="13"/>
              </w:rPr>
              <w:t xml:space="preserve">| where TimeGenerated &gt; ago(24h) and UserPrincipalName in~ ("&lt;BREAKGLASS_UPN_1&gt;", "&lt;BREAKGLASS_UPN_2&gt;")</w:t>
            </w:r>
          </w:p>
          <w:p>
            <w:pPr>
              <w:spacing w:after="0" w:before="0" w:line="220"/>
            </w:pPr>
            <w:r>
              <w:rPr>
                <w:rFonts w:ascii="Courier New" w:cs="Courier New" w:eastAsia="Courier New" w:hAnsi="Courier New"/>
                <w:color w:val="111827"/>
                <w:sz w:val="13"/>
                <w:szCs w:val="13"/>
              </w:rPr>
              <w:t xml:space="preserve">| project TimeGenerated, UserPrincipalName, ResultType, AppDisplayName, ConditionalAccessStatus</w:t>
            </w:r>
          </w:p>
          <w:p>
            <w:pPr>
              <w:spacing w:after="0" w:before="0" w:line="220"/>
            </w:pPr>
            <w:r>
              <w:rPr>
                <w:rFonts w:ascii="Courier New" w:cs="Courier New" w:eastAsia="Courier New" w:hAnsi="Courier New"/>
                <w:color w:val="111827"/>
                <w:sz w:val="13"/>
                <w:szCs w:val="13"/>
              </w:rPr>
              <w:t xml:space="preserve"> </w:t>
            </w:r>
          </w:p>
          <w:p>
            <w:pPr>
              <w:spacing w:after="0" w:before="0" w:line="220"/>
            </w:pPr>
            <w:r>
              <w:rPr>
                <w:rFonts w:ascii="Courier New" w:cs="Courier New" w:eastAsia="Courier New" w:hAnsi="Courier New"/>
                <w:color w:val="111827"/>
                <w:sz w:val="13"/>
                <w:szCs w:val="13"/>
              </w:rPr>
              <w:t xml:space="preserve">AuditLogs</w:t>
            </w:r>
          </w:p>
          <w:p>
            <w:pPr>
              <w:spacing w:after="0" w:before="0" w:line="220"/>
            </w:pPr>
            <w:r>
              <w:rPr>
                <w:rFonts w:ascii="Courier New" w:cs="Courier New" w:eastAsia="Courier New" w:hAnsi="Courier New"/>
                <w:color w:val="111827"/>
                <w:sz w:val="13"/>
                <w:szCs w:val="13"/>
              </w:rPr>
              <w:t xml:space="preserve">| where TimeGenerated &gt; ago(7d) and Category == "RoleManagement" and OperationName has "PIM activation"</w:t>
            </w:r>
          </w:p>
          <w:p>
            <w:pPr>
              <w:spacing w:after="0" w:before="0" w:line="220"/>
            </w:pPr>
            <w:r>
              <w:rPr>
                <w:rFonts w:ascii="Courier New" w:cs="Courier New" w:eastAsia="Courier New" w:hAnsi="Courier New"/>
                <w:color w:val="111827"/>
                <w:sz w:val="13"/>
                <w:szCs w:val="13"/>
              </w:rPr>
              <w:t xml:space="preserve">| project TimeGenerated, OperationName, Identity, Result</w:t>
            </w:r>
          </w:p>
        </w:tc>
      </w:tr>
    </w:tbl>
    <w:p>
      <w:pPr>
        <w:keepNext/>
        <w:spacing w:after="30" w:before="60"/>
      </w:pPr>
      <w:r>
        <w:rPr>
          <w:rFonts w:ascii="Calibri" w:cs="Calibri" w:eastAsia="Calibri" w:hAnsi="Calibri"/>
          <w:b/>
          <w:bCs/>
          <w:color w:val="1F3864"/>
          <w:sz w:val="16"/>
          <w:szCs w:val="16"/>
        </w:rPr>
        <w:t xml:space="preserve">Table A1. Query records (template "learner query record" fields, condensed).</w:t>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6"/>
        <w:gridCol w:w="1802"/>
        <w:gridCol w:w="2403"/>
        <w:gridCol w:w="2027"/>
        <w:gridCol w:w="1427"/>
        <w:gridCol w:w="2027"/>
      </w:tblGrid>
      <w:tr>
        <w:trPr>
          <w:cantSplit/>
          <w:tblHeader/>
        </w:trPr>
        <w:tc>
          <w:tcPr>
            <w:tcW w:type="dxa" w:w="826"/>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Query</w:t>
            </w:r>
          </w:p>
        </w:tc>
        <w:tc>
          <w:tcPr>
            <w:tcW w:type="dxa" w:w="1802"/>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Table mode</w:t>
            </w:r>
          </w:p>
        </w:tc>
        <w:tc>
          <w:tcPr>
            <w:tcW w:type="dxa" w:w="2403"/>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PHI exposure review</w:t>
            </w:r>
          </w:p>
        </w:tc>
        <w:tc>
          <w:tcPr>
            <w:tcW w:type="dxa" w:w="2027"/>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Threshold basis</w:t>
            </w:r>
          </w:p>
        </w:tc>
        <w:tc>
          <w:tcPr>
            <w:tcW w:type="dxa" w:w="1427"/>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Severity; eval</w:t>
            </w:r>
          </w:p>
        </w:tc>
        <w:tc>
          <w:tcPr>
            <w:tcW w:type="dxa" w:w="2027"/>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Validation; limitation</w:t>
            </w:r>
          </w:p>
        </w:tc>
      </w:tr>
      <w:tr>
        <w:trPr>
          <w:cantSplit/>
          <w:tblHeader w:val="false"/>
        </w:trPr>
        <w:tc>
          <w:tcPr>
            <w:tcW w:type="dxa" w:w="82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KQL-01</w:t>
            </w:r>
          </w:p>
        </w:tc>
        <w:tc>
          <w:tcPr>
            <w:tcW w:type="dxa" w:w="180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Custom DCR (A-06)</w:t>
            </w:r>
          </w:p>
        </w:tc>
        <w:tc>
          <w:tcPr>
            <w:tcW w:type="dxa" w:w="240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Counts only</w:t>
            </w:r>
          </w:p>
        </w:tc>
        <w:tc>
          <w:tcPr>
            <w:tcW w:type="dxa" w:w="2027"/>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SLO-01</w:t>
            </w:r>
          </w:p>
        </w:tc>
        <w:tc>
          <w:tcPr>
            <w:tcW w:type="dxa" w:w="1427"/>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P1/P2; 5 min</w:t>
            </w:r>
          </w:p>
        </w:tc>
        <w:tc>
          <w:tcPr>
            <w:tcW w:type="dxa" w:w="2027"/>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Injected failures; needs settle delay</w:t>
            </w:r>
          </w:p>
        </w:tc>
      </w:tr>
      <w:tr>
        <w:trPr>
          <w:cantSplit/>
          <w:tblHeader w:val="false"/>
        </w:trPr>
        <w:tc>
          <w:tcPr>
            <w:tcW w:type="dxa" w:w="82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KQL-02</w:t>
            </w:r>
          </w:p>
        </w:tc>
        <w:tc>
          <w:tcPr>
            <w:tcW w:type="dxa" w:w="180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Custom + ApiManagementGatewayLogs</w:t>
            </w:r>
          </w:p>
        </w:tc>
        <w:tc>
          <w:tcPr>
            <w:tcW w:type="dxa" w:w="2403"/>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Url never projected</w:t>
            </w:r>
          </w:p>
        </w:tc>
        <w:tc>
          <w:tcPr>
            <w:tcW w:type="dxa" w:w="2027"/>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SLO-02 partner targets</w:t>
            </w:r>
          </w:p>
        </w:tc>
        <w:tc>
          <w:tcPr>
            <w:tcW w:type="dxa" w:w="1427"/>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P2; 15 min</w:t>
            </w:r>
          </w:p>
        </w:tc>
        <w:tc>
          <w:tcPr>
            <w:tcW w:type="dxa" w:w="2027"/>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Synthetic timing; tune after 2 weeks</w:t>
            </w:r>
          </w:p>
        </w:tc>
      </w:tr>
      <w:tr>
        <w:trPr>
          <w:cantSplit/>
          <w:tblHeader w:val="false"/>
        </w:trPr>
        <w:tc>
          <w:tcPr>
            <w:tcW w:type="dxa" w:w="82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KQL-03</w:t>
            </w:r>
          </w:p>
        </w:tc>
        <w:tc>
          <w:tcPr>
            <w:tcW w:type="dxa" w:w="180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Resource-specific (A-05)</w:t>
            </w:r>
          </w:p>
        </w:tc>
        <w:tc>
          <w:tcPr>
            <w:tcW w:type="dxa" w:w="240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Timestamps only</w:t>
            </w:r>
          </w:p>
        </w:tc>
        <w:tc>
          <w:tcPr>
            <w:tcW w:type="dxa" w:w="2027"/>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SLO-03 (15 min delay + 5)</w:t>
            </w:r>
          </w:p>
        </w:tc>
        <w:tc>
          <w:tcPr>
            <w:tcW w:type="dxa" w:w="1427"/>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P1; 15 min</w:t>
            </w:r>
          </w:p>
        </w:tc>
        <w:tc>
          <w:tcPr>
            <w:tcW w:type="dxa" w:w="2027"/>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Disable a test setting; quiet periods covered by canary</w:t>
            </w:r>
          </w:p>
        </w:tc>
      </w:tr>
      <w:tr>
        <w:trPr>
          <w:cantSplit/>
          <w:tblHeader w:val="false"/>
        </w:trPr>
        <w:tc>
          <w:tcPr>
            <w:tcW w:type="dxa" w:w="82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KQL-04</w:t>
            </w:r>
          </w:p>
        </w:tc>
        <w:tc>
          <w:tcPr>
            <w:tcW w:type="dxa" w:w="180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AzureActivity</w:t>
            </w:r>
          </w:p>
        </w:tc>
        <w:tc>
          <w:tcPr>
            <w:tcW w:type="dxa" w:w="2403"/>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Caller UPN (operational)</w:t>
            </w:r>
          </w:p>
        </w:tc>
        <w:tc>
          <w:tcPr>
            <w:tcW w:type="dxa" w:w="2027"/>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INC-2026-027</w:t>
            </w:r>
          </w:p>
        </w:tc>
        <w:tc>
          <w:tcPr>
            <w:tcW w:type="dxa" w:w="1427"/>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P1; 5 min</w:t>
            </w:r>
          </w:p>
        </w:tc>
        <w:tc>
          <w:tcPr>
            <w:tcW w:type="dxa" w:w="2027"/>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Delete test setting in dev</w:t>
            </w:r>
          </w:p>
        </w:tc>
      </w:tr>
      <w:tr>
        <w:trPr>
          <w:cantSplit/>
          <w:tblHeader w:val="false"/>
        </w:trPr>
        <w:tc>
          <w:tcPr>
            <w:tcW w:type="dxa" w:w="82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KQL-05</w:t>
            </w:r>
          </w:p>
        </w:tc>
        <w:tc>
          <w:tcPr>
            <w:tcW w:type="dxa" w:w="180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Resource-specific</w:t>
            </w:r>
          </w:p>
        </w:tc>
        <w:tc>
          <w:tcPr>
            <w:tcW w:type="dxa" w:w="240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Object ID, IP; no RequestUri</w:t>
            </w:r>
          </w:p>
        </w:tc>
        <w:tc>
          <w:tcPr>
            <w:tcW w:type="dxa" w:w="2027"/>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SLO-05 baseline</w:t>
            </w:r>
          </w:p>
        </w:tc>
        <w:tc>
          <w:tcPr>
            <w:tcW w:type="dxa" w:w="1427"/>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P2; 1 h</w:t>
            </w:r>
          </w:p>
        </w:tc>
        <w:tc>
          <w:tcPr>
            <w:tcW w:type="dxa" w:w="2027"/>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APIM 401s counted separately</w:t>
            </w:r>
          </w:p>
        </w:tc>
      </w:tr>
      <w:tr>
        <w:trPr>
          <w:cantSplit/>
          <w:tblHeader w:val="false"/>
        </w:trPr>
        <w:tc>
          <w:tcPr>
            <w:tcW w:type="dxa" w:w="82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KQL-06/06b</w:t>
            </w:r>
          </w:p>
        </w:tc>
        <w:tc>
          <w:tcPr>
            <w:tcW w:type="dxa" w:w="180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Resource-specific + custom</w:t>
            </w:r>
          </w:p>
        </w:tc>
        <w:tc>
          <w:tcPr>
            <w:tcW w:type="dxa" w:w="2403"/>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Pipeline names only</w:t>
            </w:r>
          </w:p>
        </w:tc>
        <w:tc>
          <w:tcPr>
            <w:tcW w:type="dxa" w:w="2027"/>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SLO-04; partner window</w:t>
            </w:r>
          </w:p>
        </w:tc>
        <w:tc>
          <w:tcPr>
            <w:tcW w:type="dxa" w:w="1427"/>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P1/P2; 5–15 min</w:t>
            </w:r>
          </w:p>
        </w:tc>
        <w:tc>
          <w:tcPr>
            <w:tcW w:type="dxa" w:w="2027"/>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Failed test run</w:t>
            </w:r>
          </w:p>
        </w:tc>
      </w:tr>
      <w:tr>
        <w:trPr>
          <w:cantSplit/>
          <w:tblHeader w:val="false"/>
        </w:trPr>
        <w:tc>
          <w:tcPr>
            <w:tcW w:type="dxa" w:w="82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KQL-07</w:t>
            </w:r>
          </w:p>
        </w:tc>
        <w:tc>
          <w:tcPr>
            <w:tcW w:type="dxa" w:w="180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Custom</w:t>
            </w:r>
          </w:p>
        </w:tc>
        <w:tc>
          <w:tcPr>
            <w:tcW w:type="dxa" w:w="240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Codes and counts</w:t>
            </w:r>
          </w:p>
        </w:tc>
        <w:tc>
          <w:tcPr>
            <w:tcW w:type="dxa" w:w="2027"/>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SLO-06</w:t>
            </w:r>
          </w:p>
        </w:tc>
        <w:tc>
          <w:tcPr>
            <w:tcW w:type="dxa" w:w="1427"/>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P1/P2; 15 min</w:t>
            </w:r>
          </w:p>
        </w:tc>
        <w:tc>
          <w:tcPr>
            <w:tcW w:type="dxa" w:w="2027"/>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Quarantine synthetic items</w:t>
            </w:r>
          </w:p>
        </w:tc>
      </w:tr>
      <w:tr>
        <w:trPr>
          <w:cantSplit/>
          <w:tblHeader w:val="false"/>
        </w:trPr>
        <w:tc>
          <w:tcPr>
            <w:tcW w:type="dxa" w:w="82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KQL-08</w:t>
            </w:r>
          </w:p>
        </w:tc>
        <w:tc>
          <w:tcPr>
            <w:tcW w:type="dxa" w:w="180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Custom</w:t>
            </w:r>
          </w:p>
        </w:tc>
        <w:tc>
          <w:tcPr>
            <w:tcW w:type="dxa" w:w="2403"/>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HMAC tokens only</w:t>
            </w:r>
          </w:p>
        </w:tc>
        <w:tc>
          <w:tcPr>
            <w:tcW w:type="dxa" w:w="2027"/>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SLO-07</w:t>
            </w:r>
          </w:p>
        </w:tc>
        <w:tc>
          <w:tcPr>
            <w:tcW w:type="dxa" w:w="1427"/>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P1; per replay</w:t>
            </w:r>
          </w:p>
        </w:tc>
        <w:tc>
          <w:tcPr>
            <w:tcW w:type="dxa" w:w="2027"/>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Replay test with seeded duplicate</w:t>
            </w:r>
          </w:p>
        </w:tc>
      </w:tr>
      <w:tr>
        <w:trPr>
          <w:cantSplit/>
          <w:tblHeader w:val="false"/>
        </w:trPr>
        <w:tc>
          <w:tcPr>
            <w:tcW w:type="dxa" w:w="82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KQL-09/10</w:t>
            </w:r>
          </w:p>
        </w:tc>
        <w:tc>
          <w:tcPr>
            <w:tcW w:type="dxa" w:w="180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Custom + App Insights</w:t>
            </w:r>
          </w:p>
        </w:tc>
        <w:tc>
          <w:tcPr>
            <w:tcW w:type="dxa" w:w="240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Never returns text</w:t>
            </w:r>
          </w:p>
        </w:tc>
        <w:tc>
          <w:tcPr>
            <w:tcW w:type="dxa" w:w="2027"/>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Control failure</w:t>
            </w:r>
          </w:p>
        </w:tc>
        <w:tc>
          <w:tcPr>
            <w:tcW w:type="dxa" w:w="1427"/>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P1; 1 h</w:t>
            </w:r>
          </w:p>
        </w:tc>
        <w:tc>
          <w:tcPr>
            <w:tcW w:type="dxa" w:w="2027"/>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Seeded synthetic leak string</w:t>
            </w:r>
          </w:p>
        </w:tc>
      </w:tr>
    </w:tbl>
    <w:p>
      <w:pPr>
        <w:keepNext/>
        <w:spacing w:after="30" w:before="60"/>
      </w:pPr>
      <w:r>
        <w:rPr>
          <w:rFonts w:ascii="Calibri" w:cs="Calibri" w:eastAsia="Calibri" w:hAnsi="Calibri"/>
          <w:b/>
          <w:bCs/>
          <w:color w:val="1F3864"/>
          <w:sz w:val="16"/>
          <w:szCs w:val="16"/>
        </w:rPr>
        <w:t xml:space="preserve">Table A2. Custom table schemas (metadata only).</w:t>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52"/>
        <w:gridCol w:w="8560"/>
      </w:tblGrid>
      <w:tr>
        <w:trPr>
          <w:cantSplit/>
          <w:tblHeader/>
        </w:trPr>
        <w:tc>
          <w:tcPr>
            <w:tcW w:type="dxa" w:w="1952"/>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Table</w:t>
            </w:r>
          </w:p>
        </w:tc>
        <w:tc>
          <w:tcPr>
            <w:tcW w:type="dxa" w:w="8560"/>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Columns</w:t>
            </w:r>
          </w:p>
        </w:tc>
      </w:tr>
      <w:tr>
        <w:trPr>
          <w:cantSplit/>
          <w:tblHeader w:val="false"/>
        </w:trPr>
        <w:tc>
          <w:tcPr>
            <w:tcW w:type="dxa" w:w="1952"/>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IngestLedger_CL</w:t>
            </w:r>
          </w:p>
        </w:tc>
        <w:tc>
          <w:tcPr>
            <w:tcW w:type="dxa" w:w="856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TimeGenerated, PartnerId, BatchId, CorrelationId, Stage (Received, Enqueued, Dequeued, Persisted, Quarantined, QuarantineResolved, Imported, Reconcile, Replayed), Result, FailureClass, FailureCode, FailureDetail (fixed code text, ≤200 chars), ItemCount, EndToEndSeconds, ResourceType, BusinessKeyToken and ResourceIdToken (HMAC-SHA256, key in Key Vault), ReplayId; Reconcile rows add WindowStart, Received, Accepted, ValidationRejected, OtherFailed, InFlight</w:t>
            </w:r>
          </w:p>
        </w:tc>
      </w:tr>
      <w:tr>
        <w:trPr>
          <w:cantSplit/>
          <w:tblHeader w:val="false"/>
        </w:trPr>
        <w:tc>
          <w:tcPr>
            <w:tcW w:type="dxa" w:w="1952"/>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AutomationAudit_CL</w:t>
            </w:r>
          </w:p>
        </w:tc>
        <w:tc>
          <w:tcPr>
            <w:tcW w:type="dxa" w:w="856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TimeGenerated, AutomationId, CorrelationId, IncidentId, AlertId, Action, TargetResourceId, PartnerId, ItemCount, TouchesEphiSystem, ApprovalRequired, ApprovalId, ApproverObjectId, ApprovalExpiry, ExecutorObjectId, PreCheck, PostCheck, Result, RollbackRef, Notes (fixed text)</w:t>
            </w:r>
          </w:p>
        </w:tc>
      </w:tr>
    </w:tbl>
    <w:p>
      <w:pPr>
        <w:pStyle w:val="Heading2"/>
        <w:keepNext/>
        <w:spacing w:after="40" w:before="90"/>
      </w:pPr>
      <w:r>
        <w:rPr>
          <w:rFonts w:ascii="Calibri" w:cs="Calibri" w:eastAsia="Calibri" w:hAnsi="Calibri"/>
          <w:b/>
          <w:bCs/>
          <w:color w:val="0F6CBD"/>
          <w:sz w:val="20"/>
          <w:szCs w:val="20"/>
        </w:rPr>
        <w:t xml:space="preserve">B. Pipeline configuration (completed template)</w:t>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12"/>
      </w:tblGrid>
      <w:tr>
        <w:trPr>
          <w:cantSplit w:val="false"/>
        </w:trPr>
        <w:tc>
          <w:tcPr>
            <w:tcW w:type="dxa" w:w="10512"/>
            <w:tcBorders>
              <w:top w:val="single" w:color="BFC7D5" w:sz="4"/>
              <w:left w:val="single" w:color="0F6CBD" w:sz="18"/>
              <w:bottom w:val="single" w:color="BFC7D5" w:sz="4"/>
              <w:right w:val="single" w:color="BFC7D5" w:sz="4"/>
            </w:tcBorders>
            <w:shd w:fill="F3F4F6" w:color="auto" w:val="clear"/>
            <w:tcMar>
              <w:top w:type="dxa" w:w="40"/>
              <w:left w:type="dxa" w:w="90"/>
              <w:bottom w:type="dxa" w:w="40"/>
              <w:right w:type="dxa" w:w="60"/>
            </w:tcMar>
          </w:tcPr>
          <w:p>
            <w:pPr>
              <w:spacing w:after="0" w:before="0" w:line="220"/>
            </w:pPr>
            <w:r>
              <w:rPr>
                <w:rFonts w:ascii="Courier New" w:cs="Courier New" w:eastAsia="Courier New" w:hAnsi="Courier New"/>
                <w:color w:val="111827"/>
                <w:sz w:val="12"/>
                <w:szCs w:val="12"/>
              </w:rPr>
              <w:t xml:space="preserve">{</w:t>
            </w:r>
          </w:p>
          <w:p>
            <w:pPr>
              <w:spacing w:after="0" w:before="0" w:line="220"/>
            </w:pPr>
            <w:r>
              <w:rPr>
                <w:rFonts w:ascii="Courier New" w:cs="Courier New" w:eastAsia="Courier New" w:hAnsi="Courier New"/>
                <w:color w:val="111827"/>
                <w:sz w:val="12"/>
                <w:szCs w:val="12"/>
              </w:rPr>
              <w:t xml:space="preserve">  "templateStatus": "Design-time configuration; environment values remain placeholders (no production IDs)",</w:t>
            </w:r>
          </w:p>
          <w:p>
            <w:pPr>
              <w:spacing w:after="0" w:before="0" w:line="220"/>
            </w:pPr>
            <w:r>
              <w:rPr>
                <w:rFonts w:ascii="Courier New" w:cs="Courier New" w:eastAsia="Courier New" w:hAnsi="Courier New"/>
                <w:color w:val="111827"/>
                <w:sz w:val="12"/>
                <w:szCs w:val="12"/>
              </w:rPr>
              <w:t xml:space="preserve">  "reviewedDate": "2026-10-11",</w:t>
            </w:r>
          </w:p>
          <w:p>
            <w:pPr>
              <w:spacing w:after="0" w:before="0" w:line="220"/>
            </w:pPr>
            <w:r>
              <w:rPr>
                <w:rFonts w:ascii="Courier New" w:cs="Courier New" w:eastAsia="Courier New" w:hAnsi="Courier New"/>
                <w:color w:val="111827"/>
                <w:sz w:val="12"/>
                <w:szCs w:val="12"/>
              </w:rPr>
              <w:t xml:space="preserve">  "safety": {</w:t>
            </w:r>
          </w:p>
          <w:p>
            <w:pPr>
              <w:spacing w:after="0" w:before="0" w:line="220"/>
            </w:pPr>
            <w:r>
              <w:rPr>
                <w:rFonts w:ascii="Courier New" w:cs="Courier New" w:eastAsia="Courier New" w:hAnsi="Courier New"/>
                <w:color w:val="111827"/>
                <w:sz w:val="12"/>
                <w:szCs w:val="12"/>
              </w:rPr>
              <w:t xml:space="preserve">    "syntheticDataOnly": true,</w:t>
            </w:r>
          </w:p>
          <w:p>
            <w:pPr>
              <w:spacing w:after="0" w:before="0" w:line="220"/>
            </w:pPr>
            <w:r>
              <w:rPr>
                <w:rFonts w:ascii="Courier New" w:cs="Courier New" w:eastAsia="Courier New" w:hAnsi="Courier New"/>
                <w:color w:val="111827"/>
                <w:sz w:val="12"/>
                <w:szCs w:val="12"/>
              </w:rPr>
              <w:t xml:space="preserve">    "prohibitPhiInLogs": true,</w:t>
            </w:r>
          </w:p>
          <w:p>
            <w:pPr>
              <w:spacing w:after="0" w:before="0" w:line="220"/>
            </w:pPr>
            <w:r>
              <w:rPr>
                <w:rFonts w:ascii="Courier New" w:cs="Courier New" w:eastAsia="Courier New" w:hAnsi="Courier New"/>
                <w:color w:val="111827"/>
                <w:sz w:val="12"/>
                <w:szCs w:val="12"/>
              </w:rPr>
              <w:t xml:space="preserve">    "prohibitSecretsInConfig": true,</w:t>
            </w:r>
          </w:p>
          <w:p>
            <w:pPr>
              <w:spacing w:after="0" w:before="0" w:line="220"/>
            </w:pPr>
            <w:r>
              <w:rPr>
                <w:rFonts w:ascii="Courier New" w:cs="Courier New" w:eastAsia="Courier New" w:hAnsi="Courier New"/>
                <w:color w:val="111827"/>
                <w:sz w:val="12"/>
                <w:szCs w:val="12"/>
              </w:rPr>
              <w:t xml:space="preserve">    "useManagedIdentity": true,</w:t>
            </w:r>
          </w:p>
          <w:p>
            <w:pPr>
              <w:spacing w:after="0" w:before="0" w:line="220"/>
            </w:pPr>
            <w:r>
              <w:rPr>
                <w:rFonts w:ascii="Courier New" w:cs="Courier New" w:eastAsia="Courier New" w:hAnsi="Courier New"/>
                <w:color w:val="111827"/>
                <w:sz w:val="12"/>
                <w:szCs w:val="12"/>
              </w:rPr>
              <w:t xml:space="preserve">    "placeholderConvention": "&lt;REPLACE_WITH_...&gt;"</w:t>
            </w:r>
          </w:p>
          <w:p>
            <w:pPr>
              <w:spacing w:after="0" w:before="0" w:line="220"/>
            </w:pPr>
            <w:r>
              <w:rPr>
                <w:rFonts w:ascii="Courier New" w:cs="Courier New" w:eastAsia="Courier New" w:hAnsi="Courier New"/>
                <w:color w:val="111827"/>
                <w:sz w:val="12"/>
                <w:szCs w:val="12"/>
              </w:rPr>
              <w:t xml:space="preserve">  },</w:t>
            </w:r>
          </w:p>
          <w:p>
            <w:pPr>
              <w:spacing w:after="0" w:before="0" w:line="220"/>
            </w:pPr>
            <w:r>
              <w:rPr>
                <w:rFonts w:ascii="Courier New" w:cs="Courier New" w:eastAsia="Courier New" w:hAnsi="Courier New"/>
                <w:color w:val="111827"/>
                <w:sz w:val="12"/>
                <w:szCs w:val="12"/>
              </w:rPr>
              <w:t xml:space="preserve">  "pipeline": {</w:t>
            </w:r>
          </w:p>
          <w:p>
            <w:pPr>
              <w:spacing w:after="0" w:before="0" w:line="220"/>
            </w:pPr>
            <w:r>
              <w:rPr>
                <w:rFonts w:ascii="Courier New" w:cs="Courier New" w:eastAsia="Courier New" w:hAnsi="Courier New"/>
                <w:color w:val="111827"/>
                <w:sz w:val="12"/>
                <w:szCs w:val="12"/>
              </w:rPr>
              <w:t xml:space="preserve">    "name": "pl_p001_hl7v2_to_fhir",</w:t>
            </w:r>
          </w:p>
          <w:p>
            <w:pPr>
              <w:spacing w:after="0" w:before="0" w:line="220"/>
            </w:pPr>
            <w:r>
              <w:rPr>
                <w:rFonts w:ascii="Courier New" w:cs="Courier New" w:eastAsia="Courier New" w:hAnsi="Courier New"/>
                <w:color w:val="111827"/>
                <w:sz w:val="12"/>
                <w:szCs w:val="12"/>
              </w:rPr>
              <w:t xml:space="preserve">    "purpose": "Northwind re-export, backfill and approved replay (real-time path is MLLP listener + Functions, D-08)",</w:t>
            </w:r>
          </w:p>
          <w:p>
            <w:pPr>
              <w:spacing w:after="0" w:before="0" w:line="220"/>
            </w:pPr>
            <w:r>
              <w:rPr>
                <w:rFonts w:ascii="Courier New" w:cs="Courier New" w:eastAsia="Courier New" w:hAnsi="Courier New"/>
                <w:color w:val="111827"/>
                <w:sz w:val="12"/>
                <w:szCs w:val="12"/>
              </w:rPr>
              <w:t xml:space="preserve">    "owner": "Integration Engineering",</w:t>
            </w:r>
          </w:p>
          <w:p>
            <w:pPr>
              <w:spacing w:after="0" w:before="0" w:line="220"/>
            </w:pPr>
            <w:r>
              <w:rPr>
                <w:rFonts w:ascii="Courier New" w:cs="Courier New" w:eastAsia="Courier New" w:hAnsi="Courier New"/>
                <w:color w:val="111827"/>
                <w:sz w:val="12"/>
                <w:szCs w:val="12"/>
              </w:rPr>
              <w:t xml:space="preserve">    "criticality": "Tier 1",</w:t>
            </w:r>
          </w:p>
          <w:p>
            <w:pPr>
              <w:spacing w:after="0" w:before="0" w:line="220"/>
            </w:pPr>
            <w:r>
              <w:rPr>
                <w:rFonts w:ascii="Courier New" w:cs="Courier New" w:eastAsia="Courier New" w:hAnsi="Courier New"/>
                <w:color w:val="111827"/>
                <w:sz w:val="12"/>
                <w:szCs w:val="12"/>
              </w:rPr>
              <w:t xml:space="preserve">    "correlationId": "@pipeline().RunId (mapped to partner correlationId in IngestLedger_CL)",</w:t>
            </w:r>
          </w:p>
          <w:p>
            <w:pPr>
              <w:spacing w:after="0" w:before="0" w:line="220"/>
            </w:pPr>
            <w:r>
              <w:rPr>
                <w:rFonts w:ascii="Courier New" w:cs="Courier New" w:eastAsia="Courier New" w:hAnsi="Courier New"/>
                <w:color w:val="111827"/>
                <w:sz w:val="12"/>
                <w:szCs w:val="12"/>
              </w:rPr>
              <w:t xml:space="preserve">    "parameters": {</w:t>
            </w:r>
          </w:p>
          <w:p>
            <w:pPr>
              <w:spacing w:after="0" w:before="0" w:line="220"/>
            </w:pPr>
            <w:r>
              <w:rPr>
                <w:rFonts w:ascii="Courier New" w:cs="Courier New" w:eastAsia="Courier New" w:hAnsi="Courier New"/>
                <w:color w:val="111827"/>
                <w:sz w:val="12"/>
                <w:szCs w:val="12"/>
              </w:rPr>
              <w:t xml:space="preserve">      "partnerId": { "type": "string", "defaultValue": "P-001" },</w:t>
            </w:r>
          </w:p>
          <w:p>
            <w:pPr>
              <w:spacing w:after="0" w:before="0" w:line="220"/>
            </w:pPr>
            <w:r>
              <w:rPr>
                <w:rFonts w:ascii="Courier New" w:cs="Courier New" w:eastAsia="Courier New" w:hAnsi="Courier New"/>
                <w:color w:val="111827"/>
                <w:sz w:val="12"/>
                <w:szCs w:val="12"/>
              </w:rPr>
              <w:t xml:space="preserve">      "sourcePath": { "type": "string", "defaultValue": "&lt;ENCRYPTED_SOURCE_PATH&gt;" },</w:t>
            </w:r>
          </w:p>
          <w:p>
            <w:pPr>
              <w:spacing w:after="0" w:before="0" w:line="220"/>
            </w:pPr>
            <w:r>
              <w:rPr>
                <w:rFonts w:ascii="Courier New" w:cs="Courier New" w:eastAsia="Courier New" w:hAnsi="Courier New"/>
                <w:color w:val="111827"/>
                <w:sz w:val="12"/>
                <w:szCs w:val="12"/>
              </w:rPr>
              <w:t xml:space="preserve">      "batchId": { "type": "string", "defaultValue": "&lt;BATCH_ID&gt;" },</w:t>
            </w:r>
          </w:p>
          <w:p>
            <w:pPr>
              <w:spacing w:after="0" w:before="0" w:line="220"/>
            </w:pPr>
            <w:r>
              <w:rPr>
                <w:rFonts w:ascii="Courier New" w:cs="Courier New" w:eastAsia="Courier New" w:hAnsi="Courier New"/>
                <w:color w:val="111827"/>
                <w:sz w:val="12"/>
                <w:szCs w:val="12"/>
              </w:rPr>
              <w:t xml:space="preserve">      "replayAuthorized": { "type": "bool", "defaultValue": false },</w:t>
            </w:r>
          </w:p>
          <w:p>
            <w:pPr>
              <w:spacing w:after="0" w:before="0" w:line="220"/>
            </w:pPr>
            <w:r>
              <w:rPr>
                <w:rFonts w:ascii="Courier New" w:cs="Courier New" w:eastAsia="Courier New" w:hAnsi="Courier New"/>
                <w:color w:val="111827"/>
                <w:sz w:val="12"/>
                <w:szCs w:val="12"/>
              </w:rPr>
              <w:t xml:space="preserve">      "approvalId": { "type": "string", "defaultValue": "" },</w:t>
            </w:r>
          </w:p>
          <w:p>
            <w:pPr>
              <w:spacing w:after="0" w:before="0" w:line="220"/>
            </w:pPr>
            <w:r>
              <w:rPr>
                <w:rFonts w:ascii="Courier New" w:cs="Courier New" w:eastAsia="Courier New" w:hAnsi="Courier New"/>
                <w:color w:val="111827"/>
                <w:sz w:val="12"/>
                <w:szCs w:val="12"/>
              </w:rPr>
              <w:t xml:space="preserve">      "itemCount": { "type": "int", "defaultValue": 0 },</w:t>
            </w:r>
          </w:p>
          <w:p>
            <w:pPr>
              <w:spacing w:after="0" w:before="0" w:line="220"/>
            </w:pPr>
            <w:r>
              <w:rPr>
                <w:rFonts w:ascii="Courier New" w:cs="Courier New" w:eastAsia="Courier New" w:hAnsi="Courier New"/>
                <w:color w:val="111827"/>
                <w:sz w:val="12"/>
                <w:szCs w:val="12"/>
              </w:rPr>
              <w:t xml:space="preserve">      "partnerLimit": { "type": "int", "defaultValue": 10000 }</w:t>
            </w:r>
          </w:p>
          <w:p>
            <w:pPr>
              <w:spacing w:after="0" w:before="0" w:line="220"/>
            </w:pPr>
            <w:r>
              <w:rPr>
                <w:rFonts w:ascii="Courier New" w:cs="Courier New" w:eastAsia="Courier New" w:hAnsi="Courier New"/>
                <w:color w:val="111827"/>
                <w:sz w:val="12"/>
                <w:szCs w:val="12"/>
              </w:rPr>
              <w:t xml:space="preserve">    },</w:t>
            </w:r>
          </w:p>
          <w:p>
            <w:pPr>
              <w:spacing w:after="0" w:before="0" w:line="220"/>
            </w:pPr>
            <w:r>
              <w:rPr>
                <w:rFonts w:ascii="Courier New" w:cs="Courier New" w:eastAsia="Courier New" w:hAnsi="Courier New"/>
                <w:color w:val="111827"/>
                <w:sz w:val="12"/>
                <w:szCs w:val="12"/>
              </w:rPr>
              <w:t xml:space="preserve">    "connectivity": {</w:t>
            </w:r>
          </w:p>
          <w:p>
            <w:pPr>
              <w:spacing w:after="0" w:before="0" w:line="220"/>
            </w:pPr>
            <w:r>
              <w:rPr>
                <w:rFonts w:ascii="Courier New" w:cs="Courier New" w:eastAsia="Courier New" w:hAnsi="Courier New"/>
                <w:color w:val="111827"/>
                <w:sz w:val="12"/>
                <w:szCs w:val="12"/>
              </w:rPr>
              <w:t xml:space="preserve">      "pattern": "Self-hosted IR (2 nodes, Northwind site) over S2S VPN to ADF private endpoint; Azure side via managed VNet private endpoints",</w:t>
            </w:r>
          </w:p>
          <w:p>
            <w:pPr>
              <w:spacing w:after="0" w:before="0" w:line="220"/>
            </w:pPr>
            <w:r>
              <w:rPr>
                <w:rFonts w:ascii="Courier New" w:cs="Courier New" w:eastAsia="Courier New" w:hAnsi="Courier New"/>
                <w:color w:val="111827"/>
                <w:sz w:val="12"/>
                <w:szCs w:val="12"/>
              </w:rPr>
              <w:t xml:space="preserve">      "integrationRuntime": "shir-p001-ha",</w:t>
            </w:r>
          </w:p>
          <w:p>
            <w:pPr>
              <w:spacing w:after="0" w:before="0" w:line="220"/>
            </w:pPr>
            <w:r>
              <w:rPr>
                <w:rFonts w:ascii="Courier New" w:cs="Courier New" w:eastAsia="Courier New" w:hAnsi="Courier New"/>
                <w:color w:val="111827"/>
                <w:sz w:val="12"/>
                <w:szCs w:val="12"/>
              </w:rPr>
              <w:t xml:space="preserve">      "publicNetworkAccess": "Disabled",</w:t>
            </w:r>
          </w:p>
          <w:p>
            <w:pPr>
              <w:spacing w:after="0" w:before="0" w:line="220"/>
            </w:pPr>
            <w:r>
              <w:rPr>
                <w:rFonts w:ascii="Courier New" w:cs="Courier New" w:eastAsia="Courier New" w:hAnsi="Courier New"/>
                <w:color w:val="111827"/>
                <w:sz w:val="12"/>
                <w:szCs w:val="12"/>
              </w:rPr>
              <w:t xml:space="preserve">      "privateDnsValidated": true</w:t>
            </w:r>
          </w:p>
          <w:p>
            <w:pPr>
              <w:spacing w:after="0" w:before="0" w:line="220"/>
            </w:pPr>
            <w:r>
              <w:rPr>
                <w:rFonts w:ascii="Courier New" w:cs="Courier New" w:eastAsia="Courier New" w:hAnsi="Courier New"/>
                <w:color w:val="111827"/>
                <w:sz w:val="12"/>
                <w:szCs w:val="12"/>
              </w:rPr>
              <w:t xml:space="preserve">    },</w:t>
            </w:r>
          </w:p>
          <w:p>
            <w:pPr>
              <w:spacing w:after="0" w:before="0" w:line="220"/>
            </w:pPr>
            <w:r>
              <w:rPr>
                <w:rFonts w:ascii="Courier New" w:cs="Courier New" w:eastAsia="Courier New" w:hAnsi="Courier New"/>
                <w:color w:val="111827"/>
                <w:sz w:val="12"/>
                <w:szCs w:val="12"/>
              </w:rPr>
              <w:t xml:space="preserve">    "identity": {</w:t>
            </w:r>
          </w:p>
          <w:p>
            <w:pPr>
              <w:spacing w:after="0" w:before="0" w:line="220"/>
            </w:pPr>
            <w:r>
              <w:rPr>
                <w:rFonts w:ascii="Courier New" w:cs="Courier New" w:eastAsia="Courier New" w:hAnsi="Courier New"/>
                <w:color w:val="111827"/>
                <w:sz w:val="12"/>
                <w:szCs w:val="12"/>
              </w:rPr>
              <w:t xml:space="preserve">      "authentication": "ManagedIdentity",</w:t>
            </w:r>
          </w:p>
          <w:p>
            <w:pPr>
              <w:spacing w:after="0" w:before="0" w:line="220"/>
            </w:pPr>
            <w:r>
              <w:rPr>
                <w:rFonts w:ascii="Courier New" w:cs="Courier New" w:eastAsia="Courier New" w:hAnsi="Courier New"/>
                <w:color w:val="111827"/>
                <w:sz w:val="12"/>
                <w:szCs w:val="12"/>
              </w:rPr>
              <w:t xml:space="preserve">      "principal": "ADF system-assigned managed identity",</w:t>
            </w:r>
          </w:p>
          <w:p>
            <w:pPr>
              <w:spacing w:after="0" w:before="0" w:line="220"/>
            </w:pPr>
            <w:r>
              <w:rPr>
                <w:rFonts w:ascii="Courier New" w:cs="Courier New" w:eastAsia="Courier New" w:hAnsi="Courier New"/>
                <w:color w:val="111827"/>
                <w:sz w:val="12"/>
                <w:szCs w:val="12"/>
              </w:rPr>
              <w:t xml:space="preserve">      "rbacAssignments": [</w:t>
            </w:r>
          </w:p>
          <w:p>
            <w:pPr>
              <w:spacing w:after="0" w:before="0" w:line="220"/>
            </w:pPr>
            <w:r>
              <w:rPr>
                <w:rFonts w:ascii="Courier New" w:cs="Courier New" w:eastAsia="Courier New" w:hAnsi="Courier New"/>
                <w:color w:val="111827"/>
                <w:sz w:val="12"/>
                <w:szCs w:val="12"/>
              </w:rPr>
              <w:t xml:space="preserve">        { "scope": "&lt;SOURCE_SCOPE&gt; (SHIR file share; Windows ACL read-only)", "role": "Read (partner-granted)" },</w:t>
            </w:r>
          </w:p>
          <w:p>
            <w:pPr>
              <w:spacing w:after="0" w:before="0" w:line="220"/>
            </w:pPr>
            <w:r>
              <w:rPr>
                <w:rFonts w:ascii="Courier New" w:cs="Courier New" w:eastAsia="Courier New" w:hAnsi="Courier New"/>
                <w:color w:val="111827"/>
                <w:sz w:val="12"/>
                <w:szCs w:val="12"/>
              </w:rPr>
              <w:t xml:space="preserve">        { "scope": "&lt;STAGING_SCOPE&gt; (staging container)", "role": "Storage Blob Data Contributor" },</w:t>
            </w:r>
          </w:p>
          <w:p>
            <w:pPr>
              <w:spacing w:after="0" w:before="0" w:line="220"/>
            </w:pPr>
            <w:r>
              <w:rPr>
                <w:rFonts w:ascii="Courier New" w:cs="Courier New" w:eastAsia="Courier New" w:hAnsi="Courier New"/>
                <w:color w:val="111827"/>
                <w:sz w:val="12"/>
                <w:szCs w:val="12"/>
              </w:rPr>
              <w:t xml:space="preserve">        { "scope": "&lt;QUARANTINE_SCOPE&gt; (quarantine container)", "role": "Quarantine Writer (custom, no delete)" },</w:t>
            </w:r>
          </w:p>
          <w:p>
            <w:pPr>
              <w:spacing w:after="0" w:before="0" w:line="220"/>
            </w:pPr>
            <w:r>
              <w:rPr>
                <w:rFonts w:ascii="Courier New" w:cs="Courier New" w:eastAsia="Courier New" w:hAnsi="Courier New"/>
                <w:color w:val="111827"/>
                <w:sz w:val="12"/>
                <w:szCs w:val="12"/>
              </w:rPr>
              <w:t xml:space="preserve">        { "scope": "&lt;FHIR_SCOPE&gt;", "role": "FHIR Data Converter; FHIR Data Importer" }</w:t>
            </w:r>
          </w:p>
          <w:p>
            <w:pPr>
              <w:spacing w:after="0" w:before="0" w:line="220"/>
            </w:pPr>
            <w:r>
              <w:rPr>
                <w:rFonts w:ascii="Courier New" w:cs="Courier New" w:eastAsia="Courier New" w:hAnsi="Courier New"/>
                <w:color w:val="111827"/>
                <w:sz w:val="12"/>
                <w:szCs w:val="12"/>
              </w:rPr>
              <w:t xml:space="preserve">      ],</w:t>
            </w:r>
          </w:p>
          <w:p>
            <w:pPr>
              <w:spacing w:after="0" w:before="0" w:line="220"/>
            </w:pPr>
            <w:r>
              <w:rPr>
                <w:rFonts w:ascii="Courier New" w:cs="Courier New" w:eastAsia="Courier New" w:hAnsi="Courier New"/>
                <w:color w:val="111827"/>
                <w:sz w:val="12"/>
                <w:szCs w:val="12"/>
              </w:rPr>
              <w:t xml:space="preserve">      "keyVaultUse": "SHIR authentication key only (EX-05); no secret is read by the pipeline"</w:t>
            </w:r>
          </w:p>
          <w:p>
            <w:pPr>
              <w:spacing w:after="0" w:before="0" w:line="220"/>
            </w:pPr>
            <w:r>
              <w:rPr>
                <w:rFonts w:ascii="Courier New" w:cs="Courier New" w:eastAsia="Courier New" w:hAnsi="Courier New"/>
                <w:color w:val="111827"/>
                <w:sz w:val="12"/>
                <w:szCs w:val="12"/>
              </w:rPr>
              <w:t xml:space="preserve">    },</w:t>
            </w:r>
          </w:p>
          <w:p>
            <w:pPr>
              <w:spacing w:after="0" w:before="0" w:line="220"/>
            </w:pPr>
            <w:r>
              <w:rPr>
                <w:rFonts w:ascii="Courier New" w:cs="Courier New" w:eastAsia="Courier New" w:hAnsi="Courier New"/>
                <w:color w:val="111827"/>
                <w:sz w:val="12"/>
                <w:szCs w:val="12"/>
              </w:rPr>
              <w:t xml:space="preserve">    "activities": [</w:t>
            </w:r>
          </w:p>
          <w:p>
            <w:pPr>
              <w:spacing w:after="0" w:before="0" w:line="220"/>
            </w:pPr>
            <w:r>
              <w:rPr>
                <w:rFonts w:ascii="Courier New" w:cs="Courier New" w:eastAsia="Courier New" w:hAnsi="Courier New"/>
                <w:color w:val="111827"/>
                <w:sz w:val="12"/>
                <w:szCs w:val="12"/>
              </w:rPr>
              <w:t xml:space="preserve">      {</w:t>
            </w:r>
          </w:p>
          <w:p>
            <w:pPr>
              <w:spacing w:after="0" w:before="0" w:line="220"/>
            </w:pPr>
            <w:r>
              <w:rPr>
                <w:rFonts w:ascii="Courier New" w:cs="Courier New" w:eastAsia="Courier New" w:hAnsi="Courier New"/>
                <w:color w:val="111827"/>
                <w:sz w:val="12"/>
                <w:szCs w:val="12"/>
              </w:rPr>
              <w:t xml:space="preserve">        "name": "GateReplay",</w:t>
            </w:r>
          </w:p>
          <w:p>
            <w:pPr>
              <w:spacing w:after="0" w:before="0" w:line="220"/>
            </w:pPr>
            <w:r>
              <w:rPr>
                <w:rFonts w:ascii="Courier New" w:cs="Courier New" w:eastAsia="Courier New" w:hAnsi="Courier New"/>
                <w:color w:val="111827"/>
                <w:sz w:val="12"/>
                <w:szCs w:val="12"/>
              </w:rPr>
              <w:t xml:space="preserve">        "type": "IfCondition",</w:t>
            </w:r>
          </w:p>
          <w:p>
            <w:pPr>
              <w:spacing w:after="0" w:before="0" w:line="220"/>
            </w:pPr>
            <w:r>
              <w:rPr>
                <w:rFonts w:ascii="Courier New" w:cs="Courier New" w:eastAsia="Courier New" w:hAnsi="Courier New"/>
                <w:color w:val="111827"/>
                <w:sz w:val="12"/>
                <w:szCs w:val="12"/>
              </w:rPr>
              <w:t xml:space="preserve">        "expression": "@and(pipeline().parameters.replayAuthorized, and(not(empty(pipeline().parameters.approvalId)), lessOrEquals(pipeline().parameters.itemCount, pipeline().parameters.partnerLimit)))",</w:t>
            </w:r>
          </w:p>
          <w:p>
            <w:pPr>
              <w:spacing w:after="0" w:before="0" w:line="220"/>
            </w:pPr>
            <w:r>
              <w:rPr>
                <w:rFonts w:ascii="Courier New" w:cs="Courier New" w:eastAsia="Courier New" w:hAnsi="Courier New"/>
                <w:color w:val="111827"/>
                <w:sz w:val="12"/>
                <w:szCs w:val="12"/>
              </w:rPr>
              <w:t xml:space="preserve">        "onFalse": "Fail REPLAY_NOT_APPROVED"</w:t>
            </w:r>
          </w:p>
          <w:p>
            <w:pPr>
              <w:spacing w:after="0" w:before="0" w:line="220"/>
            </w:pPr>
            <w:r>
              <w:rPr>
                <w:rFonts w:ascii="Courier New" w:cs="Courier New" w:eastAsia="Courier New" w:hAnsi="Courier New"/>
                <w:color w:val="111827"/>
                <w:sz w:val="12"/>
                <w:szCs w:val="12"/>
              </w:rPr>
              <w:t xml:space="preserve">      },</w:t>
            </w:r>
          </w:p>
          <w:p>
            <w:pPr>
              <w:spacing w:after="0" w:before="0" w:line="220"/>
            </w:pPr>
            <w:r>
              <w:rPr>
                <w:rFonts w:ascii="Courier New" w:cs="Courier New" w:eastAsia="Courier New" w:hAnsi="Courier New"/>
                <w:color w:val="111827"/>
                <w:sz w:val="12"/>
                <w:szCs w:val="12"/>
              </w:rPr>
              <w:t xml:space="preserve">      {</w:t>
            </w:r>
          </w:p>
          <w:p>
            <w:pPr>
              <w:spacing w:after="0" w:before="0" w:line="220"/>
            </w:pPr>
            <w:r>
              <w:rPr>
                <w:rFonts w:ascii="Courier New" w:cs="Courier New" w:eastAsia="Courier New" w:hAnsi="Courier New"/>
                <w:color w:val="111827"/>
                <w:sz w:val="12"/>
                <w:szCs w:val="12"/>
              </w:rPr>
              <w:t xml:space="preserve">        "name": "AcquireInput",</w:t>
            </w:r>
          </w:p>
          <w:p>
            <w:pPr>
              <w:spacing w:after="0" w:before="0" w:line="220"/>
            </w:pPr>
            <w:r>
              <w:rPr>
                <w:rFonts w:ascii="Courier New" w:cs="Courier New" w:eastAsia="Courier New" w:hAnsi="Courier New"/>
                <w:color w:val="111827"/>
                <w:sz w:val="12"/>
                <w:szCs w:val="12"/>
              </w:rPr>
              <w:t xml:space="preserve">        "type": "Copy",</w:t>
            </w:r>
          </w:p>
          <w:p>
            <w:pPr>
              <w:spacing w:after="0" w:before="0" w:line="220"/>
            </w:pPr>
            <w:r>
              <w:rPr>
                <w:rFonts w:ascii="Courier New" w:cs="Courier New" w:eastAsia="Courier New" w:hAnsi="Courier New"/>
                <w:color w:val="111827"/>
                <w:sz w:val="12"/>
                <w:szCs w:val="12"/>
              </w:rPr>
              <w:t xml:space="preserve">        "input": "Northwind re-export file share via shir-p001-ha",</w:t>
            </w:r>
          </w:p>
          <w:p>
            <w:pPr>
              <w:spacing w:after="0" w:before="0" w:line="220"/>
            </w:pPr>
            <w:r>
              <w:rPr>
                <w:rFonts w:ascii="Courier New" w:cs="Courier New" w:eastAsia="Courier New" w:hAnsi="Courier New"/>
                <w:color w:val="111827"/>
                <w:sz w:val="12"/>
                <w:szCs w:val="12"/>
              </w:rPr>
              <w:t xml:space="preserve">        "output": "Encrypted staging container (quarantineable)",</w:t>
            </w:r>
          </w:p>
          <w:p>
            <w:pPr>
              <w:spacing w:after="0" w:before="0" w:line="220"/>
            </w:pPr>
            <w:r>
              <w:rPr>
                <w:rFonts w:ascii="Courier New" w:cs="Courier New" w:eastAsia="Courier New" w:hAnsi="Courier New"/>
                <w:color w:val="111827"/>
                <w:sz w:val="12"/>
                <w:szCs w:val="12"/>
              </w:rPr>
              <w:t xml:space="preserve">        "logging": { "includePayload": false, "includeIdentifiers": false },</w:t>
            </w:r>
          </w:p>
          <w:p>
            <w:pPr>
              <w:spacing w:after="0" w:before="0" w:line="220"/>
            </w:pPr>
            <w:r>
              <w:rPr>
                <w:rFonts w:ascii="Courier New" w:cs="Courier New" w:eastAsia="Courier New" w:hAnsi="Courier New"/>
                <w:color w:val="111827"/>
                <w:sz w:val="12"/>
                <w:szCs w:val="12"/>
              </w:rPr>
              <w:t xml:space="preserve">        "retry": { "count": 3, "intervalSeconds": 30, "strategy": "exponential-backoff-with-jitter", "onlyTransientErrors": true },</w:t>
            </w:r>
          </w:p>
          <w:p>
            <w:pPr>
              <w:spacing w:after="0" w:before="0" w:line="220"/>
            </w:pPr>
            <w:r>
              <w:rPr>
                <w:rFonts w:ascii="Courier New" w:cs="Courier New" w:eastAsia="Courier New" w:hAnsi="Courier New"/>
                <w:color w:val="111827"/>
                <w:sz w:val="12"/>
                <w:szCs w:val="12"/>
              </w:rPr>
              <w:t xml:space="preserve">        "timeout": "00:20:00"</w:t>
            </w:r>
          </w:p>
          <w:p>
            <w:pPr>
              <w:spacing w:after="0" w:before="0" w:line="220"/>
            </w:pPr>
            <w:r>
              <w:rPr>
                <w:rFonts w:ascii="Courier New" w:cs="Courier New" w:eastAsia="Courier New" w:hAnsi="Courier New"/>
                <w:color w:val="111827"/>
                <w:sz w:val="12"/>
                <w:szCs w:val="12"/>
              </w:rPr>
              <w:t xml:space="preserve">      },</w:t>
            </w:r>
          </w:p>
          <w:p>
            <w:pPr>
              <w:spacing w:after="0" w:before="0" w:line="220"/>
            </w:pPr>
            <w:r>
              <w:rPr>
                <w:rFonts w:ascii="Courier New" w:cs="Courier New" w:eastAsia="Courier New" w:hAnsi="Courier New"/>
                <w:color w:val="111827"/>
                <w:sz w:val="12"/>
                <w:szCs w:val="12"/>
              </w:rPr>
              <w:t xml:space="preserve">      {</w:t>
            </w:r>
          </w:p>
          <w:p>
            <w:pPr>
              <w:spacing w:after="0" w:before="0" w:line="220"/>
            </w:pPr>
            <w:r>
              <w:rPr>
                <w:rFonts w:ascii="Courier New" w:cs="Courier New" w:eastAsia="Courier New" w:hAnsi="Courier New"/>
                <w:color w:val="111827"/>
                <w:sz w:val="12"/>
                <w:szCs w:val="12"/>
              </w:rPr>
              <w:t xml:space="preserve">        "name": "ConvertToFhirR4",</w:t>
            </w:r>
          </w:p>
          <w:p>
            <w:pPr>
              <w:spacing w:after="0" w:before="0" w:line="220"/>
            </w:pPr>
            <w:r>
              <w:rPr>
                <w:rFonts w:ascii="Courier New" w:cs="Courier New" w:eastAsia="Courier New" w:hAnsi="Courier New"/>
                <w:color w:val="111827"/>
                <w:sz w:val="12"/>
                <w:szCs w:val="12"/>
              </w:rPr>
              <w:t xml:space="preserve">        "type": "WebOrFunction",</w:t>
            </w:r>
          </w:p>
          <w:p>
            <w:pPr>
              <w:spacing w:after="0" w:before="0" w:line="220"/>
            </w:pPr>
            <w:r>
              <w:rPr>
                <w:rFonts w:ascii="Courier New" w:cs="Courier New" w:eastAsia="Courier New" w:hAnsi="Courier New"/>
                <w:color w:val="111827"/>
                <w:sz w:val="12"/>
                <w:szCs w:val="12"/>
              </w:rPr>
              <w:t xml:space="preserve">        "operation": "$convert-data",</w:t>
            </w:r>
          </w:p>
          <w:p>
            <w:pPr>
              <w:spacing w:after="0" w:before="0" w:line="220"/>
            </w:pPr>
            <w:r>
              <w:rPr>
                <w:rFonts w:ascii="Courier New" w:cs="Courier New" w:eastAsia="Courier New" w:hAnsi="Courier New"/>
                <w:color w:val="111827"/>
                <w:sz w:val="12"/>
                <w:szCs w:val="12"/>
              </w:rPr>
              <w:t xml:space="preserve">        "sourceFormat": "HL7v2",</w:t>
            </w:r>
          </w:p>
          <w:p>
            <w:pPr>
              <w:spacing w:after="0" w:before="0" w:line="220"/>
            </w:pPr>
            <w:r>
              <w:rPr>
                <w:rFonts w:ascii="Courier New" w:cs="Courier New" w:eastAsia="Courier New" w:hAnsi="Courier New"/>
                <w:color w:val="111827"/>
                <w:sz w:val="12"/>
                <w:szCs w:val="12"/>
              </w:rPr>
              <w:t xml:space="preserve">        "templateCollection": "&lt;ACR_LOGIN_SERVER&gt;/hl7v2-northwind@sha256:&lt;APPROVED_DIGEST&gt;",</w:t>
            </w:r>
          </w:p>
          <w:p>
            <w:pPr>
              <w:spacing w:after="0" w:before="0" w:line="220"/>
            </w:pPr>
            <w:r>
              <w:rPr>
                <w:rFonts w:ascii="Courier New" w:cs="Courier New" w:eastAsia="Courier New" w:hAnsi="Courier New"/>
                <w:color w:val="111827"/>
                <w:sz w:val="12"/>
                <w:szCs w:val="12"/>
              </w:rPr>
              <w:t xml:space="preserve">        "versionGate": "Z-segment version -&gt; digest map; unknown version = UNKNOWN_TEMPLATE_VERSION",</w:t>
            </w:r>
          </w:p>
          <w:p>
            <w:pPr>
              <w:spacing w:after="0" w:before="0" w:line="220"/>
            </w:pPr>
            <w:r>
              <w:rPr>
                <w:rFonts w:ascii="Courier New" w:cs="Courier New" w:eastAsia="Courier New" w:hAnsi="Courier New"/>
                <w:color w:val="111827"/>
                <w:sz w:val="12"/>
                <w:szCs w:val="12"/>
              </w:rPr>
              <w:t xml:space="preserve">        "logging": { "includePayload": false, "includeIdentifiers": false },</w:t>
            </w:r>
          </w:p>
          <w:p>
            <w:pPr>
              <w:spacing w:after="0" w:before="0" w:line="220"/>
            </w:pPr>
            <w:r>
              <w:rPr>
                <w:rFonts w:ascii="Courier New" w:cs="Courier New" w:eastAsia="Courier New" w:hAnsi="Courier New"/>
                <w:color w:val="111827"/>
                <w:sz w:val="12"/>
                <w:szCs w:val="12"/>
              </w:rPr>
              <w:t xml:space="preserve">        "onValidationFailure": "Quarantine"</w:t>
            </w:r>
          </w:p>
          <w:p>
            <w:pPr>
              <w:spacing w:after="0" w:before="0" w:line="220"/>
            </w:pPr>
            <w:r>
              <w:rPr>
                <w:rFonts w:ascii="Courier New" w:cs="Courier New" w:eastAsia="Courier New" w:hAnsi="Courier New"/>
                <w:color w:val="111827"/>
                <w:sz w:val="12"/>
                <w:szCs w:val="12"/>
              </w:rPr>
              <w:t xml:space="preserve">      },</w:t>
            </w:r>
          </w:p>
          <w:p>
            <w:pPr>
              <w:spacing w:after="0" w:before="0" w:line="220"/>
            </w:pPr>
            <w:r>
              <w:rPr>
                <w:rFonts w:ascii="Courier New" w:cs="Courier New" w:eastAsia="Courier New" w:hAnsi="Courier New"/>
                <w:color w:val="111827"/>
                <w:sz w:val="12"/>
                <w:szCs w:val="12"/>
              </w:rPr>
              <w:t xml:space="preserve">      {</w:t>
            </w:r>
          </w:p>
          <w:p>
            <w:pPr>
              <w:spacing w:after="0" w:before="0" w:line="220"/>
            </w:pPr>
            <w:r>
              <w:rPr>
                <w:rFonts w:ascii="Courier New" w:cs="Courier New" w:eastAsia="Courier New" w:hAnsi="Courier New"/>
                <w:color w:val="111827"/>
                <w:sz w:val="12"/>
                <w:szCs w:val="12"/>
              </w:rPr>
              <w:t xml:space="preserve">        "name": "ValidateFhir",</w:t>
            </w:r>
          </w:p>
          <w:p>
            <w:pPr>
              <w:spacing w:after="0" w:before="0" w:line="220"/>
            </w:pPr>
            <w:r>
              <w:rPr>
                <w:rFonts w:ascii="Courier New" w:cs="Courier New" w:eastAsia="Courier New" w:hAnsi="Courier New"/>
                <w:color w:val="111827"/>
                <w:sz w:val="12"/>
                <w:szCs w:val="12"/>
              </w:rPr>
              <w:t xml:space="preserve">        "type": "ValidationGate",</w:t>
            </w:r>
          </w:p>
          <w:p>
            <w:pPr>
              <w:spacing w:after="0" w:before="0" w:line="220"/>
            </w:pPr>
            <w:r>
              <w:rPr>
                <w:rFonts w:ascii="Courier New" w:cs="Courier New" w:eastAsia="Courier New" w:hAnsi="Courier New"/>
                <w:color w:val="111827"/>
                <w:sz w:val="12"/>
                <w:szCs w:val="12"/>
              </w:rPr>
              <w:t xml:space="preserve">        "profiles": [ "&lt;US_CORE_PROFILE_URLS_PINNED_IN_PARTNER_AGREEMENT&gt;" ],</w:t>
            </w:r>
          </w:p>
          <w:p>
            <w:pPr>
              <w:spacing w:after="0" w:before="0" w:line="220"/>
            </w:pPr>
            <w:r>
              <w:rPr>
                <w:rFonts w:ascii="Courier New" w:cs="Courier New" w:eastAsia="Courier New" w:hAnsi="Courier New"/>
                <w:color w:val="111827"/>
                <w:sz w:val="12"/>
                <w:szCs w:val="12"/>
              </w:rPr>
              <w:t xml:space="preserve">        "terminology": [ "&lt;APPROVED_VALUE_SETS e.g. LOINC for Observation.code&gt;" ],</w:t>
            </w:r>
          </w:p>
          <w:p>
            <w:pPr>
              <w:spacing w:after="0" w:before="0" w:line="220"/>
            </w:pPr>
            <w:r>
              <w:rPr>
                <w:rFonts w:ascii="Courier New" w:cs="Courier New" w:eastAsia="Courier New" w:hAnsi="Courier New"/>
                <w:color w:val="111827"/>
                <w:sz w:val="12"/>
                <w:szCs w:val="12"/>
              </w:rPr>
              <w:t xml:space="preserve">        "checks": [ "required-fields", "profile-conformance", "terminology", "referential-integrity", "deterministic-id" ],</w:t>
            </w:r>
          </w:p>
          <w:p>
            <w:pPr>
              <w:spacing w:after="0" w:before="0" w:line="220"/>
            </w:pPr>
            <w:r>
              <w:rPr>
                <w:rFonts w:ascii="Courier New" w:cs="Courier New" w:eastAsia="Courier New" w:hAnsi="Courier New"/>
                <w:color w:val="111827"/>
                <w:sz w:val="12"/>
                <w:szCs w:val="12"/>
              </w:rPr>
              <w:t xml:space="preserve">        "retry": { "count": 0, "reason": "Validation errors are non-transient" }</w:t>
            </w:r>
          </w:p>
          <w:p>
            <w:pPr>
              <w:spacing w:after="0" w:before="0" w:line="220"/>
            </w:pPr>
            <w:r>
              <w:rPr>
                <w:rFonts w:ascii="Courier New" w:cs="Courier New" w:eastAsia="Courier New" w:hAnsi="Courier New"/>
                <w:color w:val="111827"/>
                <w:sz w:val="12"/>
                <w:szCs w:val="12"/>
              </w:rPr>
              <w:t xml:space="preserve">      },</w:t>
            </w:r>
          </w:p>
          <w:p>
            <w:pPr>
              <w:spacing w:after="0" w:before="0" w:line="220"/>
            </w:pPr>
            <w:r>
              <w:rPr>
                <w:rFonts w:ascii="Courier New" w:cs="Courier New" w:eastAsia="Courier New" w:hAnsi="Courier New"/>
                <w:color w:val="111827"/>
                <w:sz w:val="12"/>
                <w:szCs w:val="12"/>
              </w:rPr>
              <w:t xml:space="preserve">      {</w:t>
            </w:r>
          </w:p>
          <w:p>
            <w:pPr>
              <w:spacing w:after="0" w:before="0" w:line="220"/>
            </w:pPr>
            <w:r>
              <w:rPr>
                <w:rFonts w:ascii="Courier New" w:cs="Courier New" w:eastAsia="Courier New" w:hAnsi="Courier New"/>
                <w:color w:val="111827"/>
                <w:sz w:val="12"/>
                <w:szCs w:val="12"/>
              </w:rPr>
              <w:t xml:space="preserve">        "name": "WriteNdjsonStaging",</w:t>
            </w:r>
          </w:p>
          <w:p>
            <w:pPr>
              <w:spacing w:after="0" w:before="0" w:line="220"/>
            </w:pPr>
            <w:r>
              <w:rPr>
                <w:rFonts w:ascii="Courier New" w:cs="Courier New" w:eastAsia="Courier New" w:hAnsi="Courier New"/>
                <w:color w:val="111827"/>
                <w:sz w:val="12"/>
                <w:szCs w:val="12"/>
              </w:rPr>
              <w:t xml:space="preserve">        "type": "Copy",</w:t>
            </w:r>
          </w:p>
          <w:p>
            <w:pPr>
              <w:spacing w:after="0" w:before="0" w:line="220"/>
            </w:pPr>
            <w:r>
              <w:rPr>
                <w:rFonts w:ascii="Courier New" w:cs="Courier New" w:eastAsia="Courier New" w:hAnsi="Courier New"/>
                <w:color w:val="111827"/>
                <w:sz w:val="12"/>
                <w:szCs w:val="12"/>
              </w:rPr>
              <w:t xml:space="preserve">        "format": "NDJSON",</w:t>
            </w:r>
          </w:p>
          <w:p>
            <w:pPr>
              <w:spacing w:after="0" w:before="0" w:line="220"/>
            </w:pPr>
            <w:r>
              <w:rPr>
                <w:rFonts w:ascii="Courier New" w:cs="Courier New" w:eastAsia="Courier New" w:hAnsi="Courier New"/>
                <w:color w:val="111827"/>
                <w:sz w:val="12"/>
                <w:szCs w:val="12"/>
              </w:rPr>
              <w:t xml:space="preserve">        "encryptionAtRest": true,</w:t>
            </w:r>
          </w:p>
          <w:p>
            <w:pPr>
              <w:spacing w:after="0" w:before="0" w:line="220"/>
            </w:pPr>
            <w:r>
              <w:rPr>
                <w:rFonts w:ascii="Courier New" w:cs="Courier New" w:eastAsia="Courier New" w:hAnsi="Courier New"/>
                <w:color w:val="111827"/>
                <w:sz w:val="12"/>
                <w:szCs w:val="12"/>
              </w:rPr>
              <w:t xml:space="preserve">        "immutability": "None on staging (transient); time-based immutability on quarantine",</w:t>
            </w:r>
          </w:p>
          <w:p>
            <w:pPr>
              <w:spacing w:after="0" w:before="0" w:line="220"/>
            </w:pPr>
            <w:r>
              <w:rPr>
                <w:rFonts w:ascii="Courier New" w:cs="Courier New" w:eastAsia="Courier New" w:hAnsi="Courier New"/>
                <w:color w:val="111827"/>
                <w:sz w:val="12"/>
                <w:szCs w:val="12"/>
              </w:rPr>
              <w:t xml:space="preserve">        "retentionDays": 7</w:t>
            </w:r>
          </w:p>
          <w:p>
            <w:pPr>
              <w:spacing w:after="0" w:before="0" w:line="220"/>
            </w:pPr>
            <w:r>
              <w:rPr>
                <w:rFonts w:ascii="Courier New" w:cs="Courier New" w:eastAsia="Courier New" w:hAnsi="Courier New"/>
                <w:color w:val="111827"/>
                <w:sz w:val="12"/>
                <w:szCs w:val="12"/>
              </w:rPr>
              <w:t xml:space="preserve">      },</w:t>
            </w:r>
          </w:p>
          <w:p>
            <w:pPr>
              <w:spacing w:after="0" w:before="0" w:line="220"/>
            </w:pPr>
            <w:r>
              <w:rPr>
                <w:rFonts w:ascii="Courier New" w:cs="Courier New" w:eastAsia="Courier New" w:hAnsi="Courier New"/>
                <w:color w:val="111827"/>
                <w:sz w:val="12"/>
                <w:szCs w:val="12"/>
              </w:rPr>
              <w:t xml:space="preserve">      {</w:t>
            </w:r>
          </w:p>
          <w:p>
            <w:pPr>
              <w:spacing w:after="0" w:before="0" w:line="220"/>
            </w:pPr>
            <w:r>
              <w:rPr>
                <w:rFonts w:ascii="Courier New" w:cs="Courier New" w:eastAsia="Courier New" w:hAnsi="Courier New"/>
                <w:color w:val="111827"/>
                <w:sz w:val="12"/>
                <w:szCs w:val="12"/>
              </w:rPr>
              <w:t xml:space="preserve">        "name": "ImportToFhir",</w:t>
            </w:r>
          </w:p>
          <w:p>
            <w:pPr>
              <w:spacing w:after="0" w:before="0" w:line="220"/>
            </w:pPr>
            <w:r>
              <w:rPr>
                <w:rFonts w:ascii="Courier New" w:cs="Courier New" w:eastAsia="Courier New" w:hAnsi="Courier New"/>
                <w:color w:val="111827"/>
                <w:sz w:val="12"/>
                <w:szCs w:val="12"/>
              </w:rPr>
              <w:t xml:space="preserve">        "type": "Web",</w:t>
            </w:r>
          </w:p>
          <w:p>
            <w:pPr>
              <w:spacing w:after="0" w:before="0" w:line="220"/>
            </w:pPr>
            <w:r>
              <w:rPr>
                <w:rFonts w:ascii="Courier New" w:cs="Courier New" w:eastAsia="Courier New" w:hAnsi="Courier New"/>
                <w:color w:val="111827"/>
                <w:sz w:val="12"/>
                <w:szCs w:val="12"/>
              </w:rPr>
              <w:t xml:space="preserve">        "operation": "import",</w:t>
            </w:r>
          </w:p>
          <w:p>
            <w:pPr>
              <w:spacing w:after="0" w:before="0" w:line="220"/>
            </w:pPr>
            <w:r>
              <w:rPr>
                <w:rFonts w:ascii="Courier New" w:cs="Courier New" w:eastAsia="Courier New" w:hAnsi="Courier New"/>
                <w:color w:val="111827"/>
                <w:sz w:val="12"/>
                <w:szCs w:val="12"/>
              </w:rPr>
              <w:t xml:space="preserve">        "mode": "incremental",</w:t>
            </w:r>
          </w:p>
          <w:p>
            <w:pPr>
              <w:spacing w:after="0" w:before="0" w:line="220"/>
            </w:pPr>
            <w:r>
              <w:rPr>
                <w:rFonts w:ascii="Courier New" w:cs="Courier New" w:eastAsia="Courier New" w:hAnsi="Courier New"/>
                <w:color w:val="111827"/>
                <w:sz w:val="12"/>
                <w:szCs w:val="12"/>
              </w:rPr>
              <w:t xml:space="preserve">        "idempotencyKey": "P-001:&lt;BATCH_ID&gt;",</w:t>
            </w:r>
          </w:p>
          <w:p>
            <w:pPr>
              <w:spacing w:after="0" w:before="0" w:line="220"/>
            </w:pPr>
            <w:r>
              <w:rPr>
                <w:rFonts w:ascii="Courier New" w:cs="Courier New" w:eastAsia="Courier New" w:hAnsi="Courier New"/>
                <w:color w:val="111827"/>
                <w:sz w:val="12"/>
                <w:szCs w:val="12"/>
              </w:rPr>
              <w:t xml:space="preserve">        "retry": { "count": 3, "intervalSeconds": 60, "strategy": "exponential-backoff-with-jitter", "onlyTransientErrors": true }</w:t>
            </w:r>
          </w:p>
          <w:p>
            <w:pPr>
              <w:spacing w:after="0" w:before="0" w:line="220"/>
            </w:pPr>
            <w:r>
              <w:rPr>
                <w:rFonts w:ascii="Courier New" w:cs="Courier New" w:eastAsia="Courier New" w:hAnsi="Courier New"/>
                <w:color w:val="111827"/>
                <w:sz w:val="12"/>
                <w:szCs w:val="12"/>
              </w:rPr>
              <w:t xml:space="preserve">      },</w:t>
            </w:r>
          </w:p>
          <w:p>
            <w:pPr>
              <w:spacing w:after="0" w:before="0" w:line="220"/>
            </w:pPr>
            <w:r>
              <w:rPr>
                <w:rFonts w:ascii="Courier New" w:cs="Courier New" w:eastAsia="Courier New" w:hAnsi="Courier New"/>
                <w:color w:val="111827"/>
                <w:sz w:val="12"/>
                <w:szCs w:val="12"/>
              </w:rPr>
              <w:t xml:space="preserve">      {</w:t>
            </w:r>
          </w:p>
          <w:p>
            <w:pPr>
              <w:spacing w:after="0" w:before="0" w:line="220"/>
            </w:pPr>
            <w:r>
              <w:rPr>
                <w:rFonts w:ascii="Courier New" w:cs="Courier New" w:eastAsia="Courier New" w:hAnsi="Courier New"/>
                <w:color w:val="111827"/>
                <w:sz w:val="12"/>
                <w:szCs w:val="12"/>
              </w:rPr>
              <w:t xml:space="preserve">        "name": "Reconcile",</w:t>
            </w:r>
          </w:p>
          <w:p>
            <w:pPr>
              <w:spacing w:after="0" w:before="0" w:line="220"/>
            </w:pPr>
            <w:r>
              <w:rPr>
                <w:rFonts w:ascii="Courier New" w:cs="Courier New" w:eastAsia="Courier New" w:hAnsi="Courier New"/>
                <w:color w:val="111827"/>
                <w:sz w:val="12"/>
                <w:szCs w:val="12"/>
              </w:rPr>
              <w:t xml:space="preserve">        "type": "ValidationGate",</w:t>
            </w:r>
          </w:p>
          <w:p>
            <w:pPr>
              <w:spacing w:after="0" w:before="0" w:line="220"/>
            </w:pPr>
            <w:r>
              <w:rPr>
                <w:rFonts w:ascii="Courier New" w:cs="Courier New" w:eastAsia="Courier New" w:hAnsi="Courier New"/>
                <w:color w:val="111827"/>
                <w:sz w:val="12"/>
                <w:szCs w:val="12"/>
              </w:rPr>
              <w:t xml:space="preserve">        "checks": [ "source-count", "accepted-count", "quarantine-count", "duplicate-count", "missing-correlation-ids" ],</w:t>
            </w:r>
          </w:p>
          <w:p>
            <w:pPr>
              <w:spacing w:after="0" w:before="0" w:line="220"/>
            </w:pPr>
            <w:r>
              <w:rPr>
                <w:rFonts w:ascii="Courier New" w:cs="Courier New" w:eastAsia="Courier New" w:hAnsi="Courier New"/>
                <w:color w:val="111827"/>
                <w:sz w:val="12"/>
                <w:szCs w:val="12"/>
              </w:rPr>
              <w:t xml:space="preserve">        "failureAction": "CreateIncidentAndStop"</w:t>
            </w:r>
          </w:p>
          <w:p>
            <w:pPr>
              <w:spacing w:after="0" w:before="0" w:line="220"/>
            </w:pPr>
            <w:r>
              <w:rPr>
                <w:rFonts w:ascii="Courier New" w:cs="Courier New" w:eastAsia="Courier New" w:hAnsi="Courier New"/>
                <w:color w:val="111827"/>
                <w:sz w:val="12"/>
                <w:szCs w:val="12"/>
              </w:rPr>
              <w:t xml:space="preserve">      }</w:t>
            </w:r>
          </w:p>
          <w:p>
            <w:pPr>
              <w:spacing w:after="0" w:before="0" w:line="220"/>
            </w:pPr>
            <w:r>
              <w:rPr>
                <w:rFonts w:ascii="Courier New" w:cs="Courier New" w:eastAsia="Courier New" w:hAnsi="Courier New"/>
                <w:color w:val="111827"/>
                <w:sz w:val="12"/>
                <w:szCs w:val="12"/>
              </w:rPr>
              <w:t xml:space="preserve">    ],</w:t>
            </w:r>
          </w:p>
          <w:p>
            <w:pPr>
              <w:spacing w:after="0" w:before="0" w:line="220"/>
            </w:pPr>
            <w:r>
              <w:rPr>
                <w:rFonts w:ascii="Courier New" w:cs="Courier New" w:eastAsia="Courier New" w:hAnsi="Courier New"/>
                <w:color w:val="111827"/>
                <w:sz w:val="12"/>
                <w:szCs w:val="12"/>
              </w:rPr>
              <w:t xml:space="preserve">    "quarantine": {</w:t>
            </w:r>
          </w:p>
          <w:p>
            <w:pPr>
              <w:spacing w:after="0" w:before="0" w:line="220"/>
            </w:pPr>
            <w:r>
              <w:rPr>
                <w:rFonts w:ascii="Courier New" w:cs="Courier New" w:eastAsia="Courier New" w:hAnsi="Courier New"/>
                <w:color w:val="111827"/>
                <w:sz w:val="12"/>
                <w:szCs w:val="12"/>
              </w:rPr>
              <w:t xml:space="preserve">      "location": "Private encrypted quarantine container (time-based immutability)",</w:t>
            </w:r>
          </w:p>
          <w:p>
            <w:pPr>
              <w:spacing w:after="0" w:before="0" w:line="220"/>
            </w:pPr>
            <w:r>
              <w:rPr>
                <w:rFonts w:ascii="Courier New" w:cs="Courier New" w:eastAsia="Courier New" w:hAnsi="Courier New"/>
                <w:color w:val="111827"/>
                <w:sz w:val="12"/>
                <w:szCs w:val="12"/>
              </w:rPr>
              <w:t xml:space="preserve">      "writeOnceEvidence": "Enabled; disposal only through manual two-person procedure (AUT-11)",</w:t>
            </w:r>
          </w:p>
          <w:p>
            <w:pPr>
              <w:spacing w:after="0" w:before="0" w:line="220"/>
            </w:pPr>
            <w:r>
              <w:rPr>
                <w:rFonts w:ascii="Courier New" w:cs="Courier New" w:eastAsia="Courier New" w:hAnsi="Courier New"/>
                <w:color w:val="111827"/>
                <w:sz w:val="12"/>
                <w:szCs w:val="12"/>
              </w:rPr>
              <w:t xml:space="preserve">      "requiredMetadata": [ "partnerId", "batchId", "correlationId", "failureCode", "failureStage", "timestamp" ],</w:t>
            </w:r>
          </w:p>
          <w:p>
            <w:pPr>
              <w:spacing w:after="0" w:before="0" w:line="220"/>
            </w:pPr>
            <w:r>
              <w:rPr>
                <w:rFonts w:ascii="Courier New" w:cs="Courier New" w:eastAsia="Courier New" w:hAnsi="Courier New"/>
                <w:color w:val="111827"/>
                <w:sz w:val="12"/>
                <w:szCs w:val="12"/>
              </w:rPr>
              <w:t xml:space="preserve">      "exclude": [ "raw payload from logs", "secrets", "access tokens" ],</w:t>
            </w:r>
          </w:p>
          <w:p>
            <w:pPr>
              <w:spacing w:after="0" w:before="0" w:line="220"/>
            </w:pPr>
            <w:r>
              <w:rPr>
                <w:rFonts w:ascii="Courier New" w:cs="Courier New" w:eastAsia="Courier New" w:hAnsi="Courier New"/>
                <w:color w:val="111827"/>
                <w:sz w:val="12"/>
                <w:szCs w:val="12"/>
              </w:rPr>
              <w:t xml:space="preserve">      "replay": {</w:t>
            </w:r>
          </w:p>
          <w:p>
            <w:pPr>
              <w:spacing w:after="0" w:before="0" w:line="220"/>
            </w:pPr>
            <w:r>
              <w:rPr>
                <w:rFonts w:ascii="Courier New" w:cs="Courier New" w:eastAsia="Courier New" w:hAnsi="Courier New"/>
                <w:color w:val="111827"/>
                <w:sz w:val="12"/>
                <w:szCs w:val="12"/>
              </w:rPr>
              <w:t xml:space="preserve">        "approvalRequired": true,</w:t>
            </w:r>
          </w:p>
          <w:p>
            <w:pPr>
              <w:spacing w:after="0" w:before="0" w:line="220"/>
            </w:pPr>
            <w:r>
              <w:rPr>
                <w:rFonts w:ascii="Courier New" w:cs="Courier New" w:eastAsia="Courier New" w:hAnsi="Courier New"/>
                <w:color w:val="111827"/>
                <w:sz w:val="12"/>
                <w:szCs w:val="12"/>
              </w:rPr>
              <w:t xml:space="preserve">        "approverRole": "Peer engineer within limit; On-call Lead for multi-batch",</w:t>
            </w:r>
          </w:p>
          <w:p>
            <w:pPr>
              <w:spacing w:after="0" w:before="0" w:line="220"/>
            </w:pPr>
            <w:r>
              <w:rPr>
                <w:rFonts w:ascii="Courier New" w:cs="Courier New" w:eastAsia="Courier New" w:hAnsi="Courier New"/>
                <w:color w:val="111827"/>
                <w:sz w:val="12"/>
                <w:szCs w:val="12"/>
              </w:rPr>
              <w:t xml:space="preserve">        "maxBatchSize": 10000,</w:t>
            </w:r>
          </w:p>
          <w:p>
            <w:pPr>
              <w:spacing w:after="0" w:before="0" w:line="220"/>
            </w:pPr>
            <w:r>
              <w:rPr>
                <w:rFonts w:ascii="Courier New" w:cs="Courier New" w:eastAsia="Courier New" w:hAnsi="Courier New"/>
                <w:color w:val="111827"/>
                <w:sz w:val="12"/>
                <w:szCs w:val="12"/>
              </w:rPr>
              <w:t xml:space="preserve">        "chunkSize": 1000,</w:t>
            </w:r>
          </w:p>
          <w:p>
            <w:pPr>
              <w:spacing w:after="0" w:before="0" w:line="220"/>
            </w:pPr>
            <w:r>
              <w:rPr>
                <w:rFonts w:ascii="Courier New" w:cs="Courier New" w:eastAsia="Courier New" w:hAnsi="Courier New"/>
                <w:color w:val="111827"/>
                <w:sz w:val="12"/>
                <w:szCs w:val="12"/>
              </w:rPr>
              <w:t xml:space="preserve">        "duplicateDetection": "Deterministic ID = hash(partnerId|resourceType|identifier) + ledger read-before-write + KQL-08",</w:t>
            </w:r>
          </w:p>
          <w:p>
            <w:pPr>
              <w:spacing w:after="0" w:before="0" w:line="220"/>
            </w:pPr>
            <w:r>
              <w:rPr>
                <w:rFonts w:ascii="Courier New" w:cs="Courier New" w:eastAsia="Courier New" w:hAnsi="Courier New"/>
                <w:color w:val="111827"/>
                <w:sz w:val="12"/>
                <w:szCs w:val="12"/>
              </w:rPr>
              <w:t xml:space="preserve">        "postReplayReconciliation": true</w:t>
            </w:r>
          </w:p>
          <w:p>
            <w:pPr>
              <w:spacing w:after="0" w:before="0" w:line="220"/>
            </w:pPr>
            <w:r>
              <w:rPr>
                <w:rFonts w:ascii="Courier New" w:cs="Courier New" w:eastAsia="Courier New" w:hAnsi="Courier New"/>
                <w:color w:val="111827"/>
                <w:sz w:val="12"/>
                <w:szCs w:val="12"/>
              </w:rPr>
              <w:t xml:space="preserve">      }</w:t>
            </w:r>
          </w:p>
          <w:p>
            <w:pPr>
              <w:spacing w:after="0" w:before="0" w:line="220"/>
            </w:pPr>
            <w:r>
              <w:rPr>
                <w:rFonts w:ascii="Courier New" w:cs="Courier New" w:eastAsia="Courier New" w:hAnsi="Courier New"/>
                <w:color w:val="111827"/>
                <w:sz w:val="12"/>
                <w:szCs w:val="12"/>
              </w:rPr>
              <w:t xml:space="preserve">    },</w:t>
            </w:r>
          </w:p>
          <w:p>
            <w:pPr>
              <w:spacing w:after="0" w:before="0" w:line="220"/>
            </w:pPr>
            <w:r>
              <w:rPr>
                <w:rFonts w:ascii="Courier New" w:cs="Courier New" w:eastAsia="Courier New" w:hAnsi="Courier New"/>
                <w:color w:val="111827"/>
                <w:sz w:val="12"/>
                <w:szCs w:val="12"/>
              </w:rPr>
              <w:t xml:space="preserve">    "observability": {</w:t>
            </w:r>
          </w:p>
          <w:p>
            <w:pPr>
              <w:spacing w:after="0" w:before="0" w:line="220"/>
            </w:pPr>
            <w:r>
              <w:rPr>
                <w:rFonts w:ascii="Courier New" w:cs="Courier New" w:eastAsia="Courier New" w:hAnsi="Courier New"/>
                <w:color w:val="111827"/>
                <w:sz w:val="12"/>
                <w:szCs w:val="12"/>
              </w:rPr>
              <w:t xml:space="preserve">      "diagnosticSettings": [ "ADFPipelineRun", "ADFActivityRun", "FHIR AuditLogs" ],</w:t>
            </w:r>
          </w:p>
          <w:p>
            <w:pPr>
              <w:spacing w:after="0" w:before="0" w:line="220"/>
            </w:pPr>
            <w:r>
              <w:rPr>
                <w:rFonts w:ascii="Courier New" w:cs="Courier New" w:eastAsia="Courier New" w:hAnsi="Courier New"/>
                <w:color w:val="111827"/>
                <w:sz w:val="12"/>
                <w:szCs w:val="12"/>
              </w:rPr>
              <w:t xml:space="preserve">      "workspace": "&lt;LOG_ANALYTICS_WORKSPACE&gt; (AMPLS, private only)",</w:t>
            </w:r>
          </w:p>
          <w:p>
            <w:pPr>
              <w:spacing w:after="0" w:before="0" w:line="220"/>
            </w:pPr>
            <w:r>
              <w:rPr>
                <w:rFonts w:ascii="Courier New" w:cs="Courier New" w:eastAsia="Courier New" w:hAnsi="Courier New"/>
                <w:color w:val="111827"/>
                <w:sz w:val="12"/>
                <w:szCs w:val="12"/>
              </w:rPr>
              <w:t xml:space="preserve">      "archive": "&lt;EVIDENCE_STORAGE_ACCOUNT&gt; (immutable)",</w:t>
            </w:r>
          </w:p>
          <w:p>
            <w:pPr>
              <w:spacing w:after="0" w:before="0" w:line="220"/>
            </w:pPr>
            <w:r>
              <w:rPr>
                <w:rFonts w:ascii="Courier New" w:cs="Courier New" w:eastAsia="Courier New" w:hAnsi="Courier New"/>
                <w:color w:val="111827"/>
                <w:sz w:val="12"/>
                <w:szCs w:val="12"/>
              </w:rPr>
              <w:t xml:space="preserve">      "customDimensions": [ "partnerId", "batchId", "correlationId", "stage", "result" ],</w:t>
            </w:r>
          </w:p>
          <w:p>
            <w:pPr>
              <w:spacing w:after="0" w:before="0" w:line="220"/>
            </w:pPr>
            <w:r>
              <w:rPr>
                <w:rFonts w:ascii="Courier New" w:cs="Courier New" w:eastAsia="Courier New" w:hAnsi="Courier New"/>
                <w:color w:val="111827"/>
                <w:sz w:val="12"/>
                <w:szCs w:val="12"/>
              </w:rPr>
              <w:t xml:space="preserve">      "forbiddenDimensions": [ "patientName", "mrn", "dateOfBirth", "rawFhirResource", "rawHl7Message", "accessToken" ]</w:t>
            </w:r>
          </w:p>
          <w:p>
            <w:pPr>
              <w:spacing w:after="0" w:before="0" w:line="220"/>
            </w:pPr>
            <w:r>
              <w:rPr>
                <w:rFonts w:ascii="Courier New" w:cs="Courier New" w:eastAsia="Courier New" w:hAnsi="Courier New"/>
                <w:color w:val="111827"/>
                <w:sz w:val="12"/>
                <w:szCs w:val="12"/>
              </w:rPr>
              <w:t xml:space="preserve">    },</w:t>
            </w:r>
          </w:p>
          <w:p>
            <w:pPr>
              <w:spacing w:after="0" w:before="0" w:line="220"/>
            </w:pPr>
            <w:r>
              <w:rPr>
                <w:rFonts w:ascii="Courier New" w:cs="Courier New" w:eastAsia="Courier New" w:hAnsi="Courier New"/>
                <w:color w:val="111827"/>
                <w:sz w:val="12"/>
                <w:szCs w:val="12"/>
              </w:rPr>
              <w:t xml:space="preserve">    "automation": {</w:t>
            </w:r>
          </w:p>
          <w:p>
            <w:pPr>
              <w:spacing w:after="0" w:before="0" w:line="220"/>
            </w:pPr>
            <w:r>
              <w:rPr>
                <w:rFonts w:ascii="Courier New" w:cs="Courier New" w:eastAsia="Courier New" w:hAnsi="Courier New"/>
                <w:color w:val="111827"/>
                <w:sz w:val="12"/>
                <w:szCs w:val="12"/>
              </w:rPr>
              <w:t xml:space="preserve">      "automatic": [ "create incident", "pause new batch acquisition after threshold (&lt;= 30 min)", "route invalid items to quarantine" ],</w:t>
            </w:r>
          </w:p>
          <w:p>
            <w:pPr>
              <w:spacing w:after="0" w:before="0" w:line="220"/>
            </w:pPr>
            <w:r>
              <w:rPr>
                <w:rFonts w:ascii="Courier New" w:cs="Courier New" w:eastAsia="Courier New" w:hAnsi="Courier New"/>
                <w:color w:val="111827"/>
                <w:sz w:val="12"/>
                <w:szCs w:val="12"/>
              </w:rPr>
              <w:t xml:space="preserve">      "approvalGated": [ "replay", "pause beyond 30 min", "partner workload-identity disable" ],</w:t>
            </w:r>
          </w:p>
          <w:p>
            <w:pPr>
              <w:spacing w:after="0" w:before="0" w:line="220"/>
            </w:pPr>
            <w:r>
              <w:rPr>
                <w:rFonts w:ascii="Courier New" w:cs="Courier New" w:eastAsia="Courier New" w:hAnsi="Courier New"/>
                <w:color w:val="111827"/>
                <w:sz w:val="12"/>
                <w:szCs w:val="12"/>
              </w:rPr>
              <w:t xml:space="preserve">      "manual": [ "access revocation (human)", "emergency isolation", "retention change", "delete or purge" ],</w:t>
            </w:r>
          </w:p>
          <w:p>
            <w:pPr>
              <w:spacing w:after="0" w:before="0" w:line="220"/>
            </w:pPr>
            <w:r>
              <w:rPr>
                <w:rFonts w:ascii="Courier New" w:cs="Courier New" w:eastAsia="Courier New" w:hAnsi="Courier New"/>
                <w:color w:val="111827"/>
                <w:sz w:val="12"/>
                <w:szCs w:val="12"/>
              </w:rPr>
              <w:t xml:space="preserve">      "rollback": "RB-INGEST-001 step 5: stop, restore checkpoint, re-quarantine",</w:t>
            </w:r>
          </w:p>
          <w:p>
            <w:pPr>
              <w:spacing w:after="0" w:before="0" w:line="220"/>
            </w:pPr>
            <w:r>
              <w:rPr>
                <w:rFonts w:ascii="Courier New" w:cs="Courier New" w:eastAsia="Courier New" w:hAnsi="Courier New"/>
                <w:color w:val="111827"/>
                <w:sz w:val="12"/>
                <w:szCs w:val="12"/>
              </w:rPr>
              <w:t xml:space="preserve">      "postActionValidation": "KQL-08 returns no rows; reconciliation balanced",</w:t>
            </w:r>
          </w:p>
          <w:p>
            <w:pPr>
              <w:spacing w:after="0" w:before="0" w:line="220"/>
            </w:pPr>
            <w:r>
              <w:rPr>
                <w:rFonts w:ascii="Courier New" w:cs="Courier New" w:eastAsia="Courier New" w:hAnsi="Courier New"/>
                <w:color w:val="111827"/>
                <w:sz w:val="12"/>
                <w:szCs w:val="12"/>
              </w:rPr>
              <w:t xml:space="preserve">      "runbookId": "RB-INGEST-001"</w:t>
            </w:r>
          </w:p>
          <w:p>
            <w:pPr>
              <w:spacing w:after="0" w:before="0" w:line="220"/>
            </w:pPr>
            <w:r>
              <w:rPr>
                <w:rFonts w:ascii="Courier New" w:cs="Courier New" w:eastAsia="Courier New" w:hAnsi="Courier New"/>
                <w:color w:val="111827"/>
                <w:sz w:val="12"/>
                <w:szCs w:val="12"/>
              </w:rPr>
              <w:t xml:space="preserve">    }</w:t>
            </w:r>
          </w:p>
          <w:p>
            <w:pPr>
              <w:spacing w:after="0" w:before="0" w:line="220"/>
            </w:pPr>
            <w:r>
              <w:rPr>
                <w:rFonts w:ascii="Courier New" w:cs="Courier New" w:eastAsia="Courier New" w:hAnsi="Courier New"/>
                <w:color w:val="111827"/>
                <w:sz w:val="12"/>
                <w:szCs w:val="12"/>
              </w:rPr>
              <w:t xml:space="preserve">  },</w:t>
            </w:r>
          </w:p>
          <w:p>
            <w:pPr>
              <w:spacing w:after="0" w:before="0" w:line="220"/>
            </w:pPr>
            <w:r>
              <w:rPr>
                <w:rFonts w:ascii="Courier New" w:cs="Courier New" w:eastAsia="Courier New" w:hAnsi="Courier New"/>
                <w:color w:val="111827"/>
                <w:sz w:val="12"/>
                <w:szCs w:val="12"/>
              </w:rPr>
              <w:t xml:space="preserve">  "learnerDecisionRecord": {</w:t>
            </w:r>
          </w:p>
          <w:p>
            <w:pPr>
              <w:spacing w:after="0" w:before="0" w:line="220"/>
            </w:pPr>
            <w:r>
              <w:rPr>
                <w:rFonts w:ascii="Courier New" w:cs="Courier New" w:eastAsia="Courier New" w:hAnsi="Courier New"/>
                <w:color w:val="111827"/>
                <w:sz w:val="12"/>
                <w:szCs w:val="12"/>
              </w:rPr>
              <w:t xml:space="preserve">    "scenarioFactsUsed": [ "P-001 HL7v2/MLLP, 120 msg/s, replay 10,000 per approval", "Custom Z-segment (INC-2026-041)", "Replay duplicates (INC-2026-052)", "SHIR single node (C-03)" ],</w:t>
            </w:r>
          </w:p>
          <w:p>
            <w:pPr>
              <w:spacing w:after="0" w:before="0" w:line="220"/>
            </w:pPr>
            <w:r>
              <w:rPr>
                <w:rFonts w:ascii="Courier New" w:cs="Courier New" w:eastAsia="Courier New" w:hAnsi="Courier New"/>
                <w:color w:val="111827"/>
                <w:sz w:val="12"/>
                <w:szCs w:val="12"/>
              </w:rPr>
              <w:t xml:space="preserve">    "assumptions": [ "A-01 MLLP over TLS", "A-05 resource-specific tables", "A-06 DCR custom tables" ],</w:t>
            </w:r>
          </w:p>
          <w:p>
            <w:pPr>
              <w:spacing w:after="0" w:before="0" w:line="220"/>
            </w:pPr>
            <w:r>
              <w:rPr>
                <w:rFonts w:ascii="Courier New" w:cs="Courier New" w:eastAsia="Courier New" w:hAnsi="Courier New"/>
                <w:color w:val="111827"/>
                <w:sz w:val="12"/>
                <w:szCs w:val="12"/>
              </w:rPr>
              <w:t xml:space="preserve">    "tradeoffs": [ "ADF kept off the real-time path (D-08)", "Version history grows on replay (D-03)" ],</w:t>
            </w:r>
          </w:p>
          <w:p>
            <w:pPr>
              <w:spacing w:after="0" w:before="0" w:line="220"/>
            </w:pPr>
            <w:r>
              <w:rPr>
                <w:rFonts w:ascii="Courier New" w:cs="Courier New" w:eastAsia="Courier New" w:hAnsi="Courier New"/>
                <w:color w:val="111827"/>
                <w:sz w:val="12"/>
                <w:szCs w:val="12"/>
              </w:rPr>
              <w:t xml:space="preserve">    "openQuestions": [ "OQ-01", "OQ-06" ],</w:t>
            </w:r>
          </w:p>
          <w:p>
            <w:pPr>
              <w:spacing w:after="0" w:before="0" w:line="220"/>
            </w:pPr>
            <w:r>
              <w:rPr>
                <w:rFonts w:ascii="Courier New" w:cs="Courier New" w:eastAsia="Courier New" w:hAnsi="Courier New"/>
                <w:color w:val="111827"/>
                <w:sz w:val="12"/>
                <w:szCs w:val="12"/>
              </w:rPr>
              <w:t xml:space="preserve">    "evidence": [ "Contract-test report", "Replay test report", "KQL-08 output" ]</w:t>
            </w:r>
          </w:p>
          <w:p>
            <w:pPr>
              <w:spacing w:after="0" w:before="0" w:line="220"/>
            </w:pPr>
            <w:r>
              <w:rPr>
                <w:rFonts w:ascii="Courier New" w:cs="Courier New" w:eastAsia="Courier New" w:hAnsi="Courier New"/>
                <w:color w:val="111827"/>
                <w:sz w:val="12"/>
                <w:szCs w:val="12"/>
              </w:rPr>
              <w:t xml:space="preserve">  }</w:t>
            </w:r>
          </w:p>
          <w:p>
            <w:pPr>
              <w:spacing w:after="0" w:before="0" w:line="220"/>
            </w:pPr>
            <w:r>
              <w:rPr>
                <w:rFonts w:ascii="Courier New" w:cs="Courier New" w:eastAsia="Courier New" w:hAnsi="Courier New"/>
                <w:color w:val="111827"/>
                <w:sz w:val="12"/>
                <w:szCs w:val="12"/>
              </w:rPr>
              <w:t xml:space="preserve">}</w:t>
            </w:r>
          </w:p>
        </w:tc>
      </w:tr>
    </w:tbl>
    <w:p>
      <w:pPr>
        <w:pStyle w:val="Heading2"/>
        <w:keepNext/>
        <w:spacing w:after="40" w:before="90"/>
      </w:pPr>
      <w:r>
        <w:rPr>
          <w:rFonts w:ascii="Calibri" w:cs="Calibri" w:eastAsia="Calibri" w:hAnsi="Calibri"/>
          <w:b/>
          <w:bCs/>
          <w:color w:val="0F6CBD"/>
          <w:sz w:val="20"/>
          <w:szCs w:val="20"/>
        </w:rPr>
        <w:t xml:space="preserve">C. Infrastructure snippets (Bicep)</w:t>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12"/>
      </w:tblGrid>
      <w:tr>
        <w:trPr>
          <w:cantSplit w:val="false"/>
        </w:trPr>
        <w:tc>
          <w:tcPr>
            <w:tcW w:type="dxa" w:w="10512"/>
            <w:tcBorders>
              <w:top w:val="single" w:color="BFC7D5" w:sz="4"/>
              <w:left w:val="single" w:color="0F6CBD" w:sz="18"/>
              <w:bottom w:val="single" w:color="BFC7D5" w:sz="4"/>
              <w:right w:val="single" w:color="BFC7D5" w:sz="4"/>
            </w:tcBorders>
            <w:shd w:fill="F3F4F6" w:color="auto" w:val="clear"/>
            <w:tcMar>
              <w:top w:type="dxa" w:w="40"/>
              <w:left w:type="dxa" w:w="90"/>
              <w:bottom w:type="dxa" w:w="40"/>
              <w:right w:type="dxa" w:w="60"/>
            </w:tcMar>
          </w:tcPr>
          <w:p>
            <w:pPr>
              <w:spacing w:after="0" w:before="0" w:line="220"/>
            </w:pPr>
            <w:r>
              <w:rPr>
                <w:rFonts w:ascii="Courier New" w:cs="Courier New" w:eastAsia="Courier New" w:hAnsi="Courier New"/>
                <w:color w:val="4B5563"/>
                <w:sz w:val="12"/>
                <w:szCs w:val="12"/>
              </w:rPr>
              <w:t xml:space="preserve">// Key Vault: RBAC permission model, private only, purge protection (CTRL-003)</w:t>
            </w:r>
          </w:p>
          <w:p>
            <w:pPr>
              <w:spacing w:after="0" w:before="0" w:line="220"/>
            </w:pPr>
            <w:r>
              <w:rPr>
                <w:rFonts w:ascii="Courier New" w:cs="Courier New" w:eastAsia="Courier New" w:hAnsi="Courier New"/>
                <w:color w:val="111827"/>
                <w:sz w:val="12"/>
                <w:szCs w:val="12"/>
              </w:rPr>
              <w:t xml:space="preserve">resource kv 'Microsoft.KeyVault/vaults@2023-07-01' = {</w:t>
            </w:r>
          </w:p>
          <w:p>
            <w:pPr>
              <w:spacing w:after="0" w:before="0" w:line="220"/>
            </w:pPr>
            <w:r>
              <w:rPr>
                <w:rFonts w:ascii="Courier New" w:cs="Courier New" w:eastAsia="Courier New" w:hAnsi="Courier New"/>
                <w:color w:val="111827"/>
                <w:sz w:val="12"/>
                <w:szCs w:val="12"/>
              </w:rPr>
              <w:t xml:space="preserve">  name: kvName</w:t>
            </w:r>
          </w:p>
          <w:p>
            <w:pPr>
              <w:spacing w:after="0" w:before="0" w:line="220"/>
            </w:pPr>
            <w:r>
              <w:rPr>
                <w:rFonts w:ascii="Courier New" w:cs="Courier New" w:eastAsia="Courier New" w:hAnsi="Courier New"/>
                <w:color w:val="111827"/>
                <w:sz w:val="12"/>
                <w:szCs w:val="12"/>
              </w:rPr>
              <w:t xml:space="preserve">  location: location</w:t>
            </w:r>
          </w:p>
          <w:p>
            <w:pPr>
              <w:spacing w:after="0" w:before="0" w:line="220"/>
            </w:pPr>
            <w:r>
              <w:rPr>
                <w:rFonts w:ascii="Courier New" w:cs="Courier New" w:eastAsia="Courier New" w:hAnsi="Courier New"/>
                <w:color w:val="111827"/>
                <w:sz w:val="12"/>
                <w:szCs w:val="12"/>
              </w:rPr>
              <w:t xml:space="preserve">  properties: {</w:t>
            </w:r>
          </w:p>
          <w:p>
            <w:pPr>
              <w:spacing w:after="0" w:before="0" w:line="220"/>
            </w:pPr>
            <w:r>
              <w:rPr>
                <w:rFonts w:ascii="Courier New" w:cs="Courier New" w:eastAsia="Courier New" w:hAnsi="Courier New"/>
                <w:color w:val="111827"/>
                <w:sz w:val="12"/>
                <w:szCs w:val="12"/>
              </w:rPr>
              <w:t xml:space="preserve">    tenantId: tenant().tenantId</w:t>
            </w:r>
          </w:p>
          <w:p>
            <w:pPr>
              <w:spacing w:after="0" w:before="0" w:line="220"/>
            </w:pPr>
            <w:r>
              <w:rPr>
                <w:rFonts w:ascii="Courier New" w:cs="Courier New" w:eastAsia="Courier New" w:hAnsi="Courier New"/>
                <w:color w:val="111827"/>
                <w:sz w:val="12"/>
                <w:szCs w:val="12"/>
              </w:rPr>
              <w:t xml:space="preserve">    sku: { family: 'A', name: 'standard' }</w:t>
            </w:r>
          </w:p>
          <w:p>
            <w:pPr>
              <w:spacing w:after="0" w:before="0" w:line="220"/>
            </w:pPr>
            <w:r>
              <w:rPr>
                <w:rFonts w:ascii="Courier New" w:cs="Courier New" w:eastAsia="Courier New" w:hAnsi="Courier New"/>
                <w:color w:val="111827"/>
                <w:sz w:val="12"/>
                <w:szCs w:val="12"/>
              </w:rPr>
              <w:t xml:space="preserve">    enableRbacAuthorization: true</w:t>
            </w:r>
          </w:p>
          <w:p>
            <w:pPr>
              <w:spacing w:after="0" w:before="0" w:line="220"/>
            </w:pPr>
            <w:r>
              <w:rPr>
                <w:rFonts w:ascii="Courier New" w:cs="Courier New" w:eastAsia="Courier New" w:hAnsi="Courier New"/>
                <w:color w:val="111827"/>
                <w:sz w:val="12"/>
                <w:szCs w:val="12"/>
              </w:rPr>
              <w:t xml:space="preserve">    enableSoftDelete: true</w:t>
            </w:r>
          </w:p>
          <w:p>
            <w:pPr>
              <w:spacing w:after="0" w:before="0" w:line="220"/>
            </w:pPr>
            <w:r>
              <w:rPr>
                <w:rFonts w:ascii="Courier New" w:cs="Courier New" w:eastAsia="Courier New" w:hAnsi="Courier New"/>
                <w:color w:val="111827"/>
                <w:sz w:val="12"/>
                <w:szCs w:val="12"/>
              </w:rPr>
              <w:t xml:space="preserve">    softDeleteRetentionInDays: 90</w:t>
            </w:r>
          </w:p>
          <w:p>
            <w:pPr>
              <w:spacing w:after="0" w:before="0" w:line="220"/>
            </w:pPr>
            <w:r>
              <w:rPr>
                <w:rFonts w:ascii="Courier New" w:cs="Courier New" w:eastAsia="Courier New" w:hAnsi="Courier New"/>
                <w:color w:val="111827"/>
                <w:sz w:val="12"/>
                <w:szCs w:val="12"/>
              </w:rPr>
              <w:t xml:space="preserve">    enablePurgeProtection: true</w:t>
            </w:r>
          </w:p>
          <w:p>
            <w:pPr>
              <w:spacing w:after="0" w:before="0" w:line="220"/>
            </w:pPr>
            <w:r>
              <w:rPr>
                <w:rFonts w:ascii="Courier New" w:cs="Courier New" w:eastAsia="Courier New" w:hAnsi="Courier New"/>
                <w:color w:val="111827"/>
                <w:sz w:val="12"/>
                <w:szCs w:val="12"/>
              </w:rPr>
              <w:t xml:space="preserve">    publicNetworkAccess: 'Disabled'</w:t>
            </w:r>
          </w:p>
          <w:p>
            <w:pPr>
              <w:spacing w:after="0" w:before="0" w:line="220"/>
            </w:pPr>
            <w:r>
              <w:rPr>
                <w:rFonts w:ascii="Courier New" w:cs="Courier New" w:eastAsia="Courier New" w:hAnsi="Courier New"/>
                <w:color w:val="111827"/>
                <w:sz w:val="12"/>
                <w:szCs w:val="12"/>
              </w:rPr>
              <w:t xml:space="preserve">    networkAcls: { defaultAction: 'Deny', bypass: 'None' }</w:t>
            </w:r>
          </w:p>
          <w:p>
            <w:pPr>
              <w:spacing w:after="0" w:before="0" w:line="220"/>
            </w:pPr>
            <w:r>
              <w:rPr>
                <w:rFonts w:ascii="Courier New" w:cs="Courier New" w:eastAsia="Courier New" w:hAnsi="Courier New"/>
                <w:color w:val="111827"/>
                <w:sz w:val="12"/>
                <w:szCs w:val="12"/>
              </w:rPr>
              <w:t xml:space="preserve">  }</w:t>
            </w:r>
          </w:p>
          <w:p>
            <w:pPr>
              <w:spacing w:after="0" w:before="0" w:line="220"/>
            </w:pPr>
            <w:r>
              <w:rPr>
                <w:rFonts w:ascii="Courier New" w:cs="Courier New" w:eastAsia="Courier New" w:hAnsi="Courier New"/>
                <w:color w:val="111827"/>
                <w:sz w:val="12"/>
                <w:szCs w:val="12"/>
              </w:rPr>
              <w:t xml:space="preserve">}</w:t>
            </w:r>
          </w:p>
          <w:p>
            <w:pPr>
              <w:spacing w:after="0" w:before="0" w:line="220"/>
            </w:pPr>
            <w:r>
              <w:rPr>
                <w:rFonts w:ascii="Courier New" w:cs="Courier New" w:eastAsia="Courier New" w:hAnsi="Courier New"/>
                <w:color w:val="111827"/>
                <w:sz w:val="12"/>
                <w:szCs w:val="12"/>
              </w:rPr>
              <w:t xml:space="preserve"> </w:t>
            </w:r>
          </w:p>
          <w:p>
            <w:pPr>
              <w:spacing w:after="0" w:before="0" w:line="220"/>
            </w:pPr>
            <w:r>
              <w:rPr>
                <w:rFonts w:ascii="Courier New" w:cs="Courier New" w:eastAsia="Courier New" w:hAnsi="Courier New"/>
                <w:color w:val="4B5563"/>
                <w:sz w:val="12"/>
                <w:szCs w:val="12"/>
              </w:rPr>
              <w:t xml:space="preserve">// Service Bus Premium: no SAS keys, private, zone-redundant, duplicate detection (D-03)</w:t>
            </w:r>
          </w:p>
          <w:p>
            <w:pPr>
              <w:spacing w:after="0" w:before="0" w:line="220"/>
            </w:pPr>
            <w:r>
              <w:rPr>
                <w:rFonts w:ascii="Courier New" w:cs="Courier New" w:eastAsia="Courier New" w:hAnsi="Courier New"/>
                <w:color w:val="111827"/>
                <w:sz w:val="12"/>
                <w:szCs w:val="12"/>
              </w:rPr>
              <w:t xml:space="preserve">resource sb 'Microsoft.ServiceBus/namespaces@2022-10-01-preview' = {</w:t>
            </w:r>
          </w:p>
          <w:p>
            <w:pPr>
              <w:spacing w:after="0" w:before="0" w:line="220"/>
            </w:pPr>
            <w:r>
              <w:rPr>
                <w:rFonts w:ascii="Courier New" w:cs="Courier New" w:eastAsia="Courier New" w:hAnsi="Courier New"/>
                <w:color w:val="111827"/>
                <w:sz w:val="12"/>
                <w:szCs w:val="12"/>
              </w:rPr>
              <w:t xml:space="preserve">  name: sbName</w:t>
            </w:r>
          </w:p>
          <w:p>
            <w:pPr>
              <w:spacing w:after="0" w:before="0" w:line="220"/>
            </w:pPr>
            <w:r>
              <w:rPr>
                <w:rFonts w:ascii="Courier New" w:cs="Courier New" w:eastAsia="Courier New" w:hAnsi="Courier New"/>
                <w:color w:val="111827"/>
                <w:sz w:val="12"/>
                <w:szCs w:val="12"/>
              </w:rPr>
              <w:t xml:space="preserve">  location: location</w:t>
            </w:r>
          </w:p>
          <w:p>
            <w:pPr>
              <w:spacing w:after="0" w:before="0" w:line="220"/>
            </w:pPr>
            <w:r>
              <w:rPr>
                <w:rFonts w:ascii="Courier New" w:cs="Courier New" w:eastAsia="Courier New" w:hAnsi="Courier New"/>
                <w:color w:val="111827"/>
                <w:sz w:val="12"/>
                <w:szCs w:val="12"/>
              </w:rPr>
              <w:t xml:space="preserve">  sku: { name: 'Premium', tier: 'Premium', capacity: 1 }</w:t>
            </w:r>
          </w:p>
          <w:p>
            <w:pPr>
              <w:spacing w:after="0" w:before="0" w:line="220"/>
            </w:pPr>
            <w:r>
              <w:rPr>
                <w:rFonts w:ascii="Courier New" w:cs="Courier New" w:eastAsia="Courier New" w:hAnsi="Courier New"/>
                <w:color w:val="111827"/>
                <w:sz w:val="12"/>
                <w:szCs w:val="12"/>
              </w:rPr>
              <w:t xml:space="preserve">  properties: {</w:t>
            </w:r>
          </w:p>
          <w:p>
            <w:pPr>
              <w:spacing w:after="0" w:before="0" w:line="220"/>
            </w:pPr>
            <w:r>
              <w:rPr>
                <w:rFonts w:ascii="Courier New" w:cs="Courier New" w:eastAsia="Courier New" w:hAnsi="Courier New"/>
                <w:color w:val="111827"/>
                <w:sz w:val="12"/>
                <w:szCs w:val="12"/>
              </w:rPr>
              <w:t xml:space="preserve">    disableLocalAuth: true</w:t>
            </w:r>
          </w:p>
          <w:p>
            <w:pPr>
              <w:spacing w:after="0" w:before="0" w:line="220"/>
            </w:pPr>
            <w:r>
              <w:rPr>
                <w:rFonts w:ascii="Courier New" w:cs="Courier New" w:eastAsia="Courier New" w:hAnsi="Courier New"/>
                <w:color w:val="111827"/>
                <w:sz w:val="12"/>
                <w:szCs w:val="12"/>
              </w:rPr>
              <w:t xml:space="preserve">    publicNetworkAccess: 'Disabled'</w:t>
            </w:r>
          </w:p>
          <w:p>
            <w:pPr>
              <w:spacing w:after="0" w:before="0" w:line="220"/>
            </w:pPr>
            <w:r>
              <w:rPr>
                <w:rFonts w:ascii="Courier New" w:cs="Courier New" w:eastAsia="Courier New" w:hAnsi="Courier New"/>
                <w:color w:val="111827"/>
                <w:sz w:val="12"/>
                <w:szCs w:val="12"/>
              </w:rPr>
              <w:t xml:space="preserve">    minimumTlsVersion: '1.2'</w:t>
            </w:r>
          </w:p>
          <w:p>
            <w:pPr>
              <w:spacing w:after="0" w:before="0" w:line="220"/>
            </w:pPr>
            <w:r>
              <w:rPr>
                <w:rFonts w:ascii="Courier New" w:cs="Courier New" w:eastAsia="Courier New" w:hAnsi="Courier New"/>
                <w:color w:val="111827"/>
                <w:sz w:val="12"/>
                <w:szCs w:val="12"/>
              </w:rPr>
              <w:t xml:space="preserve">    zoneRedundant: true</w:t>
            </w:r>
          </w:p>
          <w:p>
            <w:pPr>
              <w:spacing w:after="0" w:before="0" w:line="220"/>
            </w:pPr>
            <w:r>
              <w:rPr>
                <w:rFonts w:ascii="Courier New" w:cs="Courier New" w:eastAsia="Courier New" w:hAnsi="Courier New"/>
                <w:color w:val="111827"/>
                <w:sz w:val="12"/>
                <w:szCs w:val="12"/>
              </w:rPr>
              <w:t xml:space="preserve">  }</w:t>
            </w:r>
          </w:p>
          <w:p>
            <w:pPr>
              <w:spacing w:after="0" w:before="0" w:line="220"/>
            </w:pPr>
            <w:r>
              <w:rPr>
                <w:rFonts w:ascii="Courier New" w:cs="Courier New" w:eastAsia="Courier New" w:hAnsi="Courier New"/>
                <w:color w:val="111827"/>
                <w:sz w:val="12"/>
                <w:szCs w:val="12"/>
              </w:rPr>
              <w:t xml:space="preserve">}</w:t>
            </w:r>
          </w:p>
          <w:p>
            <w:pPr>
              <w:spacing w:after="0" w:before="0" w:line="220"/>
            </w:pPr>
            <w:r>
              <w:rPr>
                <w:rFonts w:ascii="Courier New" w:cs="Courier New" w:eastAsia="Courier New" w:hAnsi="Courier New"/>
                <w:color w:val="111827"/>
                <w:sz w:val="12"/>
                <w:szCs w:val="12"/>
              </w:rPr>
              <w:t xml:space="preserve">resource q 'Microsoft.ServiceBus/namespaces/queues@2022-10-01-preview' = {</w:t>
            </w:r>
          </w:p>
          <w:p>
            <w:pPr>
              <w:spacing w:after="0" w:before="0" w:line="220"/>
            </w:pPr>
            <w:r>
              <w:rPr>
                <w:rFonts w:ascii="Courier New" w:cs="Courier New" w:eastAsia="Courier New" w:hAnsi="Courier New"/>
                <w:color w:val="111827"/>
                <w:sz w:val="12"/>
                <w:szCs w:val="12"/>
              </w:rPr>
              <w:t xml:space="preserve">  parent: sb</w:t>
            </w:r>
          </w:p>
          <w:p>
            <w:pPr>
              <w:spacing w:after="0" w:before="0" w:line="220"/>
            </w:pPr>
            <w:r>
              <w:rPr>
                <w:rFonts w:ascii="Courier New" w:cs="Courier New" w:eastAsia="Courier New" w:hAnsi="Courier New"/>
                <w:color w:val="111827"/>
                <w:sz w:val="12"/>
                <w:szCs w:val="12"/>
              </w:rPr>
              <w:t xml:space="preserve">  name: 'sbq-p001-inbound'</w:t>
            </w:r>
          </w:p>
          <w:p>
            <w:pPr>
              <w:spacing w:after="0" w:before="0" w:line="220"/>
            </w:pPr>
            <w:r>
              <w:rPr>
                <w:rFonts w:ascii="Courier New" w:cs="Courier New" w:eastAsia="Courier New" w:hAnsi="Courier New"/>
                <w:color w:val="111827"/>
                <w:sz w:val="12"/>
                <w:szCs w:val="12"/>
              </w:rPr>
              <w:t xml:space="preserve">  properties: {</w:t>
            </w:r>
          </w:p>
          <w:p>
            <w:pPr>
              <w:spacing w:after="0" w:before="0" w:line="220"/>
            </w:pPr>
            <w:r>
              <w:rPr>
                <w:rFonts w:ascii="Courier New" w:cs="Courier New" w:eastAsia="Courier New" w:hAnsi="Courier New"/>
                <w:color w:val="111827"/>
                <w:sz w:val="12"/>
                <w:szCs w:val="12"/>
              </w:rPr>
              <w:t xml:space="preserve">    maxDeliveryCount: 5</w:t>
            </w:r>
          </w:p>
          <w:p>
            <w:pPr>
              <w:spacing w:after="0" w:before="0" w:line="220"/>
            </w:pPr>
            <w:r>
              <w:rPr>
                <w:rFonts w:ascii="Courier New" w:cs="Courier New" w:eastAsia="Courier New" w:hAnsi="Courier New"/>
                <w:color w:val="111827"/>
                <w:sz w:val="12"/>
                <w:szCs w:val="12"/>
              </w:rPr>
              <w:t xml:space="preserve">    defaultMessageTimeToLive: 'P7D'</w:t>
            </w:r>
          </w:p>
          <w:p>
            <w:pPr>
              <w:spacing w:after="0" w:before="0" w:line="220"/>
            </w:pPr>
            <w:r>
              <w:rPr>
                <w:rFonts w:ascii="Courier New" w:cs="Courier New" w:eastAsia="Courier New" w:hAnsi="Courier New"/>
                <w:color w:val="111827"/>
                <w:sz w:val="12"/>
                <w:szCs w:val="12"/>
              </w:rPr>
              <w:t xml:space="preserve">    deadLetteringOnMessageExpiration: true</w:t>
            </w:r>
          </w:p>
          <w:p>
            <w:pPr>
              <w:spacing w:after="0" w:before="0" w:line="220"/>
            </w:pPr>
            <w:r>
              <w:rPr>
                <w:rFonts w:ascii="Courier New" w:cs="Courier New" w:eastAsia="Courier New" w:hAnsi="Courier New"/>
                <w:color w:val="111827"/>
                <w:sz w:val="12"/>
                <w:szCs w:val="12"/>
              </w:rPr>
              <w:t xml:space="preserve">    lockDuration: 'PT1M'</w:t>
            </w:r>
          </w:p>
          <w:p>
            <w:pPr>
              <w:spacing w:after="0" w:before="0" w:line="220"/>
            </w:pPr>
            <w:r>
              <w:rPr>
                <w:rFonts w:ascii="Courier New" w:cs="Courier New" w:eastAsia="Courier New" w:hAnsi="Courier New"/>
                <w:color w:val="111827"/>
                <w:sz w:val="12"/>
                <w:szCs w:val="12"/>
              </w:rPr>
              <w:t xml:space="preserve">    requiresDuplicateDetection: true                 // MessageId = HMAC(partnerId|MSH-10)</w:t>
            </w:r>
          </w:p>
          <w:p>
            <w:pPr>
              <w:spacing w:after="0" w:before="0" w:line="220"/>
            </w:pPr>
            <w:r>
              <w:rPr>
                <w:rFonts w:ascii="Courier New" w:cs="Courier New" w:eastAsia="Courier New" w:hAnsi="Courier New"/>
                <w:color w:val="111827"/>
                <w:sz w:val="12"/>
                <w:szCs w:val="12"/>
              </w:rPr>
              <w:t xml:space="preserve">    duplicateDetectionHistoryTimeWindow: 'PT1H'</w:t>
            </w:r>
          </w:p>
          <w:p>
            <w:pPr>
              <w:spacing w:after="0" w:before="0" w:line="220"/>
            </w:pPr>
            <w:r>
              <w:rPr>
                <w:rFonts w:ascii="Courier New" w:cs="Courier New" w:eastAsia="Courier New" w:hAnsi="Courier New"/>
                <w:color w:val="111827"/>
                <w:sz w:val="12"/>
                <w:szCs w:val="12"/>
              </w:rPr>
              <w:t xml:space="preserve">  }</w:t>
            </w:r>
          </w:p>
          <w:p>
            <w:pPr>
              <w:spacing w:after="0" w:before="0" w:line="220"/>
            </w:pPr>
            <w:r>
              <w:rPr>
                <w:rFonts w:ascii="Courier New" w:cs="Courier New" w:eastAsia="Courier New" w:hAnsi="Courier New"/>
                <w:color w:val="111827"/>
                <w:sz w:val="12"/>
                <w:szCs w:val="12"/>
              </w:rPr>
              <w:t xml:space="preserve">}</w:t>
            </w:r>
          </w:p>
          <w:p>
            <w:pPr>
              <w:spacing w:after="0" w:before="0" w:line="220"/>
            </w:pPr>
            <w:r>
              <w:rPr>
                <w:rFonts w:ascii="Courier New" w:cs="Courier New" w:eastAsia="Courier New" w:hAnsi="Courier New"/>
                <w:color w:val="111827"/>
                <w:sz w:val="12"/>
                <w:szCs w:val="12"/>
              </w:rPr>
              <w:t xml:space="preserve"> </w:t>
            </w:r>
          </w:p>
          <w:p>
            <w:pPr>
              <w:spacing w:after="0" w:before="0" w:line="220"/>
            </w:pPr>
            <w:r>
              <w:rPr>
                <w:rFonts w:ascii="Courier New" w:cs="Courier New" w:eastAsia="Courier New" w:hAnsi="Courier New"/>
                <w:color w:val="4B5563"/>
                <w:sz w:val="12"/>
                <w:szCs w:val="12"/>
              </w:rPr>
              <w:t xml:space="preserve">// Worker identity: receive-only on one queue (CTRL-001)</w:t>
            </w:r>
          </w:p>
          <w:p>
            <w:pPr>
              <w:spacing w:after="0" w:before="0" w:line="220"/>
            </w:pPr>
            <w:r>
              <w:rPr>
                <w:rFonts w:ascii="Courier New" w:cs="Courier New" w:eastAsia="Courier New" w:hAnsi="Courier New"/>
                <w:color w:val="111827"/>
                <w:sz w:val="12"/>
                <w:szCs w:val="12"/>
              </w:rPr>
              <w:t xml:space="preserve">param sbDataReceiverRoleId string   // built-in "Azure Service Bus Data Receiver"</w:t>
            </w:r>
          </w:p>
          <w:p>
            <w:pPr>
              <w:spacing w:after="0" w:before="0" w:line="220"/>
            </w:pPr>
            <w:r>
              <w:rPr>
                <w:rFonts w:ascii="Courier New" w:cs="Courier New" w:eastAsia="Courier New" w:hAnsi="Courier New"/>
                <w:color w:val="111827"/>
                <w:sz w:val="12"/>
                <w:szCs w:val="12"/>
              </w:rPr>
              <w:t xml:space="preserve">resource rcv 'Microsoft.Authorization/roleAssignments@2022-04-01' = {</w:t>
            </w:r>
          </w:p>
          <w:p>
            <w:pPr>
              <w:spacing w:after="0" w:before="0" w:line="220"/>
            </w:pPr>
            <w:r>
              <w:rPr>
                <w:rFonts w:ascii="Courier New" w:cs="Courier New" w:eastAsia="Courier New" w:hAnsi="Courier New"/>
                <w:color w:val="111827"/>
                <w:sz w:val="12"/>
                <w:szCs w:val="12"/>
              </w:rPr>
              <w:t xml:space="preserve">  scope: q</w:t>
            </w:r>
          </w:p>
          <w:p>
            <w:pPr>
              <w:spacing w:after="0" w:before="0" w:line="220"/>
            </w:pPr>
            <w:r>
              <w:rPr>
                <w:rFonts w:ascii="Courier New" w:cs="Courier New" w:eastAsia="Courier New" w:hAnsi="Courier New"/>
                <w:color w:val="111827"/>
                <w:sz w:val="12"/>
                <w:szCs w:val="12"/>
              </w:rPr>
              <w:t xml:space="preserve">  name: guid(q.id, workerPrincipalId, sbDataReceiverRoleId)</w:t>
            </w:r>
          </w:p>
          <w:p>
            <w:pPr>
              <w:spacing w:after="0" w:before="0" w:line="220"/>
            </w:pPr>
            <w:r>
              <w:rPr>
                <w:rFonts w:ascii="Courier New" w:cs="Courier New" w:eastAsia="Courier New" w:hAnsi="Courier New"/>
                <w:color w:val="111827"/>
                <w:sz w:val="12"/>
                <w:szCs w:val="12"/>
              </w:rPr>
              <w:t xml:space="preserve">  properties: {</w:t>
            </w:r>
          </w:p>
          <w:p>
            <w:pPr>
              <w:spacing w:after="0" w:before="0" w:line="220"/>
            </w:pPr>
            <w:r>
              <w:rPr>
                <w:rFonts w:ascii="Courier New" w:cs="Courier New" w:eastAsia="Courier New" w:hAnsi="Courier New"/>
                <w:color w:val="111827"/>
                <w:sz w:val="12"/>
                <w:szCs w:val="12"/>
              </w:rPr>
              <w:t xml:space="preserve">    roleDefinitionId: subscriptionResourceId('Microsoft.Authorization/roleDefinitions', sbDataReceiverRoleId)</w:t>
            </w:r>
          </w:p>
          <w:p>
            <w:pPr>
              <w:spacing w:after="0" w:before="0" w:line="220"/>
            </w:pPr>
            <w:r>
              <w:rPr>
                <w:rFonts w:ascii="Courier New" w:cs="Courier New" w:eastAsia="Courier New" w:hAnsi="Courier New"/>
                <w:color w:val="111827"/>
                <w:sz w:val="12"/>
                <w:szCs w:val="12"/>
              </w:rPr>
              <w:t xml:space="preserve">    principalId: workerPrincipalId</w:t>
            </w:r>
          </w:p>
          <w:p>
            <w:pPr>
              <w:spacing w:after="0" w:before="0" w:line="220"/>
            </w:pPr>
            <w:r>
              <w:rPr>
                <w:rFonts w:ascii="Courier New" w:cs="Courier New" w:eastAsia="Courier New" w:hAnsi="Courier New"/>
                <w:color w:val="111827"/>
                <w:sz w:val="12"/>
                <w:szCs w:val="12"/>
              </w:rPr>
              <w:t xml:space="preserve">    principalType: 'ServicePrincipal'</w:t>
            </w:r>
          </w:p>
          <w:p>
            <w:pPr>
              <w:spacing w:after="0" w:before="0" w:line="220"/>
            </w:pPr>
            <w:r>
              <w:rPr>
                <w:rFonts w:ascii="Courier New" w:cs="Courier New" w:eastAsia="Courier New" w:hAnsi="Courier New"/>
                <w:color w:val="111827"/>
                <w:sz w:val="12"/>
                <w:szCs w:val="12"/>
              </w:rPr>
              <w:t xml:space="preserve">  }</w:t>
            </w:r>
          </w:p>
          <w:p>
            <w:pPr>
              <w:spacing w:after="0" w:before="0" w:line="220"/>
            </w:pPr>
            <w:r>
              <w:rPr>
                <w:rFonts w:ascii="Courier New" w:cs="Courier New" w:eastAsia="Courier New" w:hAnsi="Courier New"/>
                <w:color w:val="111827"/>
                <w:sz w:val="12"/>
                <w:szCs w:val="12"/>
              </w:rPr>
              <w:t xml:space="preserve">}</w:t>
            </w:r>
          </w:p>
          <w:p>
            <w:pPr>
              <w:spacing w:after="0" w:before="0" w:line="220"/>
            </w:pPr>
            <w:r>
              <w:rPr>
                <w:rFonts w:ascii="Courier New" w:cs="Courier New" w:eastAsia="Courier New" w:hAnsi="Courier New"/>
                <w:color w:val="111827"/>
                <w:sz w:val="12"/>
                <w:szCs w:val="12"/>
              </w:rPr>
              <w:t xml:space="preserve"> </w:t>
            </w:r>
          </w:p>
          <w:p>
            <w:pPr>
              <w:spacing w:after="0" w:before="0" w:line="220"/>
            </w:pPr>
            <w:r>
              <w:rPr>
                <w:rFonts w:ascii="Courier New" w:cs="Courier New" w:eastAsia="Courier New" w:hAnsi="Courier New"/>
                <w:color w:val="4B5563"/>
                <w:sz w:val="12"/>
                <w:szCs w:val="12"/>
              </w:rPr>
              <w:t xml:space="preserve">// Data Factory: managed identity, no public access, managed VNet (REM-01, REM-02)</w:t>
            </w:r>
          </w:p>
          <w:p>
            <w:pPr>
              <w:spacing w:after="0" w:before="0" w:line="220"/>
            </w:pPr>
            <w:r>
              <w:rPr>
                <w:rFonts w:ascii="Courier New" w:cs="Courier New" w:eastAsia="Courier New" w:hAnsi="Courier New"/>
                <w:color w:val="111827"/>
                <w:sz w:val="12"/>
                <w:szCs w:val="12"/>
              </w:rPr>
              <w:t xml:space="preserve">resource adf 'Microsoft.DataFactory/factories@2018-06-01' = {</w:t>
            </w:r>
          </w:p>
          <w:p>
            <w:pPr>
              <w:spacing w:after="0" w:before="0" w:line="220"/>
            </w:pPr>
            <w:r>
              <w:rPr>
                <w:rFonts w:ascii="Courier New" w:cs="Courier New" w:eastAsia="Courier New" w:hAnsi="Courier New"/>
                <w:color w:val="111827"/>
                <w:sz w:val="12"/>
                <w:szCs w:val="12"/>
              </w:rPr>
              <w:t xml:space="preserve">  name: adfName</w:t>
            </w:r>
          </w:p>
          <w:p>
            <w:pPr>
              <w:spacing w:after="0" w:before="0" w:line="220"/>
            </w:pPr>
            <w:r>
              <w:rPr>
                <w:rFonts w:ascii="Courier New" w:cs="Courier New" w:eastAsia="Courier New" w:hAnsi="Courier New"/>
                <w:color w:val="111827"/>
                <w:sz w:val="12"/>
                <w:szCs w:val="12"/>
              </w:rPr>
              <w:t xml:space="preserve">  location: location</w:t>
            </w:r>
          </w:p>
          <w:p>
            <w:pPr>
              <w:spacing w:after="0" w:before="0" w:line="220"/>
            </w:pPr>
            <w:r>
              <w:rPr>
                <w:rFonts w:ascii="Courier New" w:cs="Courier New" w:eastAsia="Courier New" w:hAnsi="Courier New"/>
                <w:color w:val="111827"/>
                <w:sz w:val="12"/>
                <w:szCs w:val="12"/>
              </w:rPr>
              <w:t xml:space="preserve">  identity: { type: 'SystemAssigned' }</w:t>
            </w:r>
          </w:p>
          <w:p>
            <w:pPr>
              <w:spacing w:after="0" w:before="0" w:line="220"/>
            </w:pPr>
            <w:r>
              <w:rPr>
                <w:rFonts w:ascii="Courier New" w:cs="Courier New" w:eastAsia="Courier New" w:hAnsi="Courier New"/>
                <w:color w:val="111827"/>
                <w:sz w:val="12"/>
                <w:szCs w:val="12"/>
              </w:rPr>
              <w:t xml:space="preserve">  properties: { publicNetworkAccess: 'Disabled' }</w:t>
            </w:r>
          </w:p>
          <w:p>
            <w:pPr>
              <w:spacing w:after="0" w:before="0" w:line="220"/>
            </w:pPr>
            <w:r>
              <w:rPr>
                <w:rFonts w:ascii="Courier New" w:cs="Courier New" w:eastAsia="Courier New" w:hAnsi="Courier New"/>
                <w:color w:val="111827"/>
                <w:sz w:val="12"/>
                <w:szCs w:val="12"/>
              </w:rPr>
              <w:t xml:space="preserve">}</w:t>
            </w:r>
          </w:p>
          <w:p>
            <w:pPr>
              <w:spacing w:after="0" w:before="0" w:line="220"/>
            </w:pPr>
            <w:r>
              <w:rPr>
                <w:rFonts w:ascii="Courier New" w:cs="Courier New" w:eastAsia="Courier New" w:hAnsi="Courier New"/>
                <w:color w:val="111827"/>
                <w:sz w:val="12"/>
                <w:szCs w:val="12"/>
              </w:rPr>
              <w:t xml:space="preserve">resource mvnet 'Microsoft.DataFactory/factories/managedVirtualNetworks@2018-06-01' = {</w:t>
            </w:r>
          </w:p>
          <w:p>
            <w:pPr>
              <w:spacing w:after="0" w:before="0" w:line="220"/>
            </w:pPr>
            <w:r>
              <w:rPr>
                <w:rFonts w:ascii="Courier New" w:cs="Courier New" w:eastAsia="Courier New" w:hAnsi="Courier New"/>
                <w:color w:val="111827"/>
                <w:sz w:val="12"/>
                <w:szCs w:val="12"/>
              </w:rPr>
              <w:t xml:space="preserve">  parent: adf</w:t>
            </w:r>
          </w:p>
          <w:p>
            <w:pPr>
              <w:spacing w:after="0" w:before="0" w:line="220"/>
            </w:pPr>
            <w:r>
              <w:rPr>
                <w:rFonts w:ascii="Courier New" w:cs="Courier New" w:eastAsia="Courier New" w:hAnsi="Courier New"/>
                <w:color w:val="111827"/>
                <w:sz w:val="12"/>
                <w:szCs w:val="12"/>
              </w:rPr>
              <w:t xml:space="preserve">  name: 'default'</w:t>
            </w:r>
          </w:p>
          <w:p>
            <w:pPr>
              <w:spacing w:after="0" w:before="0" w:line="220"/>
            </w:pPr>
            <w:r>
              <w:rPr>
                <w:rFonts w:ascii="Courier New" w:cs="Courier New" w:eastAsia="Courier New" w:hAnsi="Courier New"/>
                <w:color w:val="111827"/>
                <w:sz w:val="12"/>
                <w:szCs w:val="12"/>
              </w:rPr>
              <w:t xml:space="preserve">  properties: {}</w:t>
            </w:r>
          </w:p>
          <w:p>
            <w:pPr>
              <w:spacing w:after="0" w:before="0" w:line="220"/>
            </w:pPr>
            <w:r>
              <w:rPr>
                <w:rFonts w:ascii="Courier New" w:cs="Courier New" w:eastAsia="Courier New" w:hAnsi="Courier New"/>
                <w:color w:val="111827"/>
                <w:sz w:val="12"/>
                <w:szCs w:val="12"/>
              </w:rPr>
              <w:t xml:space="preserve">}</w:t>
            </w:r>
          </w:p>
          <w:p>
            <w:pPr>
              <w:spacing w:after="0" w:before="0" w:line="220"/>
            </w:pPr>
            <w:r>
              <w:rPr>
                <w:rFonts w:ascii="Courier New" w:cs="Courier New" w:eastAsia="Courier New" w:hAnsi="Courier New"/>
                <w:color w:val="111827"/>
                <w:sz w:val="12"/>
                <w:szCs w:val="12"/>
              </w:rPr>
              <w:t xml:space="preserve"> </w:t>
            </w:r>
          </w:p>
          <w:p>
            <w:pPr>
              <w:spacing w:after="0" w:before="0" w:line="220"/>
            </w:pPr>
            <w:r>
              <w:rPr>
                <w:rFonts w:ascii="Courier New" w:cs="Courier New" w:eastAsia="Courier New" w:hAnsi="Courier New"/>
                <w:color w:val="4B5563"/>
                <w:sz w:val="12"/>
                <w:szCs w:val="12"/>
              </w:rPr>
              <w:t xml:space="preserve">// FHIR audit logs to workspace (resource-specific) and immutable archive (CTRL-005, A-05)</w:t>
            </w:r>
          </w:p>
          <w:p>
            <w:pPr>
              <w:spacing w:after="0" w:before="0" w:line="220"/>
            </w:pPr>
            <w:r>
              <w:rPr>
                <w:rFonts w:ascii="Courier New" w:cs="Courier New" w:eastAsia="Courier New" w:hAnsi="Courier New"/>
                <w:color w:val="111827"/>
                <w:sz w:val="12"/>
                <w:szCs w:val="12"/>
              </w:rPr>
              <w:t xml:space="preserve">resource fhirDiag 'Microsoft.Insights/diagnosticSettings@2021-05-01-preview' = {</w:t>
            </w:r>
          </w:p>
          <w:p>
            <w:pPr>
              <w:spacing w:after="0" w:before="0" w:line="220"/>
            </w:pPr>
            <w:r>
              <w:rPr>
                <w:rFonts w:ascii="Courier New" w:cs="Courier New" w:eastAsia="Courier New" w:hAnsi="Courier New"/>
                <w:color w:val="111827"/>
                <w:sz w:val="12"/>
                <w:szCs w:val="12"/>
              </w:rPr>
              <w:t xml:space="preserve">  scope: fhir          // Microsoft.HealthcareApis/workspaces/fhirservices</w:t>
            </w:r>
          </w:p>
          <w:p>
            <w:pPr>
              <w:spacing w:after="0" w:before="0" w:line="220"/>
            </w:pPr>
            <w:r>
              <w:rPr>
                <w:rFonts w:ascii="Courier New" w:cs="Courier New" w:eastAsia="Courier New" w:hAnsi="Courier New"/>
                <w:color w:val="111827"/>
                <w:sz w:val="12"/>
                <w:szCs w:val="12"/>
              </w:rPr>
              <w:t xml:space="preserve">  name: 'diag-fhir-audit'</w:t>
            </w:r>
          </w:p>
          <w:p>
            <w:pPr>
              <w:spacing w:after="0" w:before="0" w:line="220"/>
            </w:pPr>
            <w:r>
              <w:rPr>
                <w:rFonts w:ascii="Courier New" w:cs="Courier New" w:eastAsia="Courier New" w:hAnsi="Courier New"/>
                <w:color w:val="111827"/>
                <w:sz w:val="12"/>
                <w:szCs w:val="12"/>
              </w:rPr>
              <w:t xml:space="preserve">  properties: {</w:t>
            </w:r>
          </w:p>
          <w:p>
            <w:pPr>
              <w:spacing w:after="0" w:before="0" w:line="220"/>
            </w:pPr>
            <w:r>
              <w:rPr>
                <w:rFonts w:ascii="Courier New" w:cs="Courier New" w:eastAsia="Courier New" w:hAnsi="Courier New"/>
                <w:color w:val="111827"/>
                <w:sz w:val="12"/>
                <w:szCs w:val="12"/>
              </w:rPr>
              <w:t xml:space="preserve">    workspaceId: law.id</w:t>
            </w:r>
          </w:p>
          <w:p>
            <w:pPr>
              <w:spacing w:after="0" w:before="0" w:line="220"/>
            </w:pPr>
            <w:r>
              <w:rPr>
                <w:rFonts w:ascii="Courier New" w:cs="Courier New" w:eastAsia="Courier New" w:hAnsi="Courier New"/>
                <w:color w:val="111827"/>
                <w:sz w:val="12"/>
                <w:szCs w:val="12"/>
              </w:rPr>
              <w:t xml:space="preserve">    storageAccountId: evidence.id</w:t>
            </w:r>
          </w:p>
          <w:p>
            <w:pPr>
              <w:spacing w:after="0" w:before="0" w:line="220"/>
            </w:pPr>
            <w:r>
              <w:rPr>
                <w:rFonts w:ascii="Courier New" w:cs="Courier New" w:eastAsia="Courier New" w:hAnsi="Courier New"/>
                <w:color w:val="111827"/>
                <w:sz w:val="12"/>
                <w:szCs w:val="12"/>
              </w:rPr>
              <w:t xml:space="preserve">    logAnalyticsDestinationType: 'Dedicated'</w:t>
            </w:r>
          </w:p>
          <w:p>
            <w:pPr>
              <w:spacing w:after="0" w:before="0" w:line="220"/>
            </w:pPr>
            <w:r>
              <w:rPr>
                <w:rFonts w:ascii="Courier New" w:cs="Courier New" w:eastAsia="Courier New" w:hAnsi="Courier New"/>
                <w:color w:val="111827"/>
                <w:sz w:val="12"/>
                <w:szCs w:val="12"/>
              </w:rPr>
              <w:t xml:space="preserve">    logs: [ { category: 'AuditLogs', enabled: true } ]</w:t>
            </w:r>
          </w:p>
          <w:p>
            <w:pPr>
              <w:spacing w:after="0" w:before="0" w:line="220"/>
            </w:pPr>
            <w:r>
              <w:rPr>
                <w:rFonts w:ascii="Courier New" w:cs="Courier New" w:eastAsia="Courier New" w:hAnsi="Courier New"/>
                <w:color w:val="111827"/>
                <w:sz w:val="12"/>
                <w:szCs w:val="12"/>
              </w:rPr>
              <w:t xml:space="preserve">    metrics: [ { category: 'AllMetrics', enabled: true } ]</w:t>
            </w:r>
          </w:p>
          <w:p>
            <w:pPr>
              <w:spacing w:after="0" w:before="0" w:line="220"/>
            </w:pPr>
            <w:r>
              <w:rPr>
                <w:rFonts w:ascii="Courier New" w:cs="Courier New" w:eastAsia="Courier New" w:hAnsi="Courier New"/>
                <w:color w:val="111827"/>
                <w:sz w:val="12"/>
                <w:szCs w:val="12"/>
              </w:rPr>
              <w:t xml:space="preserve">  }</w:t>
            </w:r>
          </w:p>
          <w:p>
            <w:pPr>
              <w:spacing w:after="0" w:before="0" w:line="220"/>
            </w:pPr>
            <w:r>
              <w:rPr>
                <w:rFonts w:ascii="Courier New" w:cs="Courier New" w:eastAsia="Courier New" w:hAnsi="Courier New"/>
                <w:color w:val="111827"/>
                <w:sz w:val="12"/>
                <w:szCs w:val="12"/>
              </w:rPr>
              <w:t xml:space="preserve">}</w:t>
            </w:r>
          </w:p>
        </w:tc>
      </w:tr>
    </w:tbl>
    <w:p>
      <w:pPr>
        <w:spacing w:after="60" w:before="60" w:line="236"/>
        <w:jc w:val="left"/>
      </w:pPr>
      <w:r>
        <w:rPr>
          <w:rFonts w:ascii="Calibri" w:cs="Calibri" w:eastAsia="Calibri" w:hAnsi="Calibri"/>
          <w:b/>
          <w:bCs/>
          <w:color w:val="1F2937"/>
          <w:sz w:val="17"/>
          <w:szCs w:val="17"/>
        </w:rPr>
        <w:t xml:space="preserve">Azure Policy (DINE):</w:t>
      </w:r>
      <w:r>
        <w:rPr>
          <w:rFonts w:ascii="Calibri" w:cs="Calibri" w:eastAsia="Calibri" w:hAnsi="Calibri"/>
          <w:color w:val="1F2937"/>
          <w:sz w:val="17"/>
          <w:szCs w:val="17"/>
        </w:rPr>
        <w:t xml:space="preserve"> assigned at the integration management-group scope for </w:t>
      </w:r>
      <w:r>
        <w:rPr>
          <w:rFonts w:ascii="Courier New" w:cs="Courier New" w:eastAsia="Courier New" w:hAnsi="Courier New"/>
          <w:color w:val="0B3A6E"/>
          <w:sz w:val="14"/>
          <w:szCs w:val="14"/>
        </w:rPr>
        <w:t xml:space="preserve">Microsoft.HealthcareApis/workspaces/fhirservices</w:t>
      </w:r>
      <w:r>
        <w:rPr>
          <w:rFonts w:ascii="Calibri" w:cs="Calibri" w:eastAsia="Calibri" w:hAnsi="Calibri"/>
          <w:color w:val="1F2937"/>
          <w:sz w:val="17"/>
          <w:szCs w:val="17"/>
        </w:rPr>
        <w:t xml:space="preserve">, ADF and Service Bus. The existence condition requires </w:t>
      </w:r>
      <w:r>
        <w:rPr>
          <w:rFonts w:ascii="Courier New" w:cs="Courier New" w:eastAsia="Courier New" w:hAnsi="Courier New"/>
          <w:color w:val="0B3A6E"/>
          <w:sz w:val="14"/>
          <w:szCs w:val="14"/>
        </w:rPr>
        <w:t xml:space="preserve">logs.enabled == true</w:t>
      </w:r>
      <w:r>
        <w:rPr>
          <w:rFonts w:ascii="Calibri" w:cs="Calibri" w:eastAsia="Calibri" w:hAnsi="Calibri"/>
          <w:color w:val="1F2937"/>
          <w:sz w:val="17"/>
          <w:szCs w:val="17"/>
        </w:rPr>
        <w:t xml:space="preserve"> and the approved </w:t>
      </w:r>
      <w:r>
        <w:rPr>
          <w:rFonts w:ascii="Courier New" w:cs="Courier New" w:eastAsia="Courier New" w:hAnsi="Courier New"/>
          <w:color w:val="0B3A6E"/>
          <w:sz w:val="14"/>
          <w:szCs w:val="14"/>
        </w:rPr>
        <w:t xml:space="preserve">workspaceId</w:t>
      </w:r>
      <w:r>
        <w:rPr>
          <w:rFonts w:ascii="Calibri" w:cs="Calibri" w:eastAsia="Calibri" w:hAnsi="Calibri"/>
          <w:color w:val="1F2937"/>
          <w:sz w:val="17"/>
          <w:szCs w:val="17"/>
        </w:rPr>
        <w:t xml:space="preserve">. The deployment re-creates </w:t>
      </w:r>
      <w:r>
        <w:rPr>
          <w:rFonts w:ascii="Courier New" w:cs="Courier New" w:eastAsia="Courier New" w:hAnsi="Courier New"/>
          <w:color w:val="0B3A6E"/>
          <w:sz w:val="14"/>
          <w:szCs w:val="14"/>
        </w:rPr>
        <w:t xml:space="preserve">diag-fhir-audit</w:t>
      </w:r>
      <w:r>
        <w:rPr>
          <w:rFonts w:ascii="Calibri" w:cs="Calibri" w:eastAsia="Calibri" w:hAnsi="Calibri"/>
          <w:color w:val="1F2937"/>
          <w:sz w:val="17"/>
          <w:szCs w:val="17"/>
        </w:rPr>
        <w:t xml:space="preserve"> as above, and remediation tasks run on non-compliance (AUT-01). A companion </w:t>
      </w:r>
      <w:r>
        <w:rPr>
          <w:rFonts w:ascii="Calibri" w:cs="Calibri" w:eastAsia="Calibri" w:hAnsi="Calibri"/>
          <w:b/>
          <w:bCs/>
          <w:color w:val="1F2937"/>
          <w:sz w:val="17"/>
          <w:szCs w:val="17"/>
        </w:rPr>
        <w:t xml:space="preserve">deny</w:t>
      </w:r>
      <w:r>
        <w:rPr>
          <w:rFonts w:ascii="Calibri" w:cs="Calibri" w:eastAsia="Calibri" w:hAnsi="Calibri"/>
          <w:color w:val="1F2937"/>
          <w:sz w:val="17"/>
          <w:szCs w:val="17"/>
        </w:rPr>
        <w:t xml:space="preserve"> policy blocks </w:t>
      </w:r>
      <w:r>
        <w:rPr>
          <w:rFonts w:ascii="Courier New" w:cs="Courier New" w:eastAsia="Courier New" w:hAnsi="Courier New"/>
          <w:color w:val="0B3A6E"/>
          <w:sz w:val="14"/>
          <w:szCs w:val="14"/>
        </w:rPr>
        <w:t xml:space="preserve">publicNetworkAccess != Disabled</w:t>
      </w:r>
      <w:r>
        <w:rPr>
          <w:rFonts w:ascii="Calibri" w:cs="Calibri" w:eastAsia="Calibri" w:hAnsi="Calibri"/>
          <w:color w:val="1F2937"/>
          <w:sz w:val="17"/>
          <w:szCs w:val="17"/>
        </w:rPr>
        <w:t xml:space="preserve"> on in-scope resource types (PC-02), with exemptions recorded only for EX-01.</w:t>
      </w:r>
    </w:p>
    <w:p>
      <w:pPr>
        <w:pStyle w:val="Heading2"/>
        <w:keepNext/>
        <w:spacing w:after="40" w:before="90"/>
      </w:pPr>
      <w:r>
        <w:rPr>
          <w:rFonts w:ascii="Calibri" w:cs="Calibri" w:eastAsia="Calibri" w:hAnsi="Calibri"/>
          <w:b/>
          <w:bCs/>
          <w:color w:val="0F6CBD"/>
          <w:sz w:val="20"/>
          <w:szCs w:val="20"/>
        </w:rPr>
        <w:t xml:space="preserve">D. API Management inbound policy (Fabrikam, H6–H7)</w:t>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12"/>
      </w:tblGrid>
      <w:tr>
        <w:trPr>
          <w:cantSplit w:val="false"/>
        </w:trPr>
        <w:tc>
          <w:tcPr>
            <w:tcW w:type="dxa" w:w="10512"/>
            <w:tcBorders>
              <w:top w:val="single" w:color="BFC7D5" w:sz="4"/>
              <w:left w:val="single" w:color="0F6CBD" w:sz="18"/>
              <w:bottom w:val="single" w:color="BFC7D5" w:sz="4"/>
              <w:right w:val="single" w:color="BFC7D5" w:sz="4"/>
            </w:tcBorders>
            <w:shd w:fill="F3F4F6" w:color="auto" w:val="clear"/>
            <w:tcMar>
              <w:top w:type="dxa" w:w="40"/>
              <w:left w:type="dxa" w:w="90"/>
              <w:bottom w:type="dxa" w:w="40"/>
              <w:right w:type="dxa" w:w="60"/>
            </w:tcMar>
          </w:tcPr>
          <w:p>
            <w:pPr>
              <w:spacing w:after="0" w:before="0" w:line="220"/>
            </w:pPr>
            <w:r>
              <w:rPr>
                <w:rFonts w:ascii="Courier New" w:cs="Courier New" w:eastAsia="Courier New" w:hAnsi="Courier New"/>
                <w:color w:val="111827"/>
                <w:sz w:val="12"/>
                <w:szCs w:val="12"/>
              </w:rPr>
              <w:t xml:space="preserve">&lt;!-- {{...}} are API Management named values (no secrets); environment values stay out of this document --&gt;</w:t>
            </w:r>
          </w:p>
          <w:p>
            <w:pPr>
              <w:spacing w:after="0" w:before="0" w:line="220"/>
            </w:pPr>
            <w:r>
              <w:rPr>
                <w:rFonts w:ascii="Courier New" w:cs="Courier New" w:eastAsia="Courier New" w:hAnsi="Courier New"/>
                <w:color w:val="111827"/>
                <w:sz w:val="12"/>
                <w:szCs w:val="12"/>
              </w:rPr>
              <w:t xml:space="preserve">&lt;policies&gt;</w:t>
            </w:r>
          </w:p>
          <w:p>
            <w:pPr>
              <w:spacing w:after="0" w:before="0" w:line="220"/>
            </w:pPr>
            <w:r>
              <w:rPr>
                <w:rFonts w:ascii="Courier New" w:cs="Courier New" w:eastAsia="Courier New" w:hAnsi="Courier New"/>
                <w:color w:val="111827"/>
                <w:sz w:val="12"/>
                <w:szCs w:val="12"/>
              </w:rPr>
              <w:t xml:space="preserve">  &lt;inbound&gt;</w:t>
            </w:r>
          </w:p>
          <w:p>
            <w:pPr>
              <w:spacing w:after="0" w:before="0" w:line="220"/>
            </w:pPr>
            <w:r>
              <w:rPr>
                <w:rFonts w:ascii="Courier New" w:cs="Courier New" w:eastAsia="Courier New" w:hAnsi="Courier New"/>
                <w:color w:val="111827"/>
                <w:sz w:val="12"/>
                <w:szCs w:val="12"/>
              </w:rPr>
              <w:t xml:space="preserve">    &lt;base /&gt;</w:t>
            </w:r>
          </w:p>
          <w:p>
            <w:pPr>
              <w:spacing w:after="0" w:before="0" w:line="220"/>
            </w:pPr>
            <w:r>
              <w:rPr>
                <w:rFonts w:ascii="Courier New" w:cs="Courier New" w:eastAsia="Courier New" w:hAnsi="Courier New"/>
                <w:color w:val="111827"/>
                <w:sz w:val="12"/>
                <w:szCs w:val="12"/>
              </w:rPr>
              <w:t xml:space="preserve">    &lt;!-- Only conditional create/update and transaction bundles: no DELETE, no $export --&gt;</w:t>
            </w:r>
          </w:p>
          <w:p>
            <w:pPr>
              <w:spacing w:after="0" w:before="0" w:line="220"/>
            </w:pPr>
            <w:r>
              <w:rPr>
                <w:rFonts w:ascii="Courier New" w:cs="Courier New" w:eastAsia="Courier New" w:hAnsi="Courier New"/>
                <w:color w:val="111827"/>
                <w:sz w:val="12"/>
                <w:szCs w:val="12"/>
              </w:rPr>
              <w:t xml:space="preserve">    &lt;choose&gt;</w:t>
            </w:r>
          </w:p>
          <w:p>
            <w:pPr>
              <w:spacing w:after="0" w:before="0" w:line="220"/>
            </w:pPr>
            <w:r>
              <w:rPr>
                <w:rFonts w:ascii="Courier New" w:cs="Courier New" w:eastAsia="Courier New" w:hAnsi="Courier New"/>
                <w:color w:val="111827"/>
                <w:sz w:val="12"/>
                <w:szCs w:val="12"/>
              </w:rPr>
              <w:t xml:space="preserve">      &lt;when condition="@(context.Request.Method != "PUT" &amp;&amp; context.Request.Method != "POST")"&gt;</w:t>
            </w:r>
          </w:p>
          <w:p>
            <w:pPr>
              <w:spacing w:after="0" w:before="0" w:line="220"/>
            </w:pPr>
            <w:r>
              <w:rPr>
                <w:rFonts w:ascii="Courier New" w:cs="Courier New" w:eastAsia="Courier New" w:hAnsi="Courier New"/>
                <w:color w:val="111827"/>
                <w:sz w:val="12"/>
                <w:szCs w:val="12"/>
              </w:rPr>
              <w:t xml:space="preserve">        &lt;return-response&gt;&lt;set-status code="405" reason="Method Not Allowed" /&gt;&lt;/return-response&gt;</w:t>
            </w:r>
          </w:p>
          <w:p>
            <w:pPr>
              <w:spacing w:after="0" w:before="0" w:line="220"/>
            </w:pPr>
            <w:r>
              <w:rPr>
                <w:rFonts w:ascii="Courier New" w:cs="Courier New" w:eastAsia="Courier New" w:hAnsi="Courier New"/>
                <w:color w:val="111827"/>
                <w:sz w:val="12"/>
                <w:szCs w:val="12"/>
              </w:rPr>
              <w:t xml:space="preserve">      &lt;/when&gt;</w:t>
            </w:r>
          </w:p>
          <w:p>
            <w:pPr>
              <w:spacing w:after="0" w:before="0" w:line="220"/>
            </w:pPr>
            <w:r>
              <w:rPr>
                <w:rFonts w:ascii="Courier New" w:cs="Courier New" w:eastAsia="Courier New" w:hAnsi="Courier New"/>
                <w:color w:val="111827"/>
                <w:sz w:val="12"/>
                <w:szCs w:val="12"/>
              </w:rPr>
              <w:t xml:space="preserve">    &lt;/choose&gt;</w:t>
            </w:r>
          </w:p>
          <w:p>
            <w:pPr>
              <w:spacing w:after="0" w:before="0" w:line="220"/>
            </w:pPr>
            <w:r>
              <w:rPr>
                <w:rFonts w:ascii="Courier New" w:cs="Courier New" w:eastAsia="Courier New" w:hAnsi="Courier New"/>
                <w:color w:val="111827"/>
                <w:sz w:val="12"/>
                <w:szCs w:val="12"/>
              </w:rPr>
              <w:t xml:space="preserve">    &lt;validate-jwt header-name="Authorization" failed-validation-httpcode="401" require-scheme="Bearer"&gt;</w:t>
            </w:r>
          </w:p>
          <w:p>
            <w:pPr>
              <w:spacing w:after="0" w:before="0" w:line="220"/>
            </w:pPr>
            <w:r>
              <w:rPr>
                <w:rFonts w:ascii="Courier New" w:cs="Courier New" w:eastAsia="Courier New" w:hAnsi="Courier New"/>
                <w:color w:val="111827"/>
                <w:sz w:val="12"/>
                <w:szCs w:val="12"/>
              </w:rPr>
              <w:t xml:space="preserve">      &lt;openid-config url="https://login.microsoftonline.com/{{tenant-id}}/v2.0/.well-known/openid-configuration" /&gt;</w:t>
            </w:r>
          </w:p>
          <w:p>
            <w:pPr>
              <w:spacing w:after="0" w:before="0" w:line="220"/>
            </w:pPr>
            <w:r>
              <w:rPr>
                <w:rFonts w:ascii="Courier New" w:cs="Courier New" w:eastAsia="Courier New" w:hAnsi="Courier New"/>
                <w:color w:val="111827"/>
                <w:sz w:val="12"/>
                <w:szCs w:val="12"/>
              </w:rPr>
              <w:t xml:space="preserve">      &lt;audiences&gt;&lt;audience&gt;{{fhir-audience}}&lt;/audience&gt;&lt;/audiences&gt;</w:t>
            </w:r>
          </w:p>
          <w:p>
            <w:pPr>
              <w:spacing w:after="0" w:before="0" w:line="220"/>
            </w:pPr>
            <w:r>
              <w:rPr>
                <w:rFonts w:ascii="Courier New" w:cs="Courier New" w:eastAsia="Courier New" w:hAnsi="Courier New"/>
                <w:color w:val="111827"/>
                <w:sz w:val="12"/>
                <w:szCs w:val="12"/>
              </w:rPr>
              <w:t xml:space="preserve">      &lt;required-claims&gt;</w:t>
            </w:r>
          </w:p>
          <w:p>
            <w:pPr>
              <w:spacing w:after="0" w:before="0" w:line="220"/>
            </w:pPr>
            <w:r>
              <w:rPr>
                <w:rFonts w:ascii="Courier New" w:cs="Courier New" w:eastAsia="Courier New" w:hAnsi="Courier New"/>
                <w:color w:val="111827"/>
                <w:sz w:val="12"/>
                <w:szCs w:val="12"/>
              </w:rPr>
              <w:t xml:space="preserve">        &lt;claim name="appid" match="any"&gt;&lt;value&gt;{{fabrikam-client-id}}&lt;/value&gt;&lt;/claim&gt;</w:t>
            </w:r>
          </w:p>
          <w:p>
            <w:pPr>
              <w:spacing w:after="0" w:before="0" w:line="220"/>
            </w:pPr>
            <w:r>
              <w:rPr>
                <w:rFonts w:ascii="Courier New" w:cs="Courier New" w:eastAsia="Courier New" w:hAnsi="Courier New"/>
                <w:color w:val="111827"/>
                <w:sz w:val="12"/>
                <w:szCs w:val="12"/>
              </w:rPr>
              <w:t xml:space="preserve">      &lt;/required-claims&gt;</w:t>
            </w:r>
          </w:p>
          <w:p>
            <w:pPr>
              <w:spacing w:after="0" w:before="0" w:line="220"/>
            </w:pPr>
            <w:r>
              <w:rPr>
                <w:rFonts w:ascii="Courier New" w:cs="Courier New" w:eastAsia="Courier New" w:hAnsi="Courier New"/>
                <w:color w:val="111827"/>
                <w:sz w:val="12"/>
                <w:szCs w:val="12"/>
              </w:rPr>
              <w:t xml:space="preserve">    &lt;/validate-jwt&gt;</w:t>
            </w:r>
          </w:p>
          <w:p>
            <w:pPr>
              <w:spacing w:after="0" w:before="0" w:line="220"/>
            </w:pPr>
            <w:r>
              <w:rPr>
                <w:rFonts w:ascii="Courier New" w:cs="Courier New" w:eastAsia="Courier New" w:hAnsi="Courier New"/>
                <w:color w:val="111827"/>
                <w:sz w:val="12"/>
                <w:szCs w:val="12"/>
              </w:rPr>
              <w:t xml:space="preserve">    &lt;!-- 40 req/s average (PC-10), keyed on the calling app --&gt;</w:t>
            </w:r>
          </w:p>
          <w:p>
            <w:pPr>
              <w:spacing w:after="0" w:before="0" w:line="220"/>
            </w:pPr>
            <w:r>
              <w:rPr>
                <w:rFonts w:ascii="Courier New" w:cs="Courier New" w:eastAsia="Courier New" w:hAnsi="Courier New"/>
                <w:color w:val="111827"/>
                <w:sz w:val="12"/>
                <w:szCs w:val="12"/>
              </w:rPr>
              <w:t xml:space="preserve">    &lt;rate-limit-by-key calls="2400" renewal-period="60"</w:t>
            </w:r>
          </w:p>
          <w:p>
            <w:pPr>
              <w:spacing w:after="0" w:before="0" w:line="220"/>
            </w:pPr>
            <w:r>
              <w:rPr>
                <w:rFonts w:ascii="Courier New" w:cs="Courier New" w:eastAsia="Courier New" w:hAnsi="Courier New"/>
                <w:color w:val="111827"/>
                <w:sz w:val="12"/>
                <w:szCs w:val="12"/>
              </w:rPr>
              <w:t xml:space="preserve">        counter-key="@(context.Request.Headers.GetValueOrDefault("Authorization","").AsJwt()?.Claims.GetValueOrDefault("appid","unknown"))" /&gt;</w:t>
            </w:r>
          </w:p>
          <w:p>
            <w:pPr>
              <w:spacing w:after="0" w:before="0" w:line="220"/>
            </w:pPr>
            <w:r>
              <w:rPr>
                <w:rFonts w:ascii="Courier New" w:cs="Courier New" w:eastAsia="Courier New" w:hAnsi="Courier New"/>
                <w:color w:val="111827"/>
                <w:sz w:val="12"/>
                <w:szCs w:val="12"/>
              </w:rPr>
              <w:t xml:space="preserve">    &lt;set-header name="X-Correlation-ID" exists-action="skip"&gt;&lt;value&gt;@(context.RequestId.ToString())&lt;/value&gt;&lt;/set-header&gt;</w:t>
            </w:r>
          </w:p>
          <w:p>
            <w:pPr>
              <w:spacing w:after="0" w:before="0" w:line="220"/>
            </w:pPr>
            <w:r>
              <w:rPr>
                <w:rFonts w:ascii="Courier New" w:cs="Courier New" w:eastAsia="Courier New" w:hAnsi="Courier New"/>
                <w:color w:val="111827"/>
                <w:sz w:val="12"/>
                <w:szCs w:val="12"/>
              </w:rPr>
              <w:t xml:space="preserve">    &lt;!-- Profile validation on write; confirm header support for the deployed FHIR service version --&gt;</w:t>
            </w:r>
          </w:p>
          <w:p>
            <w:pPr>
              <w:spacing w:after="0" w:before="0" w:line="220"/>
            </w:pPr>
            <w:r>
              <w:rPr>
                <w:rFonts w:ascii="Courier New" w:cs="Courier New" w:eastAsia="Courier New" w:hAnsi="Courier New"/>
                <w:color w:val="111827"/>
                <w:sz w:val="12"/>
                <w:szCs w:val="12"/>
              </w:rPr>
              <w:t xml:space="preserve">    &lt;set-header name="x-ms-profile-validation" exists-action="override"&gt;&lt;value&gt;true&lt;/value&gt;&lt;/set-header&gt;</w:t>
            </w:r>
          </w:p>
          <w:p>
            <w:pPr>
              <w:spacing w:after="0" w:before="0" w:line="220"/>
            </w:pPr>
            <w:r>
              <w:rPr>
                <w:rFonts w:ascii="Courier New" w:cs="Courier New" w:eastAsia="Courier New" w:hAnsi="Courier New"/>
                <w:color w:val="111827"/>
                <w:sz w:val="12"/>
                <w:szCs w:val="12"/>
              </w:rPr>
              <w:t xml:space="preserve">    &lt;set-backend-service base-url="https://{{fhir-private-fqdn}}" /&gt;   &lt;!-- resolves to the private endpoint --&gt;</w:t>
            </w:r>
          </w:p>
          <w:p>
            <w:pPr>
              <w:spacing w:after="0" w:before="0" w:line="220"/>
            </w:pPr>
            <w:r>
              <w:rPr>
                <w:rFonts w:ascii="Courier New" w:cs="Courier New" w:eastAsia="Courier New" w:hAnsi="Courier New"/>
                <w:color w:val="111827"/>
                <w:sz w:val="12"/>
                <w:szCs w:val="12"/>
              </w:rPr>
              <w:t xml:space="preserve">  &lt;/inbound&gt;</w:t>
            </w:r>
          </w:p>
          <w:p>
            <w:pPr>
              <w:spacing w:after="0" w:before="0" w:line="220"/>
            </w:pPr>
            <w:r>
              <w:rPr>
                <w:rFonts w:ascii="Courier New" w:cs="Courier New" w:eastAsia="Courier New" w:hAnsi="Courier New"/>
                <w:color w:val="111827"/>
                <w:sz w:val="12"/>
                <w:szCs w:val="12"/>
              </w:rPr>
              <w:t xml:space="preserve">  &lt;!-- Diagnostics: request/response body bytes = 0; headers logged: X-Correlation-ID only --&gt;</w:t>
            </w:r>
          </w:p>
          <w:p>
            <w:pPr>
              <w:spacing w:after="0" w:before="0" w:line="220"/>
            </w:pPr>
            <w:r>
              <w:rPr>
                <w:rFonts w:ascii="Courier New" w:cs="Courier New" w:eastAsia="Courier New" w:hAnsi="Courier New"/>
                <w:color w:val="111827"/>
                <w:sz w:val="12"/>
                <w:szCs w:val="12"/>
              </w:rPr>
              <w:t xml:space="preserve">&lt;/policies&gt;</w:t>
            </w:r>
          </w:p>
        </w:tc>
      </w:tr>
    </w:tbl>
    <w:p>
      <w:pPr>
        <w:pStyle w:val="Heading2"/>
        <w:keepNext/>
        <w:spacing w:after="40" w:before="90"/>
      </w:pPr>
      <w:r>
        <w:rPr>
          <w:rFonts w:ascii="Calibri" w:cs="Calibri" w:eastAsia="Calibri" w:hAnsi="Calibri"/>
          <w:b/>
          <w:bCs/>
          <w:color w:val="0F6CBD"/>
          <w:sz w:val="20"/>
          <w:szCs w:val="20"/>
        </w:rPr>
        <w:t xml:space="preserve">E. Replay gate and automation audit record</w:t>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12"/>
      </w:tblGrid>
      <w:tr>
        <w:trPr>
          <w:cantSplit w:val="false"/>
        </w:trPr>
        <w:tc>
          <w:tcPr>
            <w:tcW w:type="dxa" w:w="10512"/>
            <w:tcBorders>
              <w:top w:val="single" w:color="BFC7D5" w:sz="4"/>
              <w:left w:val="single" w:color="0F6CBD" w:sz="18"/>
              <w:bottom w:val="single" w:color="BFC7D5" w:sz="4"/>
              <w:right w:val="single" w:color="BFC7D5" w:sz="4"/>
            </w:tcBorders>
            <w:shd w:fill="F3F4F6" w:color="auto" w:val="clear"/>
            <w:tcMar>
              <w:top w:type="dxa" w:w="40"/>
              <w:left w:type="dxa" w:w="90"/>
              <w:bottom w:type="dxa" w:w="40"/>
              <w:right w:type="dxa" w:w="60"/>
            </w:tcMar>
          </w:tcPr>
          <w:p>
            <w:pPr>
              <w:spacing w:after="0" w:before="0" w:line="220"/>
            </w:pPr>
            <w:r>
              <w:rPr>
                <w:rFonts w:ascii="Courier New" w:cs="Courier New" w:eastAsia="Courier New" w:hAnsi="Courier New"/>
                <w:color w:val="4B5563"/>
                <w:sz w:val="12"/>
                <w:szCs w:val="12"/>
              </w:rPr>
              <w:t xml:space="preserve">// ADF pl_replay: first activity (REM-07). The run fails unless an approved, in-limit replay is requested.</w:t>
            </w:r>
          </w:p>
          <w:p>
            <w:pPr>
              <w:spacing w:after="0" w:before="0" w:line="220"/>
            </w:pPr>
            <w:r>
              <w:rPr>
                <w:rFonts w:ascii="Courier New" w:cs="Courier New" w:eastAsia="Courier New" w:hAnsi="Courier New"/>
                <w:color w:val="111827"/>
                <w:sz w:val="12"/>
                <w:szCs w:val="12"/>
              </w:rPr>
              <w:t xml:space="preserve">{ "name": "GateReplay", "type": "IfCondition",</w:t>
            </w:r>
          </w:p>
          <w:p>
            <w:pPr>
              <w:spacing w:after="0" w:before="0" w:line="220"/>
            </w:pPr>
            <w:r>
              <w:rPr>
                <w:rFonts w:ascii="Courier New" w:cs="Courier New" w:eastAsia="Courier New" w:hAnsi="Courier New"/>
                <w:color w:val="111827"/>
                <w:sz w:val="12"/>
                <w:szCs w:val="12"/>
              </w:rPr>
              <w:t xml:space="preserve">  "typeProperties": {</w:t>
            </w:r>
          </w:p>
          <w:p>
            <w:pPr>
              <w:spacing w:after="0" w:before="0" w:line="220"/>
            </w:pPr>
            <w:r>
              <w:rPr>
                <w:rFonts w:ascii="Courier New" w:cs="Courier New" w:eastAsia="Courier New" w:hAnsi="Courier New"/>
                <w:color w:val="111827"/>
                <w:sz w:val="12"/>
                <w:szCs w:val="12"/>
              </w:rPr>
              <w:t xml:space="preserve">    "expression": { "type": "Expression", "value":</w:t>
            </w:r>
          </w:p>
          <w:p>
            <w:pPr>
              <w:spacing w:after="0" w:before="0" w:line="220"/>
            </w:pPr>
            <w:r>
              <w:rPr>
                <w:rFonts w:ascii="Courier New" w:cs="Courier New" w:eastAsia="Courier New" w:hAnsi="Courier New"/>
                <w:color w:val="111827"/>
                <w:sz w:val="12"/>
                <w:szCs w:val="12"/>
              </w:rPr>
              <w:t xml:space="preserve">      "@and(pipeline().parameters.replayAuthorized, and(not(empty(pipeline().parameters.approvalId)), lessOrEquals(pipeline().parameters.itemCount, pipeline().parameters.partnerLimit)))" },</w:t>
            </w:r>
          </w:p>
          <w:p>
            <w:pPr>
              <w:spacing w:after="0" w:before="0" w:line="220"/>
            </w:pPr>
            <w:r>
              <w:rPr>
                <w:rFonts w:ascii="Courier New" w:cs="Courier New" w:eastAsia="Courier New" w:hAnsi="Courier New"/>
                <w:color w:val="111827"/>
                <w:sz w:val="12"/>
                <w:szCs w:val="12"/>
              </w:rPr>
              <w:t xml:space="preserve">    "ifFalseActivities": [ { "name": "RejectUnapprovedReplay", "type": "Fail",</w:t>
            </w:r>
          </w:p>
          <w:p>
            <w:pPr>
              <w:spacing w:after="0" w:before="0" w:line="220"/>
            </w:pPr>
            <w:r>
              <w:rPr>
                <w:rFonts w:ascii="Courier New" w:cs="Courier New" w:eastAsia="Courier New" w:hAnsi="Courier New"/>
                <w:color w:val="111827"/>
                <w:sz w:val="12"/>
                <w:szCs w:val="12"/>
              </w:rPr>
              <w:t xml:space="preserve">      "typeProperties": { "message": "Replay blocked: no valid approval", "errorCode": "REPLAY_NOT_APPROVED" } } ] } }</w:t>
            </w:r>
          </w:p>
          <w:p>
            <w:pPr>
              <w:spacing w:after="0" w:before="0" w:line="220"/>
            </w:pPr>
            <w:r>
              <w:rPr>
                <w:rFonts w:ascii="Courier New" w:cs="Courier New" w:eastAsia="Courier New" w:hAnsi="Courier New"/>
                <w:color w:val="111827"/>
                <w:sz w:val="12"/>
                <w:szCs w:val="12"/>
              </w:rPr>
              <w:t xml:space="preserve"> </w:t>
            </w:r>
          </w:p>
          <w:p>
            <w:pPr>
              <w:spacing w:after="0" w:before="0" w:line="220"/>
            </w:pPr>
            <w:r>
              <w:rPr>
                <w:rFonts w:ascii="Courier New" w:cs="Courier New" w:eastAsia="Courier New" w:hAnsi="Courier New"/>
                <w:color w:val="4B5563"/>
                <w:sz w:val="12"/>
                <w:szCs w:val="12"/>
              </w:rPr>
              <w:t xml:space="preserve">// AutomationAudit_CL record written by F3 (synthetic values; no payloads or identifiers)</w:t>
            </w:r>
          </w:p>
          <w:p>
            <w:pPr>
              <w:spacing w:after="0" w:before="0" w:line="220"/>
            </w:pPr>
            <w:r>
              <w:rPr>
                <w:rFonts w:ascii="Courier New" w:cs="Courier New" w:eastAsia="Courier New" w:hAnsi="Courier New"/>
                <w:color w:val="111827"/>
                <w:sz w:val="12"/>
                <w:szCs w:val="12"/>
              </w:rPr>
              <w:t xml:space="preserve">{ "AutomationId": "AUT-05", "CorrelationId": "corr-7f3a", "IncidentId": "INC-SYN-0412", "Action": "StartReplay",</w:t>
            </w:r>
          </w:p>
          <w:p>
            <w:pPr>
              <w:spacing w:after="0" w:before="0" w:line="220"/>
            </w:pPr>
            <w:r>
              <w:rPr>
                <w:rFonts w:ascii="Courier New" w:cs="Courier New" w:eastAsia="Courier New" w:hAnsi="Courier New"/>
                <w:color w:val="111827"/>
                <w:sz w:val="12"/>
                <w:szCs w:val="12"/>
              </w:rPr>
              <w:t xml:space="preserve">  "TargetResourceId": "&lt;ADF_PIPELINE_RESOURCE_ID&gt;/pl_replay", "PartnerId": "P-001", "ItemCount": 2400,</w:t>
            </w:r>
          </w:p>
          <w:p>
            <w:pPr>
              <w:spacing w:after="0" w:before="0" w:line="220"/>
            </w:pPr>
            <w:r>
              <w:rPr>
                <w:rFonts w:ascii="Courier New" w:cs="Courier New" w:eastAsia="Courier New" w:hAnsi="Courier New"/>
                <w:color w:val="111827"/>
                <w:sz w:val="12"/>
                <w:szCs w:val="12"/>
              </w:rPr>
              <w:t xml:space="preserve">  "TouchesEphiSystem": true, "ApprovalRequired": true, "ApprovalId": "APR-SYN-0091",</w:t>
            </w:r>
          </w:p>
          <w:p>
            <w:pPr>
              <w:spacing w:after="0" w:before="0" w:line="220"/>
            </w:pPr>
            <w:r>
              <w:rPr>
                <w:rFonts w:ascii="Courier New" w:cs="Courier New" w:eastAsia="Courier New" w:hAnsi="Courier New"/>
                <w:color w:val="111827"/>
                <w:sz w:val="12"/>
                <w:szCs w:val="12"/>
              </w:rPr>
              <w:t xml:space="preserve">  "ApproverObjectId": "obj-003", "ApprovalExpiry": "2026-10-11T16:40:00Z", "ExecutorObjectId": "obj-la-001",</w:t>
            </w:r>
          </w:p>
          <w:p>
            <w:pPr>
              <w:spacing w:after="0" w:before="0" w:line="220"/>
            </w:pPr>
            <w:r>
              <w:rPr>
                <w:rFonts w:ascii="Courier New" w:cs="Courier New" w:eastAsia="Courier New" w:hAnsi="Courier New"/>
                <w:color w:val="111827"/>
                <w:sz w:val="12"/>
                <w:szCs w:val="12"/>
              </w:rPr>
              <w:t xml:space="preserve">  "PreCheck": "limit-ok;requester!=approver;no-open-P1", "PostCheck": "KQL-08=0;reconciled", "Result": "Succeeded" }</w:t>
            </w:r>
          </w:p>
        </w:tc>
      </w:tr>
    </w:tbl>
    <w:p>
      <w:pPr>
        <w:pStyle w:val="Heading2"/>
        <w:keepNext/>
        <w:spacing w:after="40" w:before="90"/>
      </w:pPr>
      <w:r>
        <w:rPr>
          <w:rFonts w:ascii="Calibri" w:cs="Calibri" w:eastAsia="Calibri" w:hAnsi="Calibri"/>
          <w:b/>
          <w:bCs/>
          <w:color w:val="0F6CBD"/>
          <w:sz w:val="20"/>
          <w:szCs w:val="20"/>
        </w:rPr>
        <w:t xml:space="preserve">F. Incident-to-control traceability</w:t>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33"/>
        <w:gridCol w:w="2336"/>
        <w:gridCol w:w="2263"/>
        <w:gridCol w:w="1460"/>
        <w:gridCol w:w="1460"/>
        <w:gridCol w:w="1460"/>
      </w:tblGrid>
      <w:tr>
        <w:trPr>
          <w:cantSplit/>
          <w:tblHeader/>
        </w:trPr>
        <w:tc>
          <w:tcPr>
            <w:tcW w:type="dxa" w:w="1533"/>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Incident</w:t>
            </w:r>
          </w:p>
        </w:tc>
        <w:tc>
          <w:tcPr>
            <w:tcW w:type="dxa" w:w="2336"/>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Root cause</w:t>
            </w:r>
          </w:p>
        </w:tc>
        <w:tc>
          <w:tcPr>
            <w:tcW w:type="dxa" w:w="2263"/>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Design response</w:t>
            </w:r>
          </w:p>
        </w:tc>
        <w:tc>
          <w:tcPr>
            <w:tcW w:type="dxa" w:w="1460"/>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Alert / query</w:t>
            </w:r>
          </w:p>
        </w:tc>
        <w:tc>
          <w:tcPr>
            <w:tcW w:type="dxa" w:w="1460"/>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Runbook</w:t>
            </w:r>
          </w:p>
        </w:tc>
        <w:tc>
          <w:tcPr>
            <w:tcW w:type="dxa" w:w="1460"/>
            <w:tcBorders>
              <w:top w:val="single" w:color="BFC7D5" w:sz="4"/>
              <w:left w:val="single" w:color="BFC7D5" w:sz="4"/>
              <w:bottom w:val="single" w:color="BFC7D5" w:sz="4"/>
              <w:right w:val="single" w:color="BFC7D5" w:sz="4"/>
            </w:tcBorders>
            <w:shd w:fill="1F3864" w:color="auto" w:val="clear"/>
            <w:tcMar>
              <w:top w:type="dxa" w:w="15"/>
              <w:left w:type="dxa" w:w="50"/>
              <w:bottom w:type="dxa" w:w="15"/>
              <w:right w:type="dxa" w:w="50"/>
            </w:tcMar>
            <w:vAlign w:val="top"/>
          </w:tcPr>
          <w:p>
            <w:pPr>
              <w:keepNext/>
              <w:spacing w:after="0" w:before="0" w:line="214"/>
            </w:pPr>
            <w:r>
              <w:rPr>
                <w:rFonts w:ascii="Calibri" w:cs="Calibri" w:eastAsia="Calibri" w:hAnsi="Calibri"/>
                <w:b/>
                <w:bCs/>
                <w:color w:val="FFFFFF"/>
                <w:sz w:val="14"/>
                <w:szCs w:val="14"/>
              </w:rPr>
              <w:t xml:space="preserve">Evidence</w:t>
            </w:r>
          </w:p>
        </w:tc>
      </w:tr>
      <w:tr>
        <w:trPr>
          <w:cantSplit/>
          <w:tblHeader w:val="false"/>
        </w:trPr>
        <w:tc>
          <w:tcPr>
            <w:tcW w:type="dxa" w:w="153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INC-2026-014 secret near miss</w:t>
            </w:r>
          </w:p>
        </w:tc>
        <w:tc>
          <w:tcPr>
            <w:tcW w:type="dxa" w:w="233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Legacy linked service; weak secret scanning</w:t>
            </w:r>
          </w:p>
        </w:tc>
        <w:tc>
          <w:tcPr>
            <w:tcW w:type="dxa" w:w="226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MI everywhere; secret removed; push protection; EX register (CTRL-001)</w:t>
            </w:r>
          </w:p>
        </w:tc>
        <w:tc>
          <w:tcPr>
            <w:tcW w:type="dxa" w:w="146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Repo scan alert; role export</w:t>
            </w:r>
          </w:p>
        </w:tc>
        <w:tc>
          <w:tcPr>
            <w:tcW w:type="dxa" w:w="146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RB-ACCESS-001</w:t>
            </w:r>
          </w:p>
        </w:tc>
        <w:tc>
          <w:tcPr>
            <w:tcW w:type="dxa" w:w="146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Revocation ticket; scan report</w:t>
            </w:r>
          </w:p>
        </w:tc>
      </w:tr>
      <w:tr>
        <w:trPr>
          <w:cantSplit/>
          <w:tblHeader w:val="false"/>
        </w:trPr>
        <w:tc>
          <w:tcPr>
            <w:tcW w:type="dxa" w:w="1533"/>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INC-2026-027 47-min audit gap</w:t>
            </w:r>
          </w:p>
        </w:tc>
        <w:tc>
          <w:tcPr>
            <w:tcW w:type="dxa" w:w="233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Settings removed in resource move; no alert</w:t>
            </w:r>
          </w:p>
        </w:tc>
        <w:tc>
          <w:tcPr>
            <w:tcW w:type="dxa" w:w="2263"/>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DINE policy; delete/move alert; 20-min freshness; canary; archive (CTRL-005)</w:t>
            </w:r>
          </w:p>
        </w:tc>
        <w:tc>
          <w:tcPr>
            <w:tcW w:type="dxa" w:w="146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A3, A4 (KQL-03, KQL-04)</w:t>
            </w:r>
          </w:p>
        </w:tc>
        <w:tc>
          <w:tcPr>
            <w:tcW w:type="dxa" w:w="146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RB-AUDIT-001</w:t>
            </w:r>
          </w:p>
        </w:tc>
        <w:tc>
          <w:tcPr>
            <w:tcW w:type="dxa" w:w="146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Policy compliance; KQL-03 history</w:t>
            </w:r>
          </w:p>
        </w:tc>
      </w:tr>
      <w:tr>
        <w:trPr>
          <w:cantSplit/>
          <w:tblHeader w:val="false"/>
        </w:trPr>
        <w:tc>
          <w:tcPr>
            <w:tcW w:type="dxa" w:w="153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INC-2026-041 Z-segment drift</w:t>
            </w:r>
          </w:p>
        </w:tc>
        <w:tc>
          <w:tcPr>
            <w:tcW w:type="dxa" w:w="2336"/>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Template change not communicated</w:t>
            </w:r>
          </w:p>
        </w:tc>
        <w:tc>
          <w:tcPr>
            <w:tcW w:type="dxa" w:w="2263"/>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Digest pinning; contract test; version gate; partner notice (D-02)</w:t>
            </w:r>
          </w:p>
        </w:tc>
        <w:tc>
          <w:tcPr>
            <w:tcW w:type="dxa" w:w="146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A1, A7 by failureCode</w:t>
            </w:r>
          </w:p>
        </w:tc>
        <w:tc>
          <w:tcPr>
            <w:tcW w:type="dxa" w:w="146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RB-INGEST-001</w:t>
            </w:r>
          </w:p>
        </w:tc>
        <w:tc>
          <w:tcPr>
            <w:tcW w:type="dxa" w:w="1460"/>
            <w:tcBorders>
              <w:top w:val="single" w:color="BFC7D5" w:sz="4"/>
              <w:left w:val="single" w:color="BFC7D5" w:sz="4"/>
              <w:bottom w:val="single" w:color="BFC7D5" w:sz="4"/>
              <w:right w:val="single" w:color="BFC7D5" w:sz="4"/>
            </w:tcBorders>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Contract-test report</w:t>
            </w:r>
          </w:p>
        </w:tc>
      </w:tr>
      <w:tr>
        <w:trPr>
          <w:cantSplit/>
          <w:tblHeader w:val="false"/>
        </w:trPr>
        <w:tc>
          <w:tcPr>
            <w:tcW w:type="dxa" w:w="1533"/>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bCs/>
                <w:color w:val="1F2937"/>
                <w:sz w:val="14"/>
                <w:szCs w:val="14"/>
              </w:rPr>
              <w:t xml:space="preserve">INC-2026-052 replay duplicates</w:t>
            </w:r>
          </w:p>
        </w:tc>
        <w:tc>
          <w:tcPr>
            <w:tcW w:type="dxa" w:w="2336"/>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Unknown outcomes retried; no duplicate check</w:t>
            </w:r>
          </w:p>
        </w:tc>
        <w:tc>
          <w:tcPr>
            <w:tcW w:type="dxa" w:w="2263"/>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Deterministic IDs; ledger read-before-retry; approval gate; KQL-08 (D-03, D-04)</w:t>
            </w:r>
          </w:p>
        </w:tc>
        <w:tc>
          <w:tcPr>
            <w:tcW w:type="dxa" w:w="146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A8 (KQL-08); KQL-09</w:t>
            </w:r>
          </w:p>
        </w:tc>
        <w:tc>
          <w:tcPr>
            <w:tcW w:type="dxa" w:w="146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RB-INGEST-001</w:t>
            </w:r>
          </w:p>
        </w:tc>
        <w:tc>
          <w:tcPr>
            <w:tcW w:type="dxa" w:w="1460"/>
            <w:tcBorders>
              <w:top w:val="single" w:color="BFC7D5" w:sz="4"/>
              <w:left w:val="single" w:color="BFC7D5" w:sz="4"/>
              <w:bottom w:val="single" w:color="BFC7D5" w:sz="4"/>
              <w:right w:val="single" w:color="BFC7D5" w:sz="4"/>
            </w:tcBorders>
            <w:shd w:fill="F4F6FA" w:color="auto" w:val="clear"/>
            <w:tcMar>
              <w:top w:type="dxa" w:w="15"/>
              <w:left w:type="dxa" w:w="50"/>
              <w:bottom w:type="dxa" w:w="15"/>
              <w:right w:type="dxa" w:w="50"/>
            </w:tcMar>
            <w:vAlign w:val="top"/>
          </w:tcPr>
          <w:p>
            <w:pPr>
              <w:spacing w:after="0" w:before="0" w:line="214"/>
            </w:pPr>
            <w:r>
              <w:rPr>
                <w:rFonts w:ascii="Calibri" w:cs="Calibri" w:eastAsia="Calibri" w:hAnsi="Calibri"/>
                <w:b w:val="false"/>
                <w:bCs w:val="false"/>
                <w:color w:val="1F2937"/>
                <w:sz w:val="14"/>
                <w:szCs w:val="14"/>
              </w:rPr>
              <w:t xml:space="preserve">Replay report; duplicate = 0</w:t>
            </w:r>
          </w:p>
        </w:tc>
      </w:tr>
    </w:tbl>
    <w:p>
      <w:pPr>
        <w:pStyle w:val="Heading2"/>
        <w:keepNext/>
        <w:spacing w:after="40" w:before="90"/>
      </w:pPr>
      <w:r>
        <w:rPr>
          <w:rFonts w:ascii="Calibri" w:cs="Calibri" w:eastAsia="Calibri" w:hAnsi="Calibri"/>
          <w:b/>
          <w:bCs/>
          <w:color w:val="0F6CBD"/>
          <w:sz w:val="20"/>
          <w:szCs w:val="20"/>
        </w:rPr>
        <w:t xml:space="preserve">G. References</w:t>
      </w:r>
    </w:p>
    <w:p>
      <w:pPr>
        <w:spacing w:after="20" w:before="0" w:line="236"/>
        <w:jc w:val="left"/>
      </w:pPr>
      <w:r>
        <w:rPr>
          <w:rFonts w:ascii="Calibri" w:cs="Calibri" w:eastAsia="Calibri" w:hAnsi="Calibri"/>
          <w:color w:val="1F2937"/>
          <w:sz w:val="15"/>
          <w:szCs w:val="15"/>
        </w:rPr>
        <w:t xml:space="preserve">FHIR service diagnostic logs: learn.microsoft.com/azure/healthcare-apis/fhir/fhir-service-diagnostic-logs</w:t>
      </w:r>
    </w:p>
    <w:p>
      <w:pPr>
        <w:spacing w:after="20" w:before="0" w:line="236"/>
        <w:jc w:val="left"/>
      </w:pPr>
      <w:r>
        <w:rPr>
          <w:rFonts w:ascii="Calibri" w:cs="Calibri" w:eastAsia="Calibri" w:hAnsi="Calibri"/>
          <w:color w:val="1F2937"/>
          <w:sz w:val="15"/>
          <w:szCs w:val="15"/>
        </w:rPr>
        <w:t xml:space="preserve">FHIR $convert-data: learn.microsoft.com/azure/healthcare-apis/fhir/convert-data-overview</w:t>
      </w:r>
    </w:p>
    <w:p>
      <w:pPr>
        <w:spacing w:after="20" w:before="0" w:line="236"/>
        <w:jc w:val="left"/>
      </w:pPr>
      <w:r>
        <w:rPr>
          <w:rFonts w:ascii="Calibri" w:cs="Calibri" w:eastAsia="Calibri" w:hAnsi="Calibri"/>
          <w:color w:val="1F2937"/>
          <w:sz w:val="15"/>
          <w:szCs w:val="15"/>
        </w:rPr>
        <w:t xml:space="preserve">FHIR $import (initial and incremental mode): learn.microsoft.com/azure/healthcare-apis/fhir/import-data</w:t>
      </w:r>
    </w:p>
    <w:p>
      <w:pPr>
        <w:spacing w:after="20" w:before="0" w:line="236"/>
        <w:jc w:val="left"/>
      </w:pPr>
      <w:r>
        <w:rPr>
          <w:rFonts w:ascii="Calibri" w:cs="Calibri" w:eastAsia="Calibri" w:hAnsi="Calibri"/>
          <w:color w:val="1F2937"/>
          <w:sz w:val="15"/>
          <w:szCs w:val="15"/>
        </w:rPr>
        <w:t xml:space="preserve">ADF self-hosted integration runtime: learn.microsoft.com/azure/data-factory/create-self-hosted-integration-runtime</w:t>
      </w:r>
    </w:p>
    <w:p>
      <w:pPr>
        <w:spacing w:after="20" w:before="0" w:line="236"/>
        <w:jc w:val="left"/>
      </w:pPr>
      <w:r>
        <w:rPr>
          <w:rFonts w:ascii="Calibri" w:cs="Calibri" w:eastAsia="Calibri" w:hAnsi="Calibri"/>
          <w:color w:val="1F2937"/>
          <w:sz w:val="15"/>
          <w:szCs w:val="15"/>
        </w:rPr>
        <w:t xml:space="preserve">ADF managed virtual network and private endpoints: learn.microsoft.com/azure/data-factory/managed-virtual-network-private-endpoint</w:t>
      </w:r>
    </w:p>
    <w:p>
      <w:pPr>
        <w:spacing w:after="20" w:before="0" w:line="236"/>
        <w:jc w:val="left"/>
      </w:pPr>
      <w:r>
        <w:rPr>
          <w:rFonts w:ascii="Calibri" w:cs="Calibri" w:eastAsia="Calibri" w:hAnsi="Calibri"/>
          <w:color w:val="1F2937"/>
          <w:sz w:val="15"/>
          <w:szCs w:val="15"/>
        </w:rPr>
        <w:t xml:space="preserve">Key Vault Azure RBAC guide: learn.microsoft.com/azure/key-vault/general/rbac-guide</w:t>
      </w:r>
    </w:p>
    <w:p>
      <w:pPr>
        <w:spacing w:after="20" w:before="0" w:line="236"/>
        <w:jc w:val="left"/>
      </w:pPr>
      <w:r>
        <w:rPr>
          <w:rFonts w:ascii="Calibri" w:cs="Calibri" w:eastAsia="Calibri" w:hAnsi="Calibri"/>
          <w:color w:val="1F2937"/>
          <w:sz w:val="15"/>
          <w:szCs w:val="15"/>
        </w:rPr>
        <w:t xml:space="preserve">Managed identities overview: learn.microsoft.com/entra/identity/managed-identities-azure-resources/overview</w:t>
      </w:r>
    </w:p>
    <w:p>
      <w:pPr>
        <w:spacing w:after="20" w:before="0" w:line="236"/>
        <w:jc w:val="left"/>
      </w:pPr>
      <w:r>
        <w:rPr>
          <w:rFonts w:ascii="Calibri" w:cs="Calibri" w:eastAsia="Calibri" w:hAnsi="Calibri"/>
          <w:color w:val="1F2937"/>
          <w:sz w:val="15"/>
          <w:szCs w:val="15"/>
        </w:rPr>
        <w:t xml:space="preserve">Azure Monitor data security: learn.microsoft.com/azure/azure-monitor/logs/data-security</w:t>
      </w:r>
    </w:p>
    <w:p>
      <w:pPr>
        <w:spacing w:after="20" w:before="0" w:line="236"/>
        <w:jc w:val="left"/>
      </w:pPr>
      <w:r>
        <w:rPr>
          <w:rFonts w:ascii="Calibri" w:cs="Calibri" w:eastAsia="Calibri" w:hAnsi="Calibri"/>
          <w:color w:val="1F2937"/>
          <w:sz w:val="15"/>
          <w:szCs w:val="15"/>
        </w:rPr>
        <w:t xml:space="preserve">HHS HIPAA Security Rule (45 CFR Part 164, Subpart C): hhs.gov/hipaa/for-professionals/security/laws-regulations/index.html</w:t>
      </w:r>
    </w:p>
    <w:p>
      <w:pPr>
        <w:spacing w:after="20" w:before="0" w:line="236"/>
        <w:jc w:val="left"/>
      </w:pPr>
      <w:r>
        <w:rPr>
          <w:rFonts w:ascii="Calibri" w:cs="Calibri" w:eastAsia="Calibri" w:hAnsi="Calibri"/>
          <w:color w:val="1F2937"/>
          <w:sz w:val="15"/>
          <w:szCs w:val="15"/>
        </w:rPr>
        <w:t xml:space="preserve">Security Rule NPRM (published 6 Jan 2025) not finalized; Unified Agenda final action July 2027: hklaw.com/en/insights/publications/2026/07/hipaa-security-rule-amendments-now-projected-for-july-2027; hipaajournal.com/hipaa-updates-hipaa-changes (updated Aug 2026)</w:t>
      </w:r>
    </w:p>
    <w:p>
      <w:pPr>
        <w:spacing w:after="20" w:before="0" w:line="236"/>
        <w:jc w:val="left"/>
      </w:pPr>
      <w:r>
        <w:rPr>
          <w:rFonts w:ascii="Calibri" w:cs="Calibri" w:eastAsia="Calibri" w:hAnsi="Calibri"/>
          <w:color w:val="1F2937"/>
          <w:sz w:val="15"/>
          <w:szCs w:val="15"/>
        </w:rPr>
        <w:t xml:space="preserve">Azure API for FHIR retirement, 30 Sep 2026: azure.microsoft.com/updates/azure-api-for-fhir-retirement</w:t>
      </w:r>
    </w:p>
    <w:p>
      <w:pPr>
        <w:spacing w:after="20" w:before="0" w:line="236"/>
        <w:jc w:val="left"/>
      </w:pPr>
      <w:r>
        <w:rPr>
          <w:rFonts w:ascii="Calibri" w:cs="Calibri" w:eastAsia="Calibri" w:hAnsi="Calibri"/>
          <w:color w:val="1F2937"/>
          <w:sz w:val="15"/>
          <w:szCs w:val="15"/>
        </w:rPr>
        <w:t xml:space="preserve">NIST SP 800-61 Rev. 2, Computer Security Incident Handling Guide: csrc.nist.gov/pubs/sp/800/61/r2/final</w:t>
      </w:r>
    </w:p>
    <w:sectPr>
      <w:headerReference w:type="default" r:id="rId17"/>
      <w:footerReference w:type="default" r:id="rId18"/>
      <w:pgSz w:w="12240" w:h="15840" w:orient="portrait"/>
      <w:pgMar w:top="880" w:right="864" w:bottom="800" w:left="864" w:header="400" w:footer="38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4B5563"/>
        <w:sz w:val="15"/>
        <w:szCs w:val="15"/>
      </w:rPr>
      <w:t xml:space="preserve">Dennis Lam  |  v1.0  |  11 October 2026</w:t>
    </w:r>
    <w:r>
      <w:ptab w:alignment="right" w:relativeTo="margin" w:leader="none"/>
    </w:r>
    <w:r>
      <w:rPr>
        <w:rFonts w:ascii="Calibri" w:cs="Calibri" w:eastAsia="Calibri" w:hAnsi="Calibri"/>
        <w:color w:val="4B5563"/>
        <w:sz w:val="15"/>
        <w:szCs w:val="15"/>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4B5563"/>
        <w:sz w:val="15"/>
        <w:szCs w:val="15"/>
      </w:rPr>
      <w:t xml:space="preserve">Dennis Lam  |  v1.0  |  11 October 2026</w:t>
    </w:r>
    <w:r>
      <w:ptab w:alignment="right" w:relativeTo="margin" w:leader="none"/>
    </w:r>
    <w:r>
      <w:rPr>
        <w:rFonts w:ascii="Calibri" w:cs="Calibri" w:eastAsia="Calibri" w:hAnsi="Calibri"/>
        <w:color w:val="4B5563"/>
        <w:sz w:val="15"/>
        <w:szCs w:val="15"/>
      </w:rPr>
      <w:t xml:space="preserve">Page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4B5563"/>
        <w:sz w:val="15"/>
        <w:szCs w:val="15"/>
      </w:rPr>
      <w:t xml:space="preserve">Dennis Lam  |  v1.0  |  11 October 2026</w:t>
    </w:r>
    <w:r>
      <w:ptab w:alignment="right" w:relativeTo="margin" w:leader="none"/>
    </w:r>
    <w:r>
      <w:rPr>
        <w:rFonts w:ascii="Calibri" w:cs="Calibri" w:eastAsia="Calibri" w:hAnsi="Calibri"/>
        <w:color w:val="4B5563"/>
        <w:sz w:val="15"/>
        <w:szCs w:val="15"/>
      </w:rPr>
      <w:t xml:space="preserve">Page </w:t>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4B5563"/>
        <w:sz w:val="15"/>
        <w:szCs w:val="15"/>
      </w:rPr>
      <w:t xml:space="preserve">Dennis Lam  |  v1.0  |  11 October 2026</w:t>
    </w:r>
    <w:r>
      <w:ptab w:alignment="right" w:relativeTo="margin" w:leader="none"/>
    </w:r>
    <w:r>
      <w:rPr>
        <w:rFonts w:ascii="Calibri" w:cs="Calibri" w:eastAsia="Calibri" w:hAnsi="Calibri"/>
        <w:color w:val="4B5563"/>
        <w:sz w:val="15"/>
        <w:szCs w:val="15"/>
      </w:rPr>
      <w:t xml:space="preserve">Page </w:t>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4B5563"/>
        <w:sz w:val="15"/>
        <w:szCs w:val="15"/>
      </w:rPr>
      <w:t xml:space="preserve">Dennis Lam  |  v1.0  |  11 October 2026</w:t>
    </w:r>
    <w:r>
      <w:ptab w:alignment="right" w:relativeTo="margin" w:leader="none"/>
    </w:r>
    <w:r>
      <w:rPr>
        <w:rFonts w:ascii="Calibri" w:cs="Calibri" w:eastAsia="Calibri" w:hAnsi="Calibri"/>
        <w:color w:val="4B5563"/>
        <w:sz w:val="15"/>
        <w:szCs w:val="15"/>
      </w:rPr>
      <w:t xml:space="preserve">Page </w:t>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4B5563"/>
        <w:sz w:val="15"/>
        <w:szCs w:val="15"/>
      </w:rPr>
      <w:t xml:space="preserve">Dennis Lam  |  v1.0  |  11 October 2026</w:t>
    </w:r>
    <w:r>
      <w:ptab w:alignment="right" w:relativeTo="margin" w:leader="none"/>
    </w:r>
    <w:r>
      <w:rPr>
        <w:rFonts w:ascii="Calibri" w:cs="Calibri" w:eastAsia="Calibri" w:hAnsi="Calibri"/>
        <w:color w:val="4B5563"/>
        <w:sz w:val="15"/>
        <w:szCs w:val="15"/>
      </w:rPr>
      <w:t xml:space="preserve">Appendix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7D5" w:sz="4" w:space="2"/>
      </w:pBdr>
    </w:pPr>
    <w:r>
      <w:rPr>
        <w:rFonts w:ascii="Calibri" w:cs="Calibri" w:eastAsia="Calibri" w:hAnsi="Calibri"/>
        <w:color w:val="4B5563"/>
        <w:sz w:val="15"/>
        <w:szCs w:val="15"/>
      </w:rPr>
      <w:t xml:space="preserve">Secure Integration Architecture Package  |  CareSignal, Contoso Health Insights (fictional)</w:t>
    </w:r>
    <w:r>
      <w:ptab w:alignment="right" w:relativeTo="margin" w:leader="none"/>
    </w:r>
    <w:r>
      <w:rPr>
        <w:rFonts w:ascii="Calibri" w:cs="Calibri" w:eastAsia="Calibri" w:hAnsi="Calibri"/>
        <w:color w:val="4B5563"/>
        <w:sz w:val="15"/>
        <w:szCs w:val="15"/>
      </w:rPr>
      <w:t xml:space="preserve">Synthetic data only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7D5" w:sz="4" w:space="2"/>
      </w:pBdr>
    </w:pPr>
    <w:r>
      <w:rPr>
        <w:rFonts w:ascii="Calibri" w:cs="Calibri" w:eastAsia="Calibri" w:hAnsi="Calibri"/>
        <w:color w:val="4B5563"/>
        <w:sz w:val="15"/>
        <w:szCs w:val="15"/>
      </w:rPr>
      <w:t xml:space="preserve">Secure Integration Architecture Package  |  CareSignal, Contoso Health Insights (fictional)</w:t>
    </w:r>
    <w:r>
      <w:ptab w:alignment="right" w:relativeTo="margin" w:leader="none"/>
    </w:r>
    <w:r>
      <w:rPr>
        <w:rFonts w:ascii="Calibri" w:cs="Calibri" w:eastAsia="Calibri" w:hAnsi="Calibri"/>
        <w:color w:val="4B5563"/>
        <w:sz w:val="15"/>
        <w:szCs w:val="15"/>
      </w:rPr>
      <w:t xml:space="preserve">Synthetic data only</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7D5" w:sz="4" w:space="2"/>
      </w:pBdr>
    </w:pPr>
    <w:r>
      <w:rPr>
        <w:rFonts w:ascii="Calibri" w:cs="Calibri" w:eastAsia="Calibri" w:hAnsi="Calibri"/>
        <w:color w:val="4B5563"/>
        <w:sz w:val="15"/>
        <w:szCs w:val="15"/>
      </w:rPr>
      <w:t xml:space="preserve">Secure Integration Architecture Package  |  CareSignal, Contoso Health Insights (fictional)</w:t>
    </w:r>
    <w:r>
      <w:ptab w:alignment="right" w:relativeTo="margin" w:leader="none"/>
    </w:r>
    <w:r>
      <w:rPr>
        <w:rFonts w:ascii="Calibri" w:cs="Calibri" w:eastAsia="Calibri" w:hAnsi="Calibri"/>
        <w:color w:val="4B5563"/>
        <w:sz w:val="15"/>
        <w:szCs w:val="15"/>
      </w:rPr>
      <w:t xml:space="preserve">Synthetic data only</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7D5" w:sz="4" w:space="2"/>
      </w:pBdr>
    </w:pPr>
    <w:r>
      <w:rPr>
        <w:rFonts w:ascii="Calibri" w:cs="Calibri" w:eastAsia="Calibri" w:hAnsi="Calibri"/>
        <w:color w:val="4B5563"/>
        <w:sz w:val="15"/>
        <w:szCs w:val="15"/>
      </w:rPr>
      <w:t xml:space="preserve">Secure Integration Architecture Package  |  CareSignal, Contoso Health Insights (fictional)</w:t>
    </w:r>
    <w:r>
      <w:ptab w:alignment="right" w:relativeTo="margin" w:leader="none"/>
    </w:r>
    <w:r>
      <w:rPr>
        <w:rFonts w:ascii="Calibri" w:cs="Calibri" w:eastAsia="Calibri" w:hAnsi="Calibri"/>
        <w:color w:val="4B5563"/>
        <w:sz w:val="15"/>
        <w:szCs w:val="15"/>
      </w:rPr>
      <w:t xml:space="preserve">Synthetic data only</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7D5" w:sz="4" w:space="2"/>
      </w:pBdr>
    </w:pPr>
    <w:r>
      <w:rPr>
        <w:rFonts w:ascii="Calibri" w:cs="Calibri" w:eastAsia="Calibri" w:hAnsi="Calibri"/>
        <w:color w:val="4B5563"/>
        <w:sz w:val="15"/>
        <w:szCs w:val="15"/>
      </w:rPr>
      <w:t xml:space="preserve">Secure Integration Architecture Package  |  CareSignal, Contoso Health Insights (fictional)</w:t>
    </w:r>
    <w:r>
      <w:ptab w:alignment="right" w:relativeTo="margin" w:leader="none"/>
    </w:r>
    <w:r>
      <w:rPr>
        <w:rFonts w:ascii="Calibri" w:cs="Calibri" w:eastAsia="Calibri" w:hAnsi="Calibri"/>
        <w:color w:val="4B5563"/>
        <w:sz w:val="15"/>
        <w:szCs w:val="15"/>
      </w:rPr>
      <w:t xml:space="preserve">Synthetic data only</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7D5" w:sz="4" w:space="2"/>
      </w:pBdr>
    </w:pPr>
    <w:r>
      <w:rPr>
        <w:rFonts w:ascii="Calibri" w:cs="Calibri" w:eastAsia="Calibri" w:hAnsi="Calibri"/>
        <w:color w:val="4B5563"/>
        <w:sz w:val="15"/>
        <w:szCs w:val="15"/>
      </w:rPr>
      <w:t xml:space="preserve">Secure Integration Architecture Package  |  CareSignal, Contoso Health Insights (fictional)</w:t>
    </w:r>
    <w:r>
      <w:ptab w:alignment="right" w:relativeTo="margin" w:leader="none"/>
    </w:r>
    <w:r>
      <w:rPr>
        <w:rFonts w:ascii="Calibri" w:cs="Calibri" w:eastAsia="Calibri" w:hAnsi="Calibri"/>
        <w:color w:val="4B5563"/>
        <w:sz w:val="15"/>
        <w:szCs w:val="15"/>
      </w:rPr>
      <w:t xml:space="preserve">Synthetic data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abstractNum w:abstractNumId="3" w15:restartNumberingAfterBreak="0">
    <w:multiLevelType w:val="hybridMultilevel"/>
    <w:lvl w:ilvl="0" w15:tentative="1">
      <w:start w:val="1"/>
      <w:numFmt w:val="decimal"/>
      <w:lvlText w:val="%1."/>
      <w:lvlJc w:val="left"/>
      <w:pPr>
        <w:ind w:left="34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70" w:before="120"/>
      <w:outlineLvl w:val="0"/>
    </w:pPr>
    <w:rPr>
      <w:rFonts w:ascii="Calibri" w:cs="Calibri" w:eastAsia="Calibri" w:hAnsi="Calibri"/>
      <w:b/>
      <w:bCs/>
      <w:color w:val="1F3864"/>
      <w:sz w:val="26"/>
      <w:szCs w:val="26"/>
    </w:rPr>
  </w:style>
  <w:style w:type="paragraph" w:styleId="Heading2">
    <w:name w:val="Heading 2"/>
    <w:basedOn w:val="Normal"/>
    <w:next w:val="Normal"/>
    <w:qFormat/>
    <w:pPr>
      <w:spacing w:after="40" w:before="90"/>
      <w:outlineLvl w:val="1"/>
    </w:pPr>
    <w:rPr>
      <w:rFonts w:ascii="Calibri" w:cs="Calibri" w:eastAsia="Calibri" w:hAnsi="Calibri"/>
      <w:b/>
      <w:bCs/>
      <w:color w:val="0F6CBD"/>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image" Target="media/02a1a65e0542cadcb86c18bd1975a81822a0cb96.png"/><Relationship Id="rId20" Type="http://schemas.openxmlformats.org/officeDocument/2006/relationships/image" Target="media/8032fb04609c47b0969af610d17d8b5d66b3ea38.png"/><Relationship Id="rId21" Type="http://schemas.openxmlformats.org/officeDocument/2006/relationships/image" Target="media/7a08ef8faaad3cc564fe3ffb681840c539e9e5a3.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Dennis_SecureIntegrationArchitecture</dc:title>
  <dc:creator>Dennis Lam</dc:creator>
  <dc:description>Secure Integration Architecture Package - CareSignal (synthetic scenario)</dc:description>
  <cp:lastModifiedBy>Un-named</cp:lastModifiedBy>
  <cp:revision>1</cp:revision>
  <dcterms:created xsi:type="dcterms:W3CDTF">2026-10-11T13:19:38.060Z</dcterms:created>
  <dcterms:modified xsi:type="dcterms:W3CDTF">2026-10-11T13:19:38.060Z</dcterms:modified>
</cp:coreProperties>
</file>

<file path=docProps/custom.xml><?xml version="1.0" encoding="utf-8"?>
<Properties xmlns="http://schemas.openxmlformats.org/officeDocument/2006/custom-properties" xmlns:vt="http://schemas.openxmlformats.org/officeDocument/2006/docPropsVTypes"/>
</file>