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Operational runbook template</w:t>
      </w:r>
    </w:p>
    <w:p>
      <w:pPr>
        <w:pStyle w:val="Subtitle"/>
      </w:pPr>
      <w:r>
        <w:t>Secure healthcare integration architecture — learner resource</w:t>
      </w:r>
    </w:p>
    <w:p>
      <w:r>
        <w:rPr>
          <w:b/>
        </w:rPr>
        <w:t>Reviewed: 2 August 2026</w:t>
      </w:r>
      <w:r>
        <w:t xml:space="preserve">  |  Scope: learner content, technical accuracy, assessment alignment, and resource readiness</w:t>
      </w:r>
    </w:p>
    <w:p/>
    <w:p>
      <w:r>
        <w:t>Use one copy of this template for each operational scenario. Do not paste PHI, request bodies, secrets, production tokens, or unredacted screenshots into the runbook or evidence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Learner entry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Runbook ID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[RB-###]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Title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[Action-oriented title]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Version / last reviewed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[v# / YYYY-MM-DD]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Owner / approver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[Role or team]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Severity / priority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[P1–P4 or organization scale]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Related alerts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[Alert IDs]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Related controls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[Control IDs / 45 CFR references where applicable]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Target services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[Components]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Data classification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[ePHI / confidential / internal / public]</w:t>
            </w:r>
          </w:p>
        </w:tc>
      </w:tr>
    </w:tbl>
    <w:p>
      <w:pPr>
        <w:pStyle w:val="Heading1"/>
      </w:pPr>
      <w:r>
        <w:t>1. Purpose and scope</w:t>
      </w:r>
    </w:p>
    <w:p>
      <w:pPr>
        <w:pStyle w:val="ListBullet"/>
      </w:pPr>
      <w:r>
        <w:rPr>
          <w:b/>
        </w:rPr>
        <w:t xml:space="preserve">State the condition this runbook addresses.: </w:t>
      </w:r>
      <w:r>
        <w:t>[Learner entry]</w:t>
      </w:r>
    </w:p>
    <w:p>
      <w:pPr>
        <w:pStyle w:val="ListBullet"/>
      </w:pPr>
      <w:r>
        <w:rPr>
          <w:b/>
        </w:rPr>
        <w:t xml:space="preserve">State what is explicitly out of scope.: </w:t>
      </w:r>
      <w:r>
        <w:t>[Learner entry]</w:t>
      </w:r>
    </w:p>
    <w:p>
      <w:pPr>
        <w:pStyle w:val="Heading1"/>
      </w:pPr>
      <w:r>
        <w:t>2. Trigger and entry criteria</w:t>
      </w:r>
    </w:p>
    <w:p>
      <w:pPr>
        <w:pStyle w:val="ListBullet"/>
      </w:pPr>
      <w:r>
        <w:rPr>
          <w:b/>
        </w:rPr>
        <w:t xml:space="preserve">Alert/query/event that starts the runbook: </w:t>
      </w:r>
      <w:r>
        <w:t>[Learner entry]</w:t>
      </w:r>
    </w:p>
    <w:p>
      <w:pPr>
        <w:pStyle w:val="ListBullet"/>
      </w:pPr>
      <w:r>
        <w:rPr>
          <w:b/>
        </w:rPr>
        <w:t xml:space="preserve">Required confirmation before action: </w:t>
      </w:r>
      <w:r>
        <w:t>[Learner entry]</w:t>
      </w:r>
    </w:p>
    <w:p>
      <w:pPr>
        <w:pStyle w:val="ListBullet"/>
      </w:pPr>
      <w:r>
        <w:rPr>
          <w:b/>
        </w:rPr>
        <w:t xml:space="preserve">False-positive checks and suppression conditions: </w:t>
      </w:r>
      <w:r>
        <w:t>[Learner entry]</w:t>
      </w:r>
    </w:p>
    <w:p>
      <w:pPr>
        <w:pStyle w:val="Heading1"/>
      </w:pPr>
      <w:r>
        <w:t>3. Authorization boundary</w:t>
      </w:r>
    </w:p>
    <w:p>
      <w:pPr>
        <w:pStyle w:val="ListBullet"/>
      </w:pPr>
      <w:r>
        <w:rPr>
          <w:b/>
        </w:rPr>
        <w:t xml:space="preserve">Actions the on-call engineer may take without approval: </w:t>
      </w:r>
      <w:r>
        <w:t>[Learner entry]</w:t>
      </w:r>
    </w:p>
    <w:p>
      <w:pPr>
        <w:pStyle w:val="ListBullet"/>
      </w:pPr>
      <w:r>
        <w:rPr>
          <w:b/>
        </w:rPr>
        <w:t xml:space="preserve">Actions that require approval: </w:t>
      </w:r>
      <w:r>
        <w:t>[Learner entry]</w:t>
      </w:r>
    </w:p>
    <w:p>
      <w:pPr>
        <w:pStyle w:val="ListBullet"/>
      </w:pPr>
      <w:r>
        <w:rPr>
          <w:b/>
        </w:rPr>
        <w:t xml:space="preserve">Approver role and fallback approver: </w:t>
      </w:r>
      <w:r>
        <w:t>[Learner entry]</w:t>
      </w:r>
    </w:p>
    <w:p>
      <w:pPr>
        <w:pStyle w:val="ListBullet"/>
      </w:pPr>
      <w:r>
        <w:rPr>
          <w:b/>
        </w:rPr>
        <w:t xml:space="preserve">Emergency-access or break-glass conditions: </w:t>
      </w:r>
      <w:r>
        <w:t>[Learner entry]</w:t>
      </w:r>
    </w:p>
    <w:p>
      <w:pPr>
        <w:pStyle w:val="Heading1"/>
      </w:pPr>
      <w:r>
        <w:t>4. Prerequisites and safety checks</w:t>
      </w:r>
    </w:p>
    <w:p>
      <w:pPr>
        <w:pStyle w:val="ListBullet"/>
      </w:pPr>
      <w:r>
        <w:rPr>
          <w:b/>
        </w:rPr>
        <w:t xml:space="preserve">Access/role required: </w:t>
      </w:r>
      <w:r>
        <w:t>[Learner entry]</w:t>
      </w:r>
    </w:p>
    <w:p>
      <w:pPr>
        <w:pStyle w:val="ListBullet"/>
      </w:pPr>
      <w:r>
        <w:rPr>
          <w:b/>
        </w:rPr>
        <w:t xml:space="preserve">Tools and portal/workspace required: </w:t>
      </w:r>
      <w:r>
        <w:t>[Learner entry]</w:t>
      </w:r>
    </w:p>
    <w:p>
      <w:pPr>
        <w:pStyle w:val="ListBullet"/>
      </w:pPr>
      <w:r>
        <w:rPr>
          <w:b/>
        </w:rPr>
        <w:t xml:space="preserve">Current service health check: </w:t>
      </w:r>
      <w:r>
        <w:t>[Learner entry]</w:t>
      </w:r>
    </w:p>
    <w:p>
      <w:pPr>
        <w:pStyle w:val="ListBullet"/>
      </w:pPr>
      <w:r>
        <w:rPr>
          <w:b/>
        </w:rPr>
        <w:t xml:space="preserve">Backup/export/recovery point check: </w:t>
      </w:r>
      <w:r>
        <w:t>[Learner entry]</w:t>
      </w:r>
    </w:p>
    <w:p>
      <w:pPr>
        <w:pStyle w:val="ListBullet"/>
      </w:pPr>
      <w:r>
        <w:rPr>
          <w:b/>
        </w:rPr>
        <w:t xml:space="preserve">PHI-safe screen-sharing and evidence rules: </w:t>
      </w:r>
      <w:r>
        <w:t>[Learner entry]</w:t>
      </w:r>
    </w:p>
    <w:p>
      <w:pPr>
        <w:pStyle w:val="Heading1"/>
      </w:pPr>
      <w:r>
        <w:t>5. Evidence to capture before action</w:t>
      </w:r>
    </w:p>
    <w:p>
      <w:pPr>
        <w:pStyle w:val="ListBullet"/>
      </w:pPr>
      <w:r>
        <w:rPr>
          <w:b/>
        </w:rPr>
        <w:t xml:space="preserve">Alert ID and timestamp: </w:t>
      </w:r>
      <w:r>
        <w:t>[Learner entry]</w:t>
      </w:r>
    </w:p>
    <w:p>
      <w:pPr>
        <w:pStyle w:val="ListBullet"/>
      </w:pPr>
      <w:r>
        <w:rPr>
          <w:b/>
        </w:rPr>
        <w:t xml:space="preserve">Correlation or pipeline run ID: </w:t>
      </w:r>
      <w:r>
        <w:t>[Learner entry]</w:t>
      </w:r>
    </w:p>
    <w:p>
      <w:pPr>
        <w:pStyle w:val="ListBullet"/>
      </w:pPr>
      <w:r>
        <w:rPr>
          <w:b/>
        </w:rPr>
        <w:t xml:space="preserve">Affected component and partner: </w:t>
      </w:r>
      <w:r>
        <w:t>[Learner entry]</w:t>
      </w:r>
    </w:p>
    <w:p>
      <w:pPr>
        <w:pStyle w:val="ListBullet"/>
      </w:pPr>
      <w:r>
        <w:rPr>
          <w:b/>
        </w:rPr>
        <w:t xml:space="preserve">Relevant privacy-safe query result: </w:t>
      </w:r>
      <w:r>
        <w:t>[Learner entry]</w:t>
      </w:r>
    </w:p>
    <w:p>
      <w:pPr>
        <w:pStyle w:val="ListBullet"/>
      </w:pPr>
      <w:r>
        <w:rPr>
          <w:b/>
        </w:rPr>
        <w:t xml:space="preserve">Current configuration/version: </w:t>
      </w:r>
      <w:r>
        <w:t>[Learner entry]</w:t>
      </w:r>
    </w:p>
    <w:p>
      <w:pPr>
        <w:pStyle w:val="ListBullet"/>
      </w:pPr>
      <w:r>
        <w:rPr>
          <w:b/>
        </w:rPr>
        <w:t xml:space="preserve">Incident/ticket ID: </w:t>
      </w:r>
      <w:r>
        <w:t>[Learner entry]</w:t>
      </w:r>
    </w:p>
    <w:p>
      <w:pPr>
        <w:pStyle w:val="Heading1"/>
      </w:pPr>
      <w:r>
        <w:t>6. Procedure</w:t>
      </w:r>
    </w:p>
    <w:p>
      <w:pPr>
        <w:pStyle w:val="ListBullet"/>
      </w:pPr>
      <w:r>
        <w:rPr>
          <w:b/>
        </w:rPr>
        <w:t xml:space="preserve">Use numbered steps.: </w:t>
      </w:r>
      <w:r>
        <w:t>[Learner entry]</w:t>
      </w:r>
    </w:p>
    <w:p>
      <w:pPr>
        <w:pStyle w:val="ListBullet"/>
      </w:pPr>
      <w:r>
        <w:rPr>
          <w:b/>
        </w:rPr>
        <w:t xml:space="preserve">For each step include command or portal path, expected output, decision point, and evidence artifact.: </w:t>
      </w:r>
      <w:r>
        <w:t>[Learner entry]</w:t>
      </w:r>
    </w:p>
    <w:p>
      <w:pPr>
        <w:pStyle w:val="ListBullet"/>
      </w:pPr>
      <w:r>
        <w:rPr>
          <w:b/>
        </w:rPr>
        <w:t xml:space="preserve">Stop and escalate when a safety condition fails.: </w:t>
      </w:r>
      <w:r>
        <w:t>[Learner entry]</w:t>
      </w:r>
    </w:p>
    <w:p>
      <w:pPr>
        <w:pStyle w:val="Heading1"/>
      </w:pPr>
      <w:r>
        <w:t>7. Validation</w:t>
      </w:r>
    </w:p>
    <w:p>
      <w:pPr>
        <w:pStyle w:val="ListBullet"/>
      </w:pPr>
      <w:r>
        <w:rPr>
          <w:b/>
        </w:rPr>
        <w:t xml:space="preserve">How to confirm service recovery: </w:t>
      </w:r>
      <w:r>
        <w:t>[Learner entry]</w:t>
      </w:r>
    </w:p>
    <w:p>
      <w:pPr>
        <w:pStyle w:val="ListBullet"/>
      </w:pPr>
      <w:r>
        <w:rPr>
          <w:b/>
        </w:rPr>
        <w:t xml:space="preserve">How to confirm data integrity and no duplicate processing: </w:t>
      </w:r>
      <w:r>
        <w:t>[Learner entry]</w:t>
      </w:r>
    </w:p>
    <w:p>
      <w:pPr>
        <w:pStyle w:val="ListBullet"/>
      </w:pPr>
      <w:r>
        <w:rPr>
          <w:b/>
        </w:rPr>
        <w:t xml:space="preserve">How to confirm audit-log continuity: </w:t>
      </w:r>
      <w:r>
        <w:t>[Learner entry]</w:t>
      </w:r>
    </w:p>
    <w:p>
      <w:pPr>
        <w:pStyle w:val="ListBullet"/>
      </w:pPr>
      <w:r>
        <w:rPr>
          <w:b/>
        </w:rPr>
        <w:t xml:space="preserve">How to confirm downstream consumer impact: </w:t>
      </w:r>
      <w:r>
        <w:t>[Learner entry]</w:t>
      </w:r>
    </w:p>
    <w:p>
      <w:pPr>
        <w:pStyle w:val="Heading1"/>
      </w:pPr>
      <w:r>
        <w:t>8. Rollback</w:t>
      </w:r>
    </w:p>
    <w:p>
      <w:pPr>
        <w:pStyle w:val="ListBullet"/>
      </w:pPr>
      <w:r>
        <w:rPr>
          <w:b/>
        </w:rPr>
        <w:t xml:space="preserve">Rollback trigger: </w:t>
      </w:r>
      <w:r>
        <w:t>[Learner entry]</w:t>
      </w:r>
    </w:p>
    <w:p>
      <w:pPr>
        <w:pStyle w:val="ListBullet"/>
      </w:pPr>
      <w:r>
        <w:rPr>
          <w:b/>
        </w:rPr>
        <w:t xml:space="preserve">Exact rollback procedure: </w:t>
      </w:r>
      <w:r>
        <w:t>[Learner entry]</w:t>
      </w:r>
    </w:p>
    <w:p>
      <w:pPr>
        <w:pStyle w:val="ListBullet"/>
      </w:pPr>
      <w:r>
        <w:rPr>
          <w:b/>
        </w:rPr>
        <w:t xml:space="preserve">Expected output: </w:t>
      </w:r>
      <w:r>
        <w:t>[Learner entry]</w:t>
      </w:r>
    </w:p>
    <w:p>
      <w:pPr>
        <w:pStyle w:val="ListBullet"/>
      </w:pPr>
      <w:r>
        <w:rPr>
          <w:b/>
        </w:rPr>
        <w:t xml:space="preserve">Validation after rollback: </w:t>
      </w:r>
      <w:r>
        <w:t>[Learner entry]</w:t>
      </w:r>
    </w:p>
    <w:p>
      <w:pPr>
        <w:pStyle w:val="ListBullet"/>
      </w:pPr>
      <w:r>
        <w:rPr>
          <w:b/>
        </w:rPr>
        <w:t xml:space="preserve">When rollback is unsafe or unavailable: </w:t>
      </w:r>
      <w:r>
        <w:t>[Learner entry]</w:t>
      </w:r>
    </w:p>
    <w:p>
      <w:pPr>
        <w:pStyle w:val="Heading1"/>
      </w:pPr>
      <w:r>
        <w:t>9. Communications and escalation</w:t>
      </w:r>
    </w:p>
    <w:p>
      <w:pPr>
        <w:pStyle w:val="ListBullet"/>
      </w:pPr>
      <w:r>
        <w:rPr>
          <w:b/>
        </w:rPr>
        <w:t xml:space="preserve">Who to notify and when: </w:t>
      </w:r>
      <w:r>
        <w:t>[Learner entry]</w:t>
      </w:r>
    </w:p>
    <w:p>
      <w:pPr>
        <w:pStyle w:val="ListBullet"/>
      </w:pPr>
      <w:r>
        <w:rPr>
          <w:b/>
        </w:rPr>
        <w:t xml:space="preserve">Partner-hospital communication path: </w:t>
      </w:r>
      <w:r>
        <w:t>[Learner entry]</w:t>
      </w:r>
    </w:p>
    <w:p>
      <w:pPr>
        <w:pStyle w:val="ListBullet"/>
      </w:pPr>
      <w:r>
        <w:rPr>
          <w:b/>
        </w:rPr>
        <w:t xml:space="preserve">Security/privacy/compliance escalation: </w:t>
      </w:r>
      <w:r>
        <w:t>[Learner entry]</w:t>
      </w:r>
    </w:p>
    <w:p>
      <w:pPr>
        <w:pStyle w:val="ListBullet"/>
      </w:pPr>
      <w:r>
        <w:rPr>
          <w:b/>
        </w:rPr>
        <w:t xml:space="preserve">Clinical-operations escalation when workflow impact is material: </w:t>
      </w:r>
      <w:r>
        <w:t>[Learner entry]</w:t>
      </w:r>
    </w:p>
    <w:p>
      <w:pPr>
        <w:pStyle w:val="ListBullet"/>
      </w:pPr>
      <w:r>
        <w:rPr>
          <w:b/>
        </w:rPr>
        <w:t xml:space="preserve">Status-update cadence: </w:t>
      </w:r>
      <w:r>
        <w:t>[Learner entry]</w:t>
      </w:r>
    </w:p>
    <w:p>
      <w:pPr>
        <w:pStyle w:val="Heading1"/>
      </w:pPr>
      <w:r>
        <w:t>10. Closure and evidence retention</w:t>
      </w:r>
    </w:p>
    <w:p>
      <w:pPr>
        <w:pStyle w:val="ListBullet"/>
      </w:pPr>
      <w:r>
        <w:rPr>
          <w:b/>
        </w:rPr>
        <w:t xml:space="preserve">Final incident summary: </w:t>
      </w:r>
      <w:r>
        <w:t>[Learner entry]</w:t>
      </w:r>
    </w:p>
    <w:p>
      <w:pPr>
        <w:pStyle w:val="ListBullet"/>
      </w:pPr>
      <w:r>
        <w:rPr>
          <w:b/>
        </w:rPr>
        <w:t xml:space="preserve">Evidence storage location and owner: </w:t>
      </w:r>
      <w:r>
        <w:t>[Learner entry]</w:t>
      </w:r>
    </w:p>
    <w:p>
      <w:pPr>
        <w:pStyle w:val="ListBullet"/>
      </w:pPr>
      <w:r>
        <w:rPr>
          <w:b/>
        </w:rPr>
        <w:t xml:space="preserve">Retention decision and authority: </w:t>
      </w:r>
      <w:r>
        <w:t>[Learner entry]</w:t>
      </w:r>
    </w:p>
    <w:p>
      <w:pPr>
        <w:pStyle w:val="ListBullet"/>
      </w:pPr>
      <w:r>
        <w:rPr>
          <w:b/>
        </w:rPr>
        <w:t xml:space="preserve">Problem-management or root-cause follow-up: </w:t>
      </w:r>
      <w:r>
        <w:t>[Learner entry]</w:t>
      </w:r>
    </w:p>
    <w:p>
      <w:pPr>
        <w:pStyle w:val="ListBullet"/>
      </w:pPr>
      <w:r>
        <w:rPr>
          <w:b/>
        </w:rPr>
        <w:t xml:space="preserve">Runbook update needed?: </w:t>
      </w:r>
      <w:r>
        <w:t>[Learner entry]</w:t>
      </w:r>
    </w:p>
    <w:p>
      <w:pPr>
        <w:pStyle w:val="Heading1"/>
      </w:pPr>
      <w:r>
        <w:t>Procedure step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20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68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Command / portal path</w:t>
            </w:r>
          </w:p>
        </w:tc>
        <w:tc>
          <w:tcPr>
            <w:tcW w:type="dxa" w:w="2592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2592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Decision / stop condition</w:t>
            </w:r>
          </w:p>
        </w:tc>
        <w:tc>
          <w:tcPr>
            <w:tcW w:type="dxa" w:w="2160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Evidence to retain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[...]</w:t>
            </w:r>
          </w:p>
        </w:tc>
      </w:tr>
    </w:tbl>
    <w:p>
      <w:pPr>
        <w:pStyle w:val="Heading1"/>
      </w:pPr>
      <w:r>
        <w:t>Post-run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480"/>
            <w:shd w:fill="0F6CB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Did the runbook remain within the authorization boundary?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[Yes/No + evidence]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Did any step expose PHI or credentials in telemetry, screenshots, or tickets?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[Yes/No + remediation]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Was rollback tested or required?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[Result]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Were alert thresholds or suppression rules appropriate?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</w:tcPr>
          <w:p>
            <w:pPr>
              <w:spacing w:after="40"/>
            </w:pPr>
            <w:r>
              <w:rPr>
                <w:sz w:val="17"/>
              </w:rPr>
              <w:t>[Decision]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What should change before the next use?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sz w:val="17"/>
              </w:rPr>
              <w:t>[Action/owner/due date]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CB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6CB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454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