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line="276" w:lineRule="auto"/>
        <w:rPr>
          <w:rFonts w:ascii="Arial" w:cs="Arial" w:eastAsia="Arial" w:hAnsi="Arial"/>
          <w:sz w:val="40"/>
          <w:szCs w:val="40"/>
        </w:rPr>
      </w:pPr>
      <w:bookmarkStart w:colFirst="0" w:colLast="0" w:name="_heading=h.po6eli1qj4h7" w:id="0"/>
      <w:bookmarkEnd w:id="0"/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Accessibility &amp; Usability Summary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00" w:line="276" w:lineRule="auto"/>
        <w:rPr>
          <w:rFonts w:ascii="Arial" w:cs="Arial" w:eastAsia="Arial" w:hAnsi="Arial"/>
          <w:sz w:val="40"/>
          <w:szCs w:val="40"/>
        </w:rPr>
      </w:pPr>
      <w:bookmarkStart w:colFirst="0" w:colLast="0" w:name="_heading=h.77zopsbpawh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32"/>
          <w:szCs w:val="32"/>
        </w:rPr>
      </w:pPr>
      <w:bookmarkStart w:colFirst="0" w:colLast="0" w:name="_heading=h.mt6xnkymc9c6" w:id="2"/>
      <w:bookmarkEnd w:id="2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Start the Lab</w:t>
      </w:r>
    </w:p>
    <w:p w:rsidR="00000000" w:rsidDel="00000000" w:rsidP="00000000" w:rsidRDefault="00000000" w:rsidRPr="00000000" w14:paraId="00000004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lab application is already on your lab desktop; you just start it once from a terminal, and it opens in Chrome by itself.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00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 a terminal.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Right-click anywhere on the desktop and choose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 Terminal Here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(or open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Terminal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app from the taskbar).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00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Start the lab.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Copy the line below, paste it into the terminal, and press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00" w:line="276" w:lineRule="auto"/>
        <w:ind w:left="4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6287e"/>
          <w:sz w:val="22"/>
          <w:szCs w:val="22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/app/lab/start.sh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00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 the progress.</w:t>
      </w:r>
      <w:sdt>
        <w:sdtPr>
          <w:id w:val="15178618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The terminal shows each step as it happens — checking dependencies → building → starting the server → opening Chrome. The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first run takes a few minutes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while it installs; that is normal, so leave the terminal open and wait for it.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00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the app.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Chrome opens automatically at http://localhost:3000. If it does not appear, open Chrome yourself and go to that address.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00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you finish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click the terminal and press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Ctrl-C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stop the lab.</w:t>
      </w:r>
    </w:p>
    <w:p w:rsidR="00000000" w:rsidDel="00000000" w:rsidP="00000000" w:rsidRDefault="00000000" w:rsidRPr="00000000" w14:paraId="0000000B">
      <w:pPr>
        <w:spacing w:after="200" w:before="100" w:line="276" w:lineRule="auto"/>
        <w:ind w:left="480" w:right="48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Files this lab refers to are in the supporting-files folder, next to start.sh inside the lab folder.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Lab Walkthrough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this lab, you will use Microsoft Edge DevTools to inspect MindBridge for two WCAG violations and one usability improvement you can recommend to the development team. 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Before you begin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Gather these items before you start.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00" w:before="18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 MindBridge.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Microsoft Edge, go to http://localhost:3000. The lab environment starts the application for you. Wait until the home page loads with the hero banner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Featured Courses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section.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 Microsoft Edge DevTools.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Press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F12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or select the browser menu, then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More tools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Developer tools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00" w:before="0" w:line="276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Know your panels.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00" w:before="36" w:line="276" w:lineRule="auto"/>
        <w:ind w:left="1200" w:hanging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HTML tree; select a node to inspect tags and attributes.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00" w:before="36" w:line="276" w:lineRule="auto"/>
        <w:ind w:left="1200" w:hanging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Styles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CSS rules beside Elements; open the color swatch to check contrast.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00" w:before="36" w:line="276" w:lineRule="auto"/>
        <w:ind w:left="1200" w:hanging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Issues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automatic flags for missing alt text and insufficient contrast. Find it on the DevTools tab bar or under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More tools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00" w:before="18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Have notes ready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for two WCAG findings and one usability observation. Scroll 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Featured Courses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before Step 1.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32"/>
          <w:szCs w:val="32"/>
        </w:rPr>
      </w:pPr>
      <w:bookmarkStart w:colFirst="0" w:colLast="0" w:name="_heading=h.le6calrc7cq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32"/>
          <w:szCs w:val="32"/>
        </w:rPr>
      </w:pPr>
      <w:bookmarkStart w:colFirst="0" w:colLast="0" w:name="_heading=h.69358tm7u3f6" w:id="4"/>
      <w:bookmarkEnd w:id="4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Activities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lo0huzhzgpa9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1 — Find the missing alt text on a course thumbnail</w:t>
      </w:r>
    </w:p>
    <w:p w:rsidR="00000000" w:rsidDel="00000000" w:rsidP="00000000" w:rsidRDefault="00000000" w:rsidRPr="00000000" w14:paraId="00000025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00" w:before="36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the home page, find a course card in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Featured Courses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Each card has a rectangular thumbnail at the top.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00" w:before="36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Right-select the thumbnail and choose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Inspect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(or use the element-picker in DevTools, then select the image).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00" w:before="36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confirm an &lt;img&gt; tag is selected.</w:t>
      </w:r>
    </w:p>
    <w:p w:rsidR="00000000" w:rsidDel="00000000" w:rsidP="00000000" w:rsidRDefault="00000000" w:rsidRPr="00000000" w14:paraId="00000029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What to look for in DevTools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00" w:before="36" w:line="276" w:lineRule="auto"/>
        <w:ind w:left="4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Read the &lt;img&gt; attributes: src, class, and others.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00" w:before="36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Look for an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attribute. On the lab build, it is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absent,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not present on the tag at all.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00" w:before="36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Optionally open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Accessibility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view (person icon in Elements). The image may show no useful accessible name, what a screen reader user hears.</w:t>
      </w:r>
    </w:p>
    <w:p w:rsidR="00000000" w:rsidDel="00000000" w:rsidP="00000000" w:rsidRDefault="00000000" w:rsidRPr="00000000" w14:paraId="0000002D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same missing alt text appears on Catalogue thumbnails and on the hero image at the top of Course Detail pages. Documenting one instance on Home is enough.</w:t>
      </w:r>
    </w:p>
    <w:p w:rsidR="00000000" w:rsidDel="00000000" w:rsidP="00000000" w:rsidRDefault="00000000" w:rsidRPr="00000000" w14:paraId="0000002E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How to record it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Field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Your 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Course thumbnail &lt;img&gt; on Home (also Catalogue and Course Detail)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WCAG Success Criterion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1.1.1 Non-text 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What you observed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alt attribute is missing.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Screen reader users cannot tell which course the image represents.</w:t>
            </w:r>
          </w:p>
        </w:tc>
      </w:tr>
    </w:tbl>
    <w:p w:rsidR="00000000" w:rsidDel="00000000" w:rsidP="00000000" w:rsidRDefault="00000000" w:rsidRPr="00000000" w14:paraId="0000003B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vebfcebndyk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t3i25wb24cnm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2 — Find the low contrast text on the main call-to-action button</w:t>
      </w:r>
    </w:p>
    <w:p w:rsidR="00000000" w:rsidDel="00000000" w:rsidP="00000000" w:rsidRDefault="00000000" w:rsidRPr="00000000" w14:paraId="0000003E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00" w:before="36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the home page hero, find the main call-to-action button labelled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Browse courses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00" w:before="36" w:line="276" w:lineRule="auto"/>
        <w:ind w:left="4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Notice the label text is hard to read, a washed-out tone against the button's background.</w:t>
      </w:r>
    </w:p>
    <w:p w:rsidR="00000000" w:rsidDel="00000000" w:rsidP="00000000" w:rsidRDefault="00000000" w:rsidRPr="00000000" w14:paraId="00000041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What to look for in DevTools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Option A — Issues panel: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Issues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Find a contrast warning and select it to highlight the button label.</w:t>
      </w:r>
    </w:p>
    <w:p w:rsidR="00000000" w:rsidDel="00000000" w:rsidP="00000000" w:rsidRDefault="00000000" w:rsidRPr="00000000" w14:paraId="00000043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Option B — Elements and Styles: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Right-select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Browse courses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button label, choose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Inspect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then in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Styles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select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color swatch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next to the text color. Edge shows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Contrast ratio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section. The measured ratio is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below 2:1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Level AA requires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4.5:1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for normal text. Edge marks it as failing.</w:t>
      </w:r>
    </w:p>
    <w:p w:rsidR="00000000" w:rsidDel="00000000" w:rsidP="00000000" w:rsidRDefault="00000000" w:rsidRPr="00000000" w14:paraId="00000044">
      <w:pPr>
        <w:spacing w:after="200" w:before="100" w:line="276" w:lineRule="auto"/>
        <w:ind w:left="480" w:right="48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same low-contrast tone also affects the featured course card metadata (instructor name and price) at the bottom of each card, a second instance of the same defect you can note as supporting evidence.</w:t>
      </w:r>
    </w:p>
    <w:p w:rsidR="00000000" w:rsidDel="00000000" w:rsidP="00000000" w:rsidRDefault="00000000" w:rsidRPr="00000000" w14:paraId="00000045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How to record it</w:t>
      </w:r>
      <w:r w:rsidDel="00000000" w:rsidR="00000000" w:rsidRPr="00000000">
        <w:rPr>
          <w:rtl w:val="0"/>
        </w:rPr>
      </w:r>
    </w:p>
    <w:sdt>
      <w:sdtPr>
        <w:lock w:val="contentLocked"/>
        <w:id w:val="-717819220"/>
        <w:tag w:val="goog_rdk_1"/>
      </w:sdtPr>
      <w:sdtContent>
        <w:tbl>
          <w:tblPr>
            <w:tblStyle w:val="Table2"/>
            <w:jc w:val="left"/>
            <w:tblInd w:w="-108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8" w:val="single"/>
                </w:tcBorders>
                <w:vAlign w:val="bottom"/>
              </w:tcPr>
              <w:p w:rsidR="00000000" w:rsidDel="00000000" w:rsidP="00000000" w:rsidRDefault="00000000" w:rsidRPr="00000000" w14:paraId="00000046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Field</w:t>
                </w:r>
              </w:p>
            </w:tc>
            <w:tc>
              <w:tcPr>
                <w:tcBorders>
                  <w:bottom w:color="000000" w:space="0" w:sz="8" w:val="single"/>
                </w:tcBorders>
                <w:vAlign w:val="bottom"/>
              </w:tcPr>
              <w:p w:rsidR="00000000" w:rsidDel="00000000" w:rsidP="00000000" w:rsidRDefault="00000000" w:rsidRPr="00000000" w14:paraId="00000047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Your note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8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Element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Main call-to-action button "Browse courses" in the Home hero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A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WCAG Success Criterion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1.4.3 Contrast (Minimum)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C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Level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E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What you observed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Measured ratio below 2:1; required 4.5:1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Impact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after="200" w:before="36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Low-vision users may be unable to read the primary call-to-action.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loccy9bglbh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t1unaukpcenq" w:id="9"/>
      <w:bookmarkEnd w:id="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3 — Note one usability improvement (not a WCAG failure)</w:t>
      </w:r>
    </w:p>
    <w:p w:rsidR="00000000" w:rsidDel="00000000" w:rsidP="00000000" w:rsidRDefault="00000000" w:rsidRPr="00000000" w14:paraId="00000055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Explore beyond the two violations.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walk through the three-step wizard (Email, Password, Profile). Try signing in, the catalogue, or a course detail page.</w:t>
      </w:r>
    </w:p>
    <w:p w:rsidR="00000000" w:rsidDel="00000000" w:rsidP="00000000" w:rsidRDefault="00000000" w:rsidRPr="00000000" w14:paraId="00000057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What to look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specific, actionable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friction, not another WCAG failure. Examples expected in this lab: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00" w:before="36" w:line="276" w:lineRule="auto"/>
        <w:ind w:left="4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registration wizard shows step numbers but does not state upfront that all three steps are required, or which Step 3 fields are optional.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00" w:before="36" w:line="276" w:lineRule="auto"/>
        <w:ind w:left="4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registration failure on Step 3 may show a generic message that does not tell the user to retry, use a different email, or sign in instead.</w:t>
      </w:r>
    </w:p>
    <w:p w:rsidR="00000000" w:rsidDel="00000000" w:rsidP="00000000" w:rsidRDefault="00000000" w:rsidRPr="00000000" w14:paraId="0000005B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How to record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one to two sentences: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(where and what the user sees) and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recommendation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(a concrete change). Do not restate the alt text or contrast findings.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hn4msmym4pw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iokadysa13bg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4 — Write your accessibility and usability summary (150–200 words)</w:t>
      </w:r>
    </w:p>
    <w:p w:rsidR="00000000" w:rsidDel="00000000" w:rsidP="00000000" w:rsidRDefault="00000000" w:rsidRPr="00000000" w14:paraId="0000005F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Consolidate your findings into a single short report, the deliverable a QA tester attaches to a release review. Write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150–200 words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 these four parts: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00" w:before="36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Summary header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one sentence naming what you audited (MindBridge Home at http://localhost:3000), the tool (Microsoft Edge DevTools), and the headline result (two WCAG violations and one usability improvement)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00" w:before="36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Violation 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the missing alt text: name the element, cite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WCAG 1.1.1 Non-text Content (Level A)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state the user impact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00" w:before="36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Violation 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the low-contrast call-to-action: name the element, cite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WCAG 1.4.3 Contrast (Minimum) (Level AA)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give the measured-vs-required ratio (below 2:1 against the required 4.5:1), and state the user impact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00" w:before="36" w:line="276" w:lineRule="auto"/>
        <w:ind w:left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Usability proposal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your one actionable, non-WCAG improvement from Step 3</w:t>
      </w:r>
    </w:p>
    <w:p w:rsidR="00000000" w:rsidDel="00000000" w:rsidP="00000000" w:rsidRDefault="00000000" w:rsidRPr="00000000" w14:paraId="00000064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Keep it concise and evidence-based: Every claim should tie back to something you observed in DevTools. Aim for 150–200 words total.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g057jxjabwb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heading=h.ekkrqx5aoz11" w:id="13"/>
      <w:bookmarkEnd w:id="1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Success Checklist</w:t>
      </w:r>
    </w:p>
    <w:p w:rsidR="00000000" w:rsidDel="00000000" w:rsidP="00000000" w:rsidRDefault="00000000" w:rsidRPr="00000000" w14:paraId="00000067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labs/sc6-exploratory-usability/supporting-files/Accessibility_Solution_Key.md and compare your findings.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00" w:before="36" w:line="276" w:lineRule="auto"/>
        <w:ind w:left="1200" w:hanging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Violation 1 cites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WCAG 1.1.1 (Level A)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 missing alt text on the primary course image and thumbnails.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00" w:before="36" w:line="276" w:lineRule="auto"/>
        <w:ind w:left="1200" w:hanging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Violation 2 cites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WCAG 1.4.3 (Level AA)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 ratio below 2:1 and required 4.5:1 on the main call-to-action button.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00" w:before="36" w:line="276" w:lineRule="auto"/>
        <w:ind w:left="1200" w:hanging="4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Your usability note is specific, actionable, and distinct from both WCAG violations.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00" w:before="36" w:line="276" w:lineRule="auto"/>
        <w:ind w:left="1200" w:hanging="48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wrote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150–200 word summary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 a header, both WCAG violations (criterion, level, and impact), and one usability proposal.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00" w:before="36" w:line="276" w:lineRule="auto"/>
        <w:ind w:left="1200" w:hanging="4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Inspection steps reference Edge DevTools panels (Elements, Styles, Issues).</w:t>
      </w:r>
    </w:p>
    <w:p w:rsidR="00000000" w:rsidDel="00000000" w:rsidP="00000000" w:rsidRDefault="00000000" w:rsidRPr="00000000" w14:paraId="0000006D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criteria and evidence match the key but wording differs slightly, that is acceptable. Re-inspect in DevTools if a criterion or measurement does not match.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32"/>
          <w:szCs w:val="32"/>
        </w:rPr>
      </w:pPr>
      <w:bookmarkStart w:colFirst="0" w:colLast="0" w:name="_heading=h.hqaa9y8o6mh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heading=h.2kwclqd4br2o" w:id="15"/>
      <w:bookmarkEnd w:id="1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Common Issues and Solutions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Problem: If you get the error: "No such file or directory", the lab was unzipped to a different place.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Solution: Paste this instead, which finds and runs it for you: </w:t>
      </w:r>
      <w:r w:rsidDel="00000000" w:rsidR="00000000" w:rsidRPr="00000000">
        <w:rPr>
          <w:rFonts w:ascii="Arial" w:cs="Arial" w:eastAsia="Arial" w:hAnsi="Arial"/>
          <w:color w:val="06287e"/>
          <w:sz w:val="22"/>
          <w:szCs w:val="22"/>
          <w:rtl w:val="0"/>
        </w:rPr>
        <w:t xml:space="preserve">bash "$(find /app $HOME -maxdepth 5 -name start.sh -not -path '*/node_modules/*' 2&gt;/dev/null | head -n 1)".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Arial" w:cs="Arial" w:eastAsia="Arial" w:hAnsi="Arial"/>
          <w:color w:val="06287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Problem: Chrome does not open automatically at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Fonts w:ascii="Arial" w:cs="Arial" w:eastAsia="Arial" w:hAnsi="Arial"/>
          <w:color w:val="06287e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Solution: Open Chrome yourself and go to that address.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32"/>
          <w:szCs w:val="32"/>
        </w:rPr>
      </w:pPr>
      <w:bookmarkStart w:colFirst="0" w:colLast="0" w:name="_heading=h.4t4u0mb6q13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heading=h.p6jrper1mbnp" w:id="17"/>
      <w:bookmarkEnd w:id="17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hands-on lab tasks students with using</w:t>
      </w:r>
      <w:r w:rsidDel="00000000" w:rsidR="00000000" w:rsidRPr="00000000">
        <w:rPr>
          <w:rFonts w:ascii="Arial" w:cs="Arial" w:eastAsia="Arial" w:hAnsi="Arial"/>
          <w:color w:val="090a0b"/>
          <w:sz w:val="22"/>
          <w:szCs w:val="22"/>
          <w:rtl w:val="0"/>
        </w:rPr>
        <w:t xml:space="preserve"> Microsoft Edge DevTools to audit the MindBridge web application for two specific WCAG accessibility violations and one usability improvement. You will then consolidate your findings into a professional 150–200 word summary, evaluating your results against a provided solution key to practice advocating for inclusive software</w:t>
      </w:r>
      <w:r w:rsidDel="00000000" w:rsidR="00000000" w:rsidRPr="00000000">
        <w:rPr>
          <w:rFonts w:ascii="Arial" w:cs="Arial" w:eastAsia="Arial" w:hAnsi="Arial"/>
          <w:color w:val="090a0b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32"/>
          <w:szCs w:val="32"/>
        </w:rPr>
      </w:pPr>
      <w:bookmarkStart w:colFirst="0" w:colLast="0" w:name="_heading=h.4kfq8u291z4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32"/>
          <w:szCs w:val="32"/>
        </w:rPr>
      </w:pPr>
      <w:bookmarkStart w:colFirst="0" w:colLast="0" w:name="_heading=h.m1dvz5h52t4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200" w:line="276" w:lineRule="auto"/>
        <w:rPr>
          <w:rFonts w:ascii="Arial" w:cs="Arial" w:eastAsia="Arial" w:hAnsi="Arial"/>
          <w:sz w:val="32"/>
          <w:szCs w:val="32"/>
        </w:rPr>
      </w:pPr>
      <w:bookmarkStart w:colFirst="0" w:colLast="0" w:name="_heading=h.64h9t0i4do86" w:id="20"/>
      <w:bookmarkEnd w:id="2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Reference Solution </w:t>
      </w:r>
    </w:p>
    <w:p w:rsidR="00000000" w:rsidDel="00000000" w:rsidP="00000000" w:rsidRDefault="00000000" w:rsidRPr="00000000" w14:paraId="0000007A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WCAG Violation 1 — Missing alternative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Course thumbnail images on Home, Catalogue, and Course Detail render without an alt attribute. Fails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WCAG 1.1.1 Non-text Content (Level A)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Screen reader users cannot identify which course the image represents.</w:t>
      </w:r>
    </w:p>
    <w:p w:rsidR="00000000" w:rsidDel="00000000" w:rsidP="00000000" w:rsidRDefault="00000000" w:rsidRPr="00000000" w14:paraId="0000007C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WCAG Violation 2 — Insufficient color contrast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main call-to-action button "Browse courses" on Home uses label text well below the required 4.5:1 ratio (measured below 2:1). Fails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WCAG 1.4.3 Contrast (Minimum) (Level AA)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The featured card instructor name and price show the same failing tone. Low-vision users may be unable to read the primary call-to-action.</w:t>
      </w:r>
    </w:p>
    <w:p w:rsidR="00000000" w:rsidDel="00000000" w:rsidP="00000000" w:rsidRDefault="00000000" w:rsidRPr="00000000" w14:paraId="0000007E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Usability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separate, actionable suggestion about registration flow, error messaging, labelling, or navigation—not a restatement of the two WCAG failures.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Arial" w:cs="Arial" w:eastAsia="Arial" w:hAnsi="Arial"/>
          <w:b w:val="1"/>
          <w:bCs w:val="1"/>
          <w:sz w:val="37"/>
          <w:szCs w:val="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Helvetica Neue" w:cs="Helvetica Neue" w:eastAsia="Helvetica Neue" w:hAnsi="Helvetica Neue"/>
          <w:b w:val="1"/>
          <w:bCs w:val="1"/>
          <w:sz w:val="37"/>
          <w:szCs w:val="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Helvetica Neue" w:cs="Helvetica Neue" w:eastAsia="Helvetica Neue" w:hAnsi="Helvetica Neue"/>
          <w:b w:val="1"/>
          <w:bCs w:val="1"/>
          <w:sz w:val="37"/>
          <w:szCs w:val="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480"/>
      </w:pPr>
      <w:rPr>
        <w:u w:val="none"/>
      </w:rPr>
    </w:lvl>
    <w:lvl w:ilvl="2">
      <w:start w:val="1"/>
      <w:numFmt w:val="decimal"/>
      <w:lvlText w:val="%3."/>
      <w:lvlJc w:val="left"/>
      <w:pPr>
        <w:ind w:left="192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2640" w:hanging="480"/>
      </w:pPr>
      <w:rPr>
        <w:u w:val="none"/>
      </w:rPr>
    </w:lvl>
    <w:lvl w:ilvl="4">
      <w:start w:val="1"/>
      <w:numFmt w:val="decimal"/>
      <w:lvlText w:val="%5."/>
      <w:lvlJc w:val="left"/>
      <w:pPr>
        <w:ind w:left="3360" w:hanging="480"/>
      </w:pPr>
      <w:rPr>
        <w:u w:val="none"/>
      </w:rPr>
    </w:lvl>
    <w:lvl w:ilvl="5">
      <w:start w:val="1"/>
      <w:numFmt w:val="decimal"/>
      <w:lvlText w:val="%6."/>
      <w:lvlJc w:val="left"/>
      <w:pPr>
        <w:ind w:left="408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4800" w:hanging="480"/>
      </w:pPr>
      <w:rPr>
        <w:u w:val="none"/>
      </w:rPr>
    </w:lvl>
    <w:lvl w:ilvl="7">
      <w:start w:val="1"/>
      <w:numFmt w:val="decimal"/>
      <w:lvlText w:val="%8."/>
      <w:lvlJc w:val="left"/>
      <w:pPr>
        <w:ind w:left="5520" w:hanging="480"/>
      </w:pPr>
      <w:rPr>
        <w:u w:val="none"/>
      </w:rPr>
    </w:lvl>
    <w:lvl w:ilvl="8">
      <w:start w:val="1"/>
      <w:numFmt w:val="decimal"/>
      <w:lvlText w:val="%9."/>
      <w:lvlJc w:val="left"/>
      <w:pPr>
        <w:ind w:left="6240" w:hanging="480"/>
      </w:pPr>
      <w:rPr>
        <w:u w:val="none"/>
      </w:rPr>
    </w:lvl>
  </w:abstractNum>
  <w:abstractNum w:abstractNumId="3">
    <w:lvl w:ilvl="0">
      <w:start w:val="0"/>
      <w:numFmt w:val="bullet"/>
      <w:lvlText w:val="•"/>
      <w:lvlJc w:val="left"/>
      <w:pPr>
        <w:ind w:left="48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20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192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64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36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08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480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52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240" w:hanging="48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1200" w:hanging="480"/>
      </w:pPr>
      <w:rPr>
        <w:u w:val="none"/>
      </w:rPr>
    </w:lvl>
    <w:lvl w:ilvl="1">
      <w:start w:val="0"/>
      <w:numFmt w:val="bullet"/>
      <w:lvlText w:val="○"/>
      <w:lvlJc w:val="left"/>
      <w:pPr>
        <w:ind w:left="1920" w:hanging="480"/>
      </w:pPr>
      <w:rPr>
        <w:u w:val="none"/>
      </w:rPr>
    </w:lvl>
    <w:lvl w:ilvl="2">
      <w:start w:val="0"/>
      <w:numFmt w:val="bullet"/>
      <w:lvlText w:val="■"/>
      <w:lvlJc w:val="left"/>
      <w:pPr>
        <w:ind w:left="2640" w:hanging="480"/>
      </w:pPr>
      <w:rPr>
        <w:u w:val="none"/>
      </w:rPr>
    </w:lvl>
    <w:lvl w:ilvl="3">
      <w:start w:val="0"/>
      <w:numFmt w:val="bullet"/>
      <w:lvlText w:val="●"/>
      <w:lvlJc w:val="left"/>
      <w:pPr>
        <w:ind w:left="3360" w:hanging="480"/>
      </w:pPr>
      <w:rPr>
        <w:u w:val="none"/>
      </w:rPr>
    </w:lvl>
    <w:lvl w:ilvl="4">
      <w:start w:val="0"/>
      <w:numFmt w:val="bullet"/>
      <w:lvlText w:val="○"/>
      <w:lvlJc w:val="left"/>
      <w:pPr>
        <w:ind w:left="4080" w:hanging="480"/>
      </w:pPr>
      <w:rPr>
        <w:u w:val="none"/>
      </w:rPr>
    </w:lvl>
    <w:lvl w:ilvl="5">
      <w:start w:val="0"/>
      <w:numFmt w:val="bullet"/>
      <w:lvlText w:val="■"/>
      <w:lvlJc w:val="left"/>
      <w:pPr>
        <w:ind w:left="4800" w:hanging="480"/>
      </w:pPr>
      <w:rPr>
        <w:u w:val="none"/>
      </w:rPr>
    </w:lvl>
    <w:lvl w:ilvl="6">
      <w:start w:val="0"/>
      <w:numFmt w:val="bullet"/>
      <w:lvlText w:val="●"/>
      <w:lvlJc w:val="left"/>
      <w:pPr>
        <w:ind w:left="5520" w:hanging="480"/>
      </w:pPr>
      <w:rPr>
        <w:u w:val="none"/>
      </w:rPr>
    </w:lvl>
    <w:lvl w:ilvl="7">
      <w:start w:val="0"/>
      <w:numFmt w:val="bullet"/>
      <w:lvlText w:val="○"/>
      <w:lvlJc w:val="left"/>
      <w:pPr>
        <w:ind w:left="6240" w:hanging="480"/>
      </w:pPr>
      <w:rPr>
        <w:u w:val="none"/>
      </w:rPr>
    </w:lvl>
    <w:lvl w:ilvl="8">
      <w:start w:val="0"/>
      <w:numFmt w:val="bullet"/>
      <w:lvlText w:val="■"/>
      <w:lvlJc w:val="left"/>
      <w:pPr>
        <w:ind w:left="6960" w:hanging="480"/>
      </w:pPr>
      <w:rPr>
        <w:u w:val="none"/>
      </w:rPr>
    </w:lvl>
  </w:abstractNum>
  <w:abstractNum w:abstractNumId="5">
    <w:lvl w:ilvl="0">
      <w:start w:val="0"/>
      <w:numFmt w:val="bullet"/>
      <w:lvlText w:val="•"/>
      <w:lvlJc w:val="left"/>
      <w:pPr>
        <w:ind w:left="120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92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64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336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408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80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52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624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960" w:hanging="4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480"/>
      </w:pPr>
      <w:rPr>
        <w:u w:val="none"/>
      </w:rPr>
    </w:lvl>
    <w:lvl w:ilvl="2">
      <w:start w:val="1"/>
      <w:numFmt w:val="decimal"/>
      <w:lvlText w:val="%3."/>
      <w:lvlJc w:val="left"/>
      <w:pPr>
        <w:ind w:left="192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2640" w:hanging="480"/>
      </w:pPr>
      <w:rPr>
        <w:u w:val="none"/>
      </w:rPr>
    </w:lvl>
    <w:lvl w:ilvl="4">
      <w:start w:val="1"/>
      <w:numFmt w:val="decimal"/>
      <w:lvlText w:val="%5."/>
      <w:lvlJc w:val="left"/>
      <w:pPr>
        <w:ind w:left="3360" w:hanging="480"/>
      </w:pPr>
      <w:rPr>
        <w:u w:val="none"/>
      </w:rPr>
    </w:lvl>
    <w:lvl w:ilvl="5">
      <w:start w:val="1"/>
      <w:numFmt w:val="decimal"/>
      <w:lvlText w:val="%6."/>
      <w:lvlJc w:val="left"/>
      <w:pPr>
        <w:ind w:left="408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4800" w:hanging="480"/>
      </w:pPr>
      <w:rPr>
        <w:u w:val="none"/>
      </w:rPr>
    </w:lvl>
    <w:lvl w:ilvl="7">
      <w:start w:val="1"/>
      <w:numFmt w:val="decimal"/>
      <w:lvlText w:val="%8."/>
      <w:lvlJc w:val="left"/>
      <w:pPr>
        <w:ind w:left="5520" w:hanging="480"/>
      </w:pPr>
      <w:rPr>
        <w:u w:val="none"/>
      </w:rPr>
    </w:lvl>
    <w:lvl w:ilvl="8">
      <w:start w:val="1"/>
      <w:numFmt w:val="decimal"/>
      <w:lvlText w:val="%9."/>
      <w:lvlJc w:val="left"/>
      <w:pPr>
        <w:ind w:left="6240" w:hanging="48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480"/>
      </w:pPr>
      <w:rPr>
        <w:u w:val="none"/>
      </w:rPr>
    </w:lvl>
    <w:lvl w:ilvl="2">
      <w:start w:val="1"/>
      <w:numFmt w:val="decimal"/>
      <w:lvlText w:val="%3."/>
      <w:lvlJc w:val="left"/>
      <w:pPr>
        <w:ind w:left="192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2640" w:hanging="480"/>
      </w:pPr>
      <w:rPr>
        <w:u w:val="none"/>
      </w:rPr>
    </w:lvl>
    <w:lvl w:ilvl="4">
      <w:start w:val="1"/>
      <w:numFmt w:val="decimal"/>
      <w:lvlText w:val="%5."/>
      <w:lvlJc w:val="left"/>
      <w:pPr>
        <w:ind w:left="3360" w:hanging="480"/>
      </w:pPr>
      <w:rPr>
        <w:u w:val="none"/>
      </w:rPr>
    </w:lvl>
    <w:lvl w:ilvl="5">
      <w:start w:val="1"/>
      <w:numFmt w:val="decimal"/>
      <w:lvlText w:val="%6."/>
      <w:lvlJc w:val="left"/>
      <w:pPr>
        <w:ind w:left="408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4800" w:hanging="480"/>
      </w:pPr>
      <w:rPr>
        <w:u w:val="none"/>
      </w:rPr>
    </w:lvl>
    <w:lvl w:ilvl="7">
      <w:start w:val="1"/>
      <w:numFmt w:val="decimal"/>
      <w:lvlText w:val="%8."/>
      <w:lvlJc w:val="left"/>
      <w:pPr>
        <w:ind w:left="5520" w:hanging="480"/>
      </w:pPr>
      <w:rPr>
        <w:u w:val="none"/>
      </w:rPr>
    </w:lvl>
    <w:lvl w:ilvl="8">
      <w:start w:val="1"/>
      <w:numFmt w:val="decimal"/>
      <w:lvlText w:val="%9."/>
      <w:lvlJc w:val="left"/>
      <w:pPr>
        <w:ind w:left="6240" w:hanging="480"/>
      </w:pPr>
      <w:rPr>
        <w:u w:val="none"/>
      </w:rPr>
    </w:lvl>
  </w:abstractNum>
  <w:abstractNum w:abstractNumId="8">
    <w:lvl w:ilvl="0">
      <w:start w:val="0"/>
      <w:numFmt w:val="bullet"/>
      <w:lvlText w:val="•"/>
      <w:lvlJc w:val="left"/>
      <w:pPr>
        <w:ind w:left="48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20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192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64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36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08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480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52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240" w:hanging="480"/>
      </w:pPr>
      <w:rPr>
        <w:u w:val="none"/>
      </w:rPr>
    </w:lvl>
  </w:abstractNum>
  <w:abstractNum w:abstractNumId="9">
    <w:lvl w:ilvl="0">
      <w:start w:val="0"/>
      <w:numFmt w:val="bullet"/>
      <w:lvlText w:val=" "/>
      <w:lvlJc w:val="left"/>
      <w:pPr>
        <w:ind w:left="480" w:hanging="480"/>
      </w:pPr>
      <w:rPr>
        <w:u w:val="none"/>
      </w:rPr>
    </w:lvl>
    <w:lvl w:ilvl="1">
      <w:start w:val="0"/>
      <w:numFmt w:val="bullet"/>
      <w:lvlText w:val=" "/>
      <w:lvlJc w:val="left"/>
      <w:pPr>
        <w:ind w:left="1200" w:hanging="480"/>
      </w:pPr>
      <w:rPr>
        <w:u w:val="none"/>
      </w:rPr>
    </w:lvl>
    <w:lvl w:ilvl="2">
      <w:start w:val="0"/>
      <w:numFmt w:val="bullet"/>
      <w:lvlText w:val=" "/>
      <w:lvlJc w:val="left"/>
      <w:pPr>
        <w:ind w:left="1920" w:hanging="480"/>
      </w:pPr>
      <w:rPr>
        <w:u w:val="none"/>
      </w:rPr>
    </w:lvl>
    <w:lvl w:ilvl="3">
      <w:start w:val="0"/>
      <w:numFmt w:val="bullet"/>
      <w:lvlText w:val=" "/>
      <w:lvlJc w:val="left"/>
      <w:pPr>
        <w:ind w:left="2640" w:hanging="480"/>
      </w:pPr>
      <w:rPr>
        <w:u w:val="none"/>
      </w:rPr>
    </w:lvl>
    <w:lvl w:ilvl="4">
      <w:start w:val="0"/>
      <w:numFmt w:val="bullet"/>
      <w:lvlText w:val=" "/>
      <w:lvlJc w:val="left"/>
      <w:pPr>
        <w:ind w:left="3360" w:hanging="480"/>
      </w:pPr>
      <w:rPr>
        <w:u w:val="none"/>
      </w:rPr>
    </w:lvl>
    <w:lvl w:ilvl="5">
      <w:start w:val="0"/>
      <w:numFmt w:val="bullet"/>
      <w:lvlText w:val=" "/>
      <w:lvlJc w:val="left"/>
      <w:pPr>
        <w:ind w:left="4080" w:hanging="480"/>
      </w:pPr>
      <w:rPr>
        <w:u w:val="none"/>
      </w:rPr>
    </w:lvl>
    <w:lvl w:ilvl="6">
      <w:start w:val="0"/>
      <w:numFmt w:val="bullet"/>
      <w:lvlText w:val=" "/>
      <w:lvlJc w:val="left"/>
      <w:pPr>
        <w:ind w:left="4800" w:hanging="480"/>
      </w:pPr>
      <w:rPr>
        <w:u w:val="none"/>
      </w:rPr>
    </w:lvl>
    <w:lvl w:ilvl="7">
      <w:start w:val="0"/>
      <w:numFmt w:val="bullet"/>
      <w:lvlText w:val=" "/>
      <w:lvlJc w:val="left"/>
      <w:pPr>
        <w:ind w:left="5520" w:hanging="480"/>
      </w:pPr>
      <w:rPr>
        <w:u w:val="none"/>
      </w:rPr>
    </w:lvl>
    <w:lvl w:ilvl="8">
      <w:start w:val="0"/>
      <w:numFmt w:val="bullet"/>
      <w:lvlText w:val=" "/>
      <w:lvlJc w:val="left"/>
      <w:pPr>
        <w:ind w:left="6240" w:hanging="48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480"/>
      </w:pPr>
      <w:rPr>
        <w:u w:val="none"/>
      </w:rPr>
    </w:lvl>
    <w:lvl w:ilvl="2">
      <w:start w:val="1"/>
      <w:numFmt w:val="decimal"/>
      <w:lvlText w:val="%3."/>
      <w:lvlJc w:val="left"/>
      <w:pPr>
        <w:ind w:left="192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2640" w:hanging="480"/>
      </w:pPr>
      <w:rPr>
        <w:u w:val="none"/>
      </w:rPr>
    </w:lvl>
    <w:lvl w:ilvl="4">
      <w:start w:val="1"/>
      <w:numFmt w:val="decimal"/>
      <w:lvlText w:val="%5."/>
      <w:lvlJc w:val="left"/>
      <w:pPr>
        <w:ind w:left="3360" w:hanging="480"/>
      </w:pPr>
      <w:rPr>
        <w:u w:val="none"/>
      </w:rPr>
    </w:lvl>
    <w:lvl w:ilvl="5">
      <w:start w:val="1"/>
      <w:numFmt w:val="decimal"/>
      <w:lvlText w:val="%6."/>
      <w:lvlJc w:val="left"/>
      <w:pPr>
        <w:ind w:left="408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4800" w:hanging="480"/>
      </w:pPr>
      <w:rPr>
        <w:u w:val="none"/>
      </w:rPr>
    </w:lvl>
    <w:lvl w:ilvl="7">
      <w:start w:val="1"/>
      <w:numFmt w:val="decimal"/>
      <w:lvlText w:val="%8."/>
      <w:lvlJc w:val="left"/>
      <w:pPr>
        <w:ind w:left="5520" w:hanging="480"/>
      </w:pPr>
      <w:rPr>
        <w:u w:val="none"/>
      </w:rPr>
    </w:lvl>
    <w:lvl w:ilvl="8">
      <w:start w:val="1"/>
      <w:numFmt w:val="decimal"/>
      <w:lvlText w:val="%9."/>
      <w:lvlJc w:val="left"/>
      <w:pPr>
        <w:ind w:left="6240" w:hanging="4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dWkmM5Q6qYFP8xWs6ZXYdwGJg==">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