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bCs/>
                <w:color w:val="FFFFFF"/>
                <w:sz w:val="52"/>
                <w:szCs w:val="52"/>
              </w:rPr>
              <w:t xml:space="preserve">SALESVIEW PRO</w:t>
            </w:r>
          </w:p>
          <w:p>
            <w:pPr>
              <w:jc w:val="center"/>
            </w:pPr>
            <w:r>
              <w:rPr>
                <w:rFonts w:ascii="Arial" w:cs="Arial" w:eastAsia="Arial" w:hAnsi="Arial"/>
                <w:color w:val="D6E4F0"/>
                <w:sz w:val="24"/>
                <w:szCs w:val="24"/>
              </w:rPr>
              <w:t xml:space="preserve">Enterprise Sales Analytics Platform</w:t>
            </w:r>
          </w:p>
        </w:tc>
      </w:tr>
    </w:tbl>
    <w:p>
      <w:pPr>
        <w:spacing w:after="0" w:before="240"/>
      </w:pPr>
    </w:p>
    <w:p>
      <w:pPr>
        <w:spacing w:after="60" w:before="0"/>
        <w:jc w:val="center"/>
      </w:pPr>
      <w:r>
        <w:rPr>
          <w:rFonts w:ascii="Arial" w:cs="Arial" w:eastAsia="Arial" w:hAnsi="Arial"/>
          <w:b/>
          <w:bCs/>
          <w:color w:val="1E3A5F"/>
          <w:sz w:val="64"/>
          <w:szCs w:val="64"/>
        </w:rPr>
        <w:t xml:space="preserve">SALES PERFORMANCE REPORT</w:t>
      </w:r>
    </w:p>
    <w:p>
      <w:pPr>
        <w:pBdr>
          <w:bottom w:val="single" w:color="F0A500" w:sz="10" w:space="2"/>
        </w:pBdr>
        <w:spacing w:after="0" w:before="0"/>
        <w:jc w:val="center"/>
      </w:pPr>
      <w:r>
        <w:rPr>
          <w:rFonts w:ascii="Arial" w:cs="Arial" w:eastAsia="Arial" w:hAnsi="Arial"/>
          <w:color w:val="2E75B6"/>
          <w:sz w:val="28"/>
          <w:szCs w:val="28"/>
        </w:rPr>
        <w:t xml:space="preserve">Paginated Distribution Edition</w:t>
      </w:r>
    </w:p>
    <w:p>
      <w:pPr>
        <w:spacing w:after="0" w:before="1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20"/>
        <w:gridCol w:w="7200"/>
      </w:tblGrid>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Report Period: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[Parameter: Date Range — e.g., Q1 2024 — Q4 2024]</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Region / Segment: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[Parameter: All Regions / Selected Segment]</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Prepared For: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Executive Leadership Committee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Prepared By: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SalesView Pro Analytics Engine — Automated Distribution</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Classification: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CONFIDENTIAL — For Authorized Recipients Only</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Date Issued: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95959"/>
                <w:sz w:val="20"/>
                <w:szCs w:val="20"/>
              </w:rPr>
              <w:t xml:space="preserve">[Auto-Generated on Report Execution Date]</w:t>
            </w:r>
          </w:p>
        </w:tc>
      </w:tr>
    </w:tbl>
    <w:p>
      <w:pPr>
        <w:spacing w:after="0" w:before="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6"/>
              <w:left w:val="single" w:color="2E75B6" w:sz="18"/>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E3A5F"/>
                <w:sz w:val="22"/>
                <w:szCs w:val="22"/>
              </w:rPr>
              <w:t xml:space="preserve">Executive Note</w:t>
            </w:r>
          </w:p>
          <w:p>
            <w:pPr>
              <w:spacing w:after="0" w:before="60"/>
            </w:pPr>
            <w:r>
              <w:rPr>
                <w:rFonts w:ascii="Arial" w:cs="Arial" w:eastAsia="Arial" w:hAnsi="Arial"/>
                <w:color w:val="595959"/>
                <w:sz w:val="19"/>
                <w:szCs w:val="19"/>
              </w:rPr>
              <w:t xml:space="preserve">This paginated report is optimized for print distribution and formal executive review. It is generated dynamically based on selected report parameters (Date Range and Region/Segment) and mirrors the analytical perspectives available in the interactive SalesView Pro dashboard. All figures are sourced from the centralized data warehouse and reflect the reporting period indicated above.</w:t>
            </w:r>
          </w:p>
        </w:tc>
      </w:tr>
    </w:tbl>
    <w:p>
      <w:r>
        <w:br w:type="page"/>
      </w:r>
    </w:p>
    <w:p>
      <w:pPr>
        <w:pStyle w:val="Heading1"/>
      </w:pPr>
      <w:r>
        <w:rPr>
          <w:rFonts w:ascii="Arial" w:cs="Arial" w:eastAsia="Arial" w:hAnsi="Arial"/>
          <w:b/>
          <w:bCs/>
          <w:color w:val="1E3A5F"/>
          <w:sz w:val="36"/>
          <w:szCs w:val="36"/>
        </w:rPr>
        <w:t xml:space="preserve">Table of Contents</w:t>
      </w:r>
    </w:p>
    <w:p>
      <w:pPr>
        <w:pBdr>
          <w:bottom w:val="single" w:color="2E75B6" w:sz="6" w:space="1"/>
        </w:pBdr>
        <w:spacing w:after="120" w:before="120"/>
      </w:pP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7680"/>
        <w:gridCol w:w="134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t>
            </w:r>
          </w:p>
        </w:tc>
        <w:tc>
          <w:tcPr>
            <w:tcW w:type="dxa" w:w="7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Section</w:t>
            </w:r>
          </w:p>
        </w:tc>
        <w:tc>
          <w:tcPr>
            <w:tcW w:type="dxa" w:w="1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Page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1</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Report Parameters &amp; Configuration</w:t>
            </w:r>
          </w:p>
        </w:tc>
        <w:tc>
          <w:tcPr>
            <w:tcW w:type="dxa" w:w="1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2</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Executive Summary — Key Performance Indicators</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Sales Performance Overview</w:t>
            </w:r>
          </w:p>
        </w:tc>
        <w:tc>
          <w:tcPr>
            <w:tcW w:type="dxa" w:w="1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4</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Category Analysis</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6</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5</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Regional &amp; Geographic Performance</w:t>
            </w:r>
          </w:p>
        </w:tc>
        <w:tc>
          <w:tcPr>
            <w:tcW w:type="dxa" w:w="1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6</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Customer Segment Analysis</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8</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7</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Target vs. Actual vs. Budget Analysis</w:t>
            </w:r>
          </w:p>
        </w:tc>
        <w:tc>
          <w:tcPr>
            <w:tcW w:type="dxa" w:w="1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8</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Visualizations &amp; Chart Library</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10</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9</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Appendix — Methodology &amp; Data Dictionary</w:t>
            </w:r>
          </w:p>
        </w:tc>
        <w:tc>
          <w:tcPr>
            <w:tcW w:type="dxa" w:w="1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12</w:t>
            </w:r>
          </w:p>
        </w:tc>
      </w:tr>
    </w:tbl>
    <w:p>
      <w:pPr>
        <w:spacing w:after="0" w:before="200"/>
      </w:pPr>
    </w:p>
    <w:p>
      <w:pPr>
        <w:spacing w:after="60" w:before="60"/>
      </w:pPr>
      <w:r>
        <w:rPr>
          <w:rFonts w:ascii="Arial" w:cs="Arial" w:eastAsia="Arial" w:hAnsi="Arial"/>
          <w:b/>
          <w:bCs/>
          <w:i w:val="false"/>
          <w:iCs w:val="false"/>
          <w:color w:val="1E3A5F"/>
          <w:sz w:val="22"/>
          <w:szCs w:val="22"/>
        </w:rPr>
        <w:t xml:space="preserve">How to Use This Report</w:t>
      </w:r>
    </w:p>
    <w:p>
      <w:pPr>
        <w:spacing w:after="60" w:before="60"/>
      </w:pPr>
      <w:r>
        <w:rPr>
          <w:rFonts w:ascii="Arial" w:cs="Arial" w:eastAsia="Arial" w:hAnsi="Arial"/>
          <w:b w:val="false"/>
          <w:bCs w:val="false"/>
          <w:i w:val="false"/>
          <w:iCs w:val="false"/>
          <w:color w:val="595959"/>
          <w:sz w:val="19"/>
          <w:szCs w:val="19"/>
        </w:rPr>
        <w:t xml:space="preserve">This report is structured for sequential reading by executive stakeholders. Each section builds on the previous to provide a coherent narrative from high-level KPIs down to segment-level detail. Charts and tables are positioned to support the accompanying written analysis. Report parameters configured at generation time determine the scope of all data presented herein.</w:t>
      </w:r>
    </w:p>
    <w:p>
      <w:pPr>
        <w:spacing w:after="0" w:before="80"/>
      </w:pPr>
    </w:p>
    <w:p>
      <w:pPr>
        <w:spacing w:after="60" w:before="60"/>
      </w:pPr>
      <w:r>
        <w:rPr>
          <w:rFonts w:ascii="Arial" w:cs="Arial" w:eastAsia="Arial" w:hAnsi="Arial"/>
          <w:b/>
          <w:bCs/>
          <w:i w:val="false"/>
          <w:iCs w:val="false"/>
          <w:color w:val="1E3A5F"/>
          <w:sz w:val="20"/>
          <w:szCs w:val="20"/>
        </w:rPr>
        <w:t xml:space="preserve">Navigation Guidance:</w:t>
      </w:r>
    </w:p>
    <w:p>
      <w:pPr>
        <w:pStyle w:val="ListParagraph"/>
        <w:numPr>
          <w:ilvl w:val="0"/>
          <w:numId w:val="2"/>
        </w:numPr>
        <w:spacing w:after="40" w:before="40"/>
      </w:pPr>
      <w:r>
        <w:rPr>
          <w:rFonts w:ascii="Arial" w:cs="Arial" w:eastAsia="Arial" w:hAnsi="Arial"/>
          <w:color w:val="000000"/>
          <w:sz w:val="20"/>
          <w:szCs w:val="20"/>
        </w:rPr>
        <w:t xml:space="preserve">Sections 1–2 provide configuration context and executive summary metrics for rapid status assessment.</w:t>
      </w:r>
    </w:p>
    <w:p>
      <w:pPr>
        <w:pStyle w:val="ListParagraph"/>
        <w:numPr>
          <w:ilvl w:val="0"/>
          <w:numId w:val="2"/>
        </w:numPr>
        <w:spacing w:after="40" w:before="40"/>
      </w:pPr>
      <w:r>
        <w:rPr>
          <w:rFonts w:ascii="Arial" w:cs="Arial" w:eastAsia="Arial" w:hAnsi="Arial"/>
          <w:color w:val="000000"/>
          <w:sz w:val="20"/>
          <w:szCs w:val="20"/>
        </w:rPr>
        <w:t xml:space="preserve">Sections 3–6 deliver functional analytical perspectives across sales, products, geography, and customers.</w:t>
      </w:r>
    </w:p>
    <w:p>
      <w:pPr>
        <w:pStyle w:val="ListParagraph"/>
        <w:numPr>
          <w:ilvl w:val="0"/>
          <w:numId w:val="2"/>
        </w:numPr>
        <w:spacing w:after="40" w:before="40"/>
      </w:pPr>
      <w:r>
        <w:rPr>
          <w:rFonts w:ascii="Arial" w:cs="Arial" w:eastAsia="Arial" w:hAnsi="Arial"/>
          <w:color w:val="000000"/>
          <w:sz w:val="20"/>
          <w:szCs w:val="20"/>
        </w:rPr>
        <w:t xml:space="preserve">Section 7 presents budget adherence and variance analysis critical for financial governance.</w:t>
      </w:r>
    </w:p>
    <w:p>
      <w:pPr>
        <w:pStyle w:val="ListParagraph"/>
        <w:numPr>
          <w:ilvl w:val="0"/>
          <w:numId w:val="2"/>
        </w:numPr>
        <w:spacing w:after="40" w:before="40"/>
      </w:pPr>
      <w:r>
        <w:rPr>
          <w:rFonts w:ascii="Arial" w:cs="Arial" w:eastAsia="Arial" w:hAnsi="Arial"/>
          <w:color w:val="000000"/>
          <w:sz w:val="20"/>
          <w:szCs w:val="20"/>
        </w:rPr>
        <w:t xml:space="preserve">Section 8 consolidates all visual assets for stakeholders who prefer chart-first consumption.</w:t>
      </w:r>
    </w:p>
    <w:p>
      <w:pPr>
        <w:pStyle w:val="ListParagraph"/>
        <w:numPr>
          <w:ilvl w:val="0"/>
          <w:numId w:val="2"/>
        </w:numPr>
        <w:spacing w:after="40" w:before="40"/>
      </w:pPr>
      <w:r>
        <w:rPr>
          <w:rFonts w:ascii="Arial" w:cs="Arial" w:eastAsia="Arial" w:hAnsi="Arial"/>
          <w:color w:val="000000"/>
          <w:sz w:val="20"/>
          <w:szCs w:val="20"/>
        </w:rPr>
        <w:t xml:space="preserve">Section 9 provides the technical appendix for data literacy and governance audiences.</w:t>
      </w:r>
    </w:p>
    <w:p>
      <w:r>
        <w:br w:type="page"/>
      </w:r>
    </w:p>
    <w:p>
      <w:pPr>
        <w:pStyle w:val="Heading1"/>
      </w:pPr>
      <w:r>
        <w:rPr>
          <w:rFonts w:ascii="Arial" w:cs="Arial" w:eastAsia="Arial" w:hAnsi="Arial"/>
          <w:b/>
          <w:bCs/>
          <w:color w:val="1E3A5F"/>
          <w:sz w:val="36"/>
          <w:szCs w:val="36"/>
        </w:rPr>
        <w:t xml:space="preserve">Section 1 — Report Parameters &amp; Configuration</w:t>
      </w:r>
    </w:p>
    <w:p>
      <w:pPr>
        <w:pBdr>
          <w:bottom w:val="single" w:color="2E75B6" w:sz="6" w:space="1"/>
        </w:pBdr>
        <w:spacing w:after="120" w:before="120"/>
      </w:pPr>
    </w:p>
    <w:p>
      <w:pPr>
        <w:spacing w:after="0" w:before="80"/>
      </w:pPr>
    </w:p>
    <w:p>
      <w:pPr>
        <w:spacing w:after="60" w:before="60"/>
      </w:pPr>
      <w:r>
        <w:rPr>
          <w:rFonts w:ascii="Arial" w:cs="Arial" w:eastAsia="Arial" w:hAnsi="Arial"/>
          <w:b w:val="false"/>
          <w:bCs w:val="false"/>
          <w:i w:val="false"/>
          <w:iCs w:val="false"/>
          <w:color w:val="595959"/>
          <w:sz w:val="19"/>
          <w:szCs w:val="19"/>
        </w:rPr>
        <w:t xml:space="preserve">This report is generated dynamically based on two primary parameters configured at runtime. These parameters control the data scope throughout every section, table, chart, and KPI presented in this document. The configuration recorded below is binding for the entirety of this report instance.</w:t>
      </w:r>
    </w:p>
    <w:p>
      <w:pPr>
        <w:spacing w:after="0" w:before="140"/>
      </w:pPr>
    </w:p>
    <w:p>
      <w:pPr>
        <w:pBdr>
          <w:bottom w:val="single" w:color="2E75B6" w:sz="6" w:space="1"/>
        </w:pBdr>
        <w:spacing w:after="100" w:before="280"/>
      </w:pPr>
      <w:r>
        <w:rPr>
          <w:rFonts w:ascii="Arial" w:cs="Arial" w:eastAsia="Arial" w:hAnsi="Arial"/>
          <w:b/>
          <w:bCs/>
          <w:color w:val="1E3A5F"/>
          <w:sz w:val="26"/>
          <w:szCs w:val="26"/>
        </w:rPr>
        <w:t xml:space="preserve">1.1  Parameter 1 — Reporting Period (Date Range)</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920"/>
        <w:gridCol w:w="24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Parameter Field</w:t>
            </w:r>
          </w:p>
        </w:tc>
        <w:tc>
          <w:tcPr>
            <w:tcW w:type="dxa" w:w="49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Selected Value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Scope Impact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Parameter Name</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 Range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All Data Sections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Input Type</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Dropdown selector (Predefined Periods) or Custom Date Range Picker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Global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Available Options</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YTD / Last Quarter / Last 12 Months / Custom Range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All Visuals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Selected Value</w:t>
            </w:r>
          </w:p>
        </w:tc>
        <w:tc>
          <w:tcPr>
            <w:tcW w:type="dxa" w:w="4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[Populated at Report Runtime — e.g., Q1 2024 – Q4 2024]</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1.2  Parameter 2 — Region / Customer Segment Filter</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920"/>
        <w:gridCol w:w="24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Parameter Field</w:t>
            </w:r>
          </w:p>
        </w:tc>
        <w:tc>
          <w:tcPr>
            <w:tcW w:type="dxa" w:w="49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Selected Value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Scope Impact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Parameter Name</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Region / Customer Segment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Regional &amp; Customer Sections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Input Type</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Multi-select dropdown — supports combined Region + Segment filtering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Scoped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Available Options</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Regions / North / South / East / West + Business / Consumer / Enterprise segments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Sections 4–6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Selected Value</w:t>
            </w:r>
          </w:p>
        </w:tc>
        <w:tc>
          <w:tcPr>
            <w:tcW w:type="dxa" w:w="4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[Populated at Report Runtime — e.g., All Regions / Business Segment]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bl>
    <w:p>
      <w:pPr>
        <w:spacing w:after="0" w:before="140"/>
      </w:pPr>
    </w:p>
    <w:p>
      <w:pPr>
        <w:spacing w:after="60" w:before="60"/>
      </w:pPr>
      <w:r>
        <w:rPr>
          <w:rFonts w:ascii="Arial" w:cs="Arial" w:eastAsia="Arial" w:hAnsi="Arial"/>
          <w:b/>
          <w:bCs/>
          <w:i w:val="false"/>
          <w:iCs w:val="false"/>
          <w:color w:val="1E3A5F"/>
          <w:sz w:val="20"/>
          <w:szCs w:val="20"/>
        </w:rPr>
        <w:t xml:space="preserve">Important Note on Parameter Interaction</w:t>
      </w:r>
    </w:p>
    <w:p>
      <w:pPr>
        <w:spacing w:after="60" w:before="60"/>
      </w:pPr>
      <w:r>
        <w:rPr>
          <w:rFonts w:ascii="Arial" w:cs="Arial" w:eastAsia="Arial" w:hAnsi="Arial"/>
          <w:b w:val="false"/>
          <w:bCs w:val="false"/>
          <w:i w:val="false"/>
          <w:iCs w:val="false"/>
          <w:color w:val="595959"/>
          <w:sz w:val="19"/>
          <w:szCs w:val="19"/>
        </w:rPr>
        <w:t xml:space="preserve">The two parameters above are independent filters applied simultaneously. When combined (e.g., selecting 'Last Quarter' and 'West Region'), only data satisfying both conditions is included. Report titles, chart subtitles, and summary statements update automatically to reflect the active parameter configuration, ensuring every page accurately represents the current scope.</w:t>
      </w:r>
    </w:p>
    <w:p>
      <w:r>
        <w:br w:type="page"/>
      </w:r>
    </w:p>
    <w:p>
      <w:pPr>
        <w:pStyle w:val="Heading1"/>
      </w:pPr>
      <w:r>
        <w:rPr>
          <w:rFonts w:ascii="Arial" w:cs="Arial" w:eastAsia="Arial" w:hAnsi="Arial"/>
          <w:b/>
          <w:bCs/>
          <w:color w:val="1E3A5F"/>
          <w:sz w:val="36"/>
          <w:szCs w:val="36"/>
        </w:rPr>
        <w:t xml:space="preserve">Section 2 — Executive Summary: Key Performance Indicators</w:t>
      </w:r>
    </w:p>
    <w:p>
      <w:pPr>
        <w:pBdr>
          <w:bottom w:val="single" w:color="2E75B6" w:sz="6" w:space="1"/>
        </w:pBdr>
        <w:spacing w:after="120" w:before="120"/>
      </w:pPr>
    </w:p>
    <w:p>
      <w:pPr>
        <w:spacing w:after="0" w:before="80"/>
      </w:pPr>
    </w:p>
    <w:p>
      <w:pPr>
        <w:spacing w:after="60" w:before="60"/>
      </w:pPr>
      <w:r>
        <w:rPr>
          <w:rFonts w:ascii="Arial" w:cs="Arial" w:eastAsia="Arial" w:hAnsi="Arial"/>
          <w:b w:val="false"/>
          <w:bCs w:val="false"/>
          <w:i w:val="false"/>
          <w:iCs w:val="false"/>
          <w:color w:val="595959"/>
          <w:sz w:val="19"/>
          <w:szCs w:val="19"/>
        </w:rPr>
        <w:t xml:space="preserve">The following KPIs represent the top-line performance metrics for the selected reporting period and region/segment configuration. These indicators are designed for rapid executive consumption and provide an immediate health-check snapshot of sales performance across all critical dimensions.</w:t>
      </w:r>
    </w:p>
    <w:p>
      <w:pPr>
        <w:spacing w:after="0" w:before="140"/>
      </w:pPr>
    </w:p>
    <w:p>
      <w:pPr>
        <w:pBdr>
          <w:bottom w:val="single" w:color="2E75B6" w:sz="6" w:space="1"/>
        </w:pBdr>
        <w:spacing w:after="100" w:before="280"/>
      </w:pPr>
      <w:r>
        <w:rPr>
          <w:rFonts w:ascii="Arial" w:cs="Arial" w:eastAsia="Arial" w:hAnsi="Arial"/>
          <w:b/>
          <w:bCs/>
          <w:color w:val="1E3A5F"/>
          <w:sz w:val="26"/>
          <w:szCs w:val="26"/>
        </w:rPr>
        <w:t xml:space="preserve">2.1  Top-Line KPI Summary</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E3A5F"/>
                <w:sz w:val="36"/>
                <w:szCs w:val="36"/>
              </w:rPr>
              <w:t xml:space="preserve">$1.25M</w:t>
            </w:r>
          </w:p>
          <w:p>
            <w:pPr>
              <w:jc w:val="center"/>
            </w:pPr>
            <w:r>
              <w:rPr>
                <w:rFonts w:ascii="Arial" w:cs="Arial" w:eastAsia="Arial" w:hAnsi="Arial"/>
                <w:b w:val="false"/>
                <w:bCs w:val="false"/>
                <w:color w:val="595959"/>
                <w:sz w:val="16"/>
                <w:szCs w:val="16"/>
              </w:rPr>
              <w:t xml:space="preserve">Total Revenue</w:t>
            </w:r>
          </w:p>
        </w:tc>
        <w:tc>
          <w:tcPr>
            <w:tcW w:type="dxa" w:w="243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2E75B6"/>
                <w:sz w:val="36"/>
                <w:szCs w:val="36"/>
              </w:rPr>
              <w:t xml:space="preserve">500</w:t>
            </w:r>
          </w:p>
          <w:p>
            <w:pPr>
              <w:jc w:val="center"/>
            </w:pPr>
            <w:r>
              <w:rPr>
                <w:rFonts w:ascii="Arial" w:cs="Arial" w:eastAsia="Arial" w:hAnsi="Arial"/>
                <w:b w:val="false"/>
                <w:bCs w:val="false"/>
                <w:color w:val="595959"/>
                <w:sz w:val="16"/>
                <w:szCs w:val="16"/>
              </w:rPr>
              <w:t xml:space="preserve">Total Orders</w:t>
            </w:r>
          </w:p>
        </w:tc>
        <w:tc>
          <w:tcPr>
            <w:tcW w:type="dxa" w:w="243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D7A4E"/>
                <w:sz w:val="36"/>
                <w:szCs w:val="36"/>
              </w:rPr>
              <w:t xml:space="preserve">27.2%</w:t>
            </w:r>
          </w:p>
          <w:p>
            <w:pPr>
              <w:jc w:val="center"/>
            </w:pPr>
            <w:r>
              <w:rPr>
                <w:rFonts w:ascii="Arial" w:cs="Arial" w:eastAsia="Arial" w:hAnsi="Arial"/>
                <w:b w:val="false"/>
                <w:bCs w:val="false"/>
                <w:color w:val="595959"/>
                <w:sz w:val="16"/>
                <w:szCs w:val="16"/>
              </w:rPr>
              <w:t xml:space="preserve">Profit Margin</w:t>
            </w:r>
          </w:p>
        </w:tc>
        <w:tc>
          <w:tcPr>
            <w:tcW w:type="dxa" w:w="243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F0A500"/>
                <w:sz w:val="36"/>
                <w:szCs w:val="36"/>
              </w:rPr>
              <w:t xml:space="preserve">$2,496</w:t>
            </w:r>
          </w:p>
          <w:p>
            <w:pPr>
              <w:jc w:val="center"/>
            </w:pPr>
            <w:r>
              <w:rPr>
                <w:rFonts w:ascii="Arial" w:cs="Arial" w:eastAsia="Arial" w:hAnsi="Arial"/>
                <w:b w:val="false"/>
                <w:bCs w:val="false"/>
                <w:color w:val="595959"/>
                <w:sz w:val="16"/>
                <w:szCs w:val="16"/>
              </w:rPr>
              <w:t xml:space="preserve">Avg Order Value</w:t>
            </w:r>
          </w:p>
        </w:tc>
      </w:tr>
    </w:tbl>
    <w:p>
      <w:pPr>
        <w:spacing w:after="0" w:before="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2E75B6"/>
                <w:sz w:val="36"/>
                <w:szCs w:val="36"/>
              </w:rPr>
              <w:t xml:space="preserve">500</w:t>
            </w:r>
          </w:p>
          <w:p>
            <w:pPr>
              <w:jc w:val="center"/>
            </w:pPr>
            <w:r>
              <w:rPr>
                <w:rFonts w:ascii="Arial" w:cs="Arial" w:eastAsia="Arial" w:hAnsi="Arial"/>
                <w:b w:val="false"/>
                <w:bCs w:val="false"/>
                <w:color w:val="595959"/>
                <w:sz w:val="16"/>
                <w:szCs w:val="16"/>
              </w:rPr>
              <w:t xml:space="preserve">Unique Customers</w:t>
            </w:r>
          </w:p>
        </w:tc>
        <w:tc>
          <w:tcPr>
            <w:tcW w:type="dxa" w:w="243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F0A500"/>
                <w:sz w:val="36"/>
                <w:szCs w:val="36"/>
              </w:rPr>
              <w:t xml:space="preserve">3.1 / 5</w:t>
            </w:r>
          </w:p>
          <w:p>
            <w:pPr>
              <w:jc w:val="center"/>
            </w:pPr>
            <w:r>
              <w:rPr>
                <w:rFonts w:ascii="Arial" w:cs="Arial" w:eastAsia="Arial" w:hAnsi="Arial"/>
                <w:b w:val="false"/>
                <w:bCs w:val="false"/>
                <w:color w:val="595959"/>
                <w:sz w:val="16"/>
                <w:szCs w:val="16"/>
              </w:rPr>
              <w:t xml:space="preserve">Avg Satisfaction</w:t>
            </w:r>
          </w:p>
        </w:tc>
        <w:tc>
          <w:tcPr>
            <w:tcW w:type="dxa" w:w="243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E3A5F"/>
                <w:sz w:val="36"/>
                <w:szCs w:val="36"/>
              </w:rPr>
              <w:t xml:space="preserve">$4,989</w:t>
            </w:r>
          </w:p>
          <w:p>
            <w:pPr>
              <w:jc w:val="center"/>
            </w:pPr>
            <w:r>
              <w:rPr>
                <w:rFonts w:ascii="Arial" w:cs="Arial" w:eastAsia="Arial" w:hAnsi="Arial"/>
                <w:b w:val="false"/>
                <w:bCs w:val="false"/>
                <w:color w:val="595959"/>
                <w:sz w:val="16"/>
                <w:szCs w:val="16"/>
              </w:rPr>
              <w:t xml:space="preserve">Top Customer LTV</w:t>
            </w:r>
          </w:p>
        </w:tc>
        <w:tc>
          <w:tcPr>
            <w:tcW w:type="dxa" w:w="243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C0392B"/>
                <w:sz w:val="36"/>
                <w:szCs w:val="36"/>
              </w:rPr>
              <w:t xml:space="preserve">13.2%</w:t>
            </w:r>
          </w:p>
          <w:p>
            <w:pPr>
              <w:jc w:val="center"/>
            </w:pPr>
            <w:r>
              <w:rPr>
                <w:rFonts w:ascii="Arial" w:cs="Arial" w:eastAsia="Arial" w:hAnsi="Arial"/>
                <w:b w:val="false"/>
                <w:bCs w:val="false"/>
                <w:color w:val="595959"/>
                <w:sz w:val="16"/>
                <w:szCs w:val="16"/>
              </w:rPr>
              <w:t xml:space="preserve">Avg Discount Rate</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2.2  Period-over-Period Performance Comparison</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2160"/>
      </w:tblGrid>
      <w:tr>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Metric</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Current Period</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Prior Period</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Change (%)</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Total Revenue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$1,250,000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$1,080,000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+15.7%  ▲</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Total Orders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431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+16.0%  ▲</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Average Order Value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$2,496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$2,506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-0.4%   ▼</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Profit Margin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27.2%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24.5%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+2.7pp  ▲</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New Customers Acquired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128</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107</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+19.6%  ▲</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Customer Satisfaction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3.1 / 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3.3 / 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-0.2    ▼</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Units Sold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5,012</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4,390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+14.2%  ▲</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2.3  Executive Summary Narrative</w:t>
      </w:r>
    </w:p>
    <w:p>
      <w:pPr>
        <w:spacing w:after="0" w:before="80"/>
      </w:pPr>
    </w:p>
    <w:p>
      <w:pPr>
        <w:spacing w:after="60" w:before="60"/>
      </w:pPr>
      <w:r>
        <w:rPr>
          <w:rFonts w:ascii="Arial" w:cs="Arial" w:eastAsia="Arial" w:hAnsi="Arial"/>
          <w:b w:val="false"/>
          <w:bCs w:val="false"/>
          <w:i w:val="false"/>
          <w:iCs w:val="false"/>
          <w:color w:val="595959"/>
          <w:sz w:val="19"/>
          <w:szCs w:val="19"/>
        </w:rPr>
        <w:t xml:space="preserve">The organization has delivered strong performance during the reporting period, with total revenue of $1.25M representing a 15.7% increase over the prior comparative period. This growth was driven primarily by volume expansion — order counts rose 16.0% — rather than price-driven uplift, as average order values remained essentially stable at $2,496.</w:t>
      </w:r>
    </w:p>
    <w:p>
      <w:pPr>
        <w:spacing w:after="0" w:before="80"/>
      </w:pPr>
    </w:p>
    <w:p>
      <w:pPr>
        <w:spacing w:after="60" w:before="60"/>
      </w:pPr>
      <w:r>
        <w:rPr>
          <w:rFonts w:ascii="Arial" w:cs="Arial" w:eastAsia="Arial" w:hAnsi="Arial"/>
          <w:b w:val="false"/>
          <w:bCs w:val="false"/>
          <w:i w:val="false"/>
          <w:iCs w:val="false"/>
          <w:color w:val="595959"/>
          <w:sz w:val="19"/>
          <w:szCs w:val="19"/>
        </w:rPr>
        <w:t xml:space="preserve">Profitability has improved materially, with profit margin expanding from 24.5% to 27.2% — a 2.7 percentage point improvement. This margin expansion reflects improved product mix and tighter discount discipline across key categories. The average discount rate of 13.2% warrants continued monitoring given its potential impact on margin sustainability.</w:t>
      </w:r>
    </w:p>
    <w:p>
      <w:pPr>
        <w:spacing w:after="0" w:before="80"/>
      </w:pPr>
    </w:p>
    <w:p>
      <w:pPr>
        <w:spacing w:after="60" w:before="60"/>
      </w:pPr>
      <w:r>
        <w:rPr>
          <w:rFonts w:ascii="Arial" w:cs="Arial" w:eastAsia="Arial" w:hAnsi="Arial"/>
          <w:b w:val="false"/>
          <w:bCs w:val="false"/>
          <w:i w:val="false"/>
          <w:iCs w:val="false"/>
          <w:color w:val="595959"/>
          <w:sz w:val="19"/>
          <w:szCs w:val="19"/>
        </w:rPr>
        <w:t xml:space="preserve">Customer satisfaction scores declined marginally from 3.3 to 3.1 (out of 5.0). While this decline is modest, it represents an area requiring strategic attention, particularly given the concurrent growth in new customer acquisitions (+19.6%) where first-impression experiences are disproportionately impactful on long-term retention.</w:t>
      </w:r>
    </w:p>
    <w:p>
      <w:r>
        <w:br w:type="page"/>
      </w:r>
    </w:p>
    <w:p>
      <w:pPr>
        <w:pStyle w:val="Heading1"/>
      </w:pPr>
      <w:r>
        <w:rPr>
          <w:rFonts w:ascii="Arial" w:cs="Arial" w:eastAsia="Arial" w:hAnsi="Arial"/>
          <w:b/>
          <w:bCs/>
          <w:color w:val="1E3A5F"/>
          <w:sz w:val="36"/>
          <w:szCs w:val="36"/>
        </w:rPr>
        <w:t xml:space="preserve">Section 3 — Sales Performance Overview</w:t>
      </w:r>
    </w:p>
    <w:p>
      <w:pPr>
        <w:pBdr>
          <w:bottom w:val="single" w:color="2E75B6" w:sz="6" w:space="1"/>
        </w:pBdr>
        <w:spacing w:after="120" w:before="120"/>
      </w:pPr>
    </w:p>
    <w:p>
      <w:pPr>
        <w:spacing w:after="0" w:before="80"/>
      </w:pPr>
    </w:p>
    <w:p>
      <w:pPr>
        <w:spacing w:after="60" w:before="60"/>
      </w:pPr>
      <w:r>
        <w:rPr>
          <w:rFonts w:ascii="Arial" w:cs="Arial" w:eastAsia="Arial" w:hAnsi="Arial"/>
          <w:b w:val="false"/>
          <w:bCs w:val="false"/>
          <w:i w:val="false"/>
          <w:iCs w:val="false"/>
          <w:color w:val="595959"/>
          <w:sz w:val="19"/>
          <w:szCs w:val="19"/>
        </w:rPr>
        <w:t xml:space="preserve">This section provides a comprehensive view of sales performance across time periods and distribution channels. The data presented here corresponds to the parameters configured in Section 1, enabling recipients to contextualize performance within their relevant analytical scope.</w:t>
      </w:r>
    </w:p>
    <w:p>
      <w:pPr>
        <w:spacing w:after="0" w:before="140"/>
      </w:pPr>
    </w:p>
    <w:p>
      <w:pPr>
        <w:pBdr>
          <w:bottom w:val="single" w:color="2E75B6" w:sz="6" w:space="1"/>
        </w:pBdr>
        <w:spacing w:after="100" w:before="280"/>
      </w:pPr>
      <w:r>
        <w:rPr>
          <w:rFonts w:ascii="Arial" w:cs="Arial" w:eastAsia="Arial" w:hAnsi="Arial"/>
          <w:b/>
          <w:bCs/>
          <w:color w:val="1E3A5F"/>
          <w:sz w:val="26"/>
          <w:szCs w:val="26"/>
        </w:rPr>
        <w:t xml:space="preserve">3.1  Revenue Trend by Year &amp; Quarter</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980"/>
        <w:gridCol w:w="1980"/>
        <w:gridCol w:w="1980"/>
        <w:gridCol w:w="198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w:t>
            </w:r>
          </w:p>
        </w:tc>
        <w:tc>
          <w:tcPr>
            <w:tcW w:type="dxa" w:w="19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Q1</w:t>
            </w:r>
          </w:p>
        </w:tc>
        <w:tc>
          <w:tcPr>
            <w:tcW w:type="dxa" w:w="19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Q2</w:t>
            </w:r>
          </w:p>
        </w:tc>
        <w:tc>
          <w:tcPr>
            <w:tcW w:type="dxa" w:w="19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Q3</w:t>
            </w:r>
          </w:p>
        </w:tc>
        <w:tc>
          <w:tcPr>
            <w:tcW w:type="dxa" w:w="19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2022</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$240,000</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$265,000</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$280,000</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$295,000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2023</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$285,000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$310,000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$330,000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$355,000</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2024</w:t>
            </w:r>
          </w:p>
        </w:tc>
        <w:tc>
          <w:tcPr>
            <w:tcW w:type="dxa" w:w="1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$295,000</w:t>
            </w:r>
          </w:p>
        </w:tc>
        <w:tc>
          <w:tcPr>
            <w:tcW w:type="dxa" w:w="1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$315,000</w:t>
            </w:r>
          </w:p>
        </w:tc>
        <w:tc>
          <w:tcPr>
            <w:tcW w:type="dxa" w:w="1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$330,000</w:t>
            </w:r>
          </w:p>
        </w:tc>
        <w:tc>
          <w:tcPr>
            <w:tcW w:type="dxa" w:w="1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$310,000</w:t>
            </w:r>
          </w:p>
        </w:tc>
      </w:tr>
    </w:tbl>
    <w:p>
      <w:pPr>
        <w:spacing w:after="0" w:before="80"/>
      </w:pPr>
    </w:p>
    <w:p>
      <w:pPr>
        <w:spacing w:after="60" w:before="60"/>
      </w:pPr>
      <w:r>
        <w:rPr>
          <w:rFonts w:ascii="Arial" w:cs="Arial" w:eastAsia="Arial" w:hAnsi="Arial"/>
          <w:b w:val="false"/>
          <w:bCs w:val="false"/>
          <w:i/>
          <w:iCs/>
          <w:color w:val="595959"/>
          <w:sz w:val="17"/>
          <w:szCs w:val="17"/>
        </w:rPr>
        <w:t xml:space="preserve">Note: 2024 Q4 reflects partial period data depending on report execution date. Highlighted row indicates the most recent full year.</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3.2  Sales by Channel</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2250"/>
        <w:gridCol w:w="2250"/>
        <w:gridCol w:w="2520"/>
      </w:tblGrid>
      <w:tr>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Channel</w:t>
            </w:r>
          </w:p>
        </w:tc>
        <w:tc>
          <w:tcPr>
            <w:tcW w:type="dxa" w:w="22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Revenue</w:t>
            </w:r>
          </w:p>
        </w:tc>
        <w:tc>
          <w:tcPr>
            <w:tcW w:type="dxa" w:w="22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Orders</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 of Total Revenue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Direct Sales</w:t>
            </w:r>
          </w:p>
        </w:tc>
        <w:tc>
          <w:tcPr>
            <w:tcW w:type="dxa" w:w="2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$450,000</w:t>
            </w:r>
          </w:p>
        </w:tc>
        <w:tc>
          <w:tcPr>
            <w:tcW w:type="dxa" w:w="2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180</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20"/>
                <w:szCs w:val="20"/>
              </w:rPr>
              <w:t xml:space="preserve">36.0%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Online / E-Com</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$387,500</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20"/>
                <w:szCs w:val="20"/>
              </w:rPr>
              <w:t xml:space="preserve">31.0%</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Partner / Reseller</w:t>
            </w:r>
          </w:p>
        </w:tc>
        <w:tc>
          <w:tcPr>
            <w:tcW w:type="dxa" w:w="2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$262,500</w:t>
            </w:r>
          </w:p>
        </w:tc>
        <w:tc>
          <w:tcPr>
            <w:tcW w:type="dxa" w:w="2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105</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20"/>
                <w:szCs w:val="20"/>
              </w:rPr>
              <w:t xml:space="preserve">21.0%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Retail</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$150,000</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20"/>
                <w:szCs w:val="20"/>
              </w:rPr>
              <w:t xml:space="preserve">12.0%</w:t>
            </w:r>
          </w:p>
        </w:tc>
      </w:tr>
      <w:tr>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Total</w:t>
            </w:r>
          </w:p>
        </w:tc>
        <w:tc>
          <w:tcPr>
            <w:tcW w:type="dxa" w:w="22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$1,250,000</w:t>
            </w:r>
          </w:p>
        </w:tc>
        <w:tc>
          <w:tcPr>
            <w:tcW w:type="dxa" w:w="22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500</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100.0%</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3.3  Sales Channel Commentary</w:t>
      </w:r>
    </w:p>
    <w:p>
      <w:pPr>
        <w:spacing w:after="0" w:before="80"/>
      </w:pPr>
    </w:p>
    <w:p>
      <w:pPr>
        <w:spacing w:after="60" w:before="60"/>
      </w:pPr>
      <w:r>
        <w:rPr>
          <w:rFonts w:ascii="Arial" w:cs="Arial" w:eastAsia="Arial" w:hAnsi="Arial"/>
          <w:b w:val="false"/>
          <w:bCs w:val="false"/>
          <w:i w:val="false"/>
          <w:iCs w:val="false"/>
          <w:color w:val="595959"/>
          <w:sz w:val="19"/>
          <w:szCs w:val="19"/>
        </w:rPr>
        <w:t xml:space="preserve">Direct Sales remains the dominant revenue channel at 36.0% of total revenue, reflecting the organization's mature field sales capability. The Online/E-Commerce channel has grown significantly, now representing 31.0% of revenue — up from 24.0% in the prior year — indicating successful digital transformation progress.</w:t>
      </w:r>
    </w:p>
    <w:p>
      <w:pPr>
        <w:spacing w:after="0" w:before="80"/>
      </w:pPr>
    </w:p>
    <w:p>
      <w:pPr>
        <w:spacing w:after="60" w:before="60"/>
      </w:pPr>
      <w:r>
        <w:rPr>
          <w:rFonts w:ascii="Arial" w:cs="Arial" w:eastAsia="Arial" w:hAnsi="Arial"/>
          <w:b w:val="false"/>
          <w:bCs w:val="false"/>
          <w:i w:val="false"/>
          <w:iCs w:val="false"/>
          <w:color w:val="595959"/>
          <w:sz w:val="19"/>
          <w:szCs w:val="19"/>
        </w:rPr>
        <w:t xml:space="preserve">The Partner/Reseller channel contributes 21.0% and represents a key area for strategic investment, given its lower cost-to-serve profile relative to direct sales. Retail at 12.0% remains a supporting channel with stable but modest growth prospects.</w:t>
      </w:r>
    </w:p>
    <w:p>
      <w:r>
        <w:br w:type="page"/>
      </w:r>
    </w:p>
    <w:p>
      <w:pPr>
        <w:pStyle w:val="Heading1"/>
      </w:pPr>
      <w:r>
        <w:rPr>
          <w:rFonts w:ascii="Arial" w:cs="Arial" w:eastAsia="Arial" w:hAnsi="Arial"/>
          <w:b/>
          <w:bCs/>
          <w:color w:val="1E3A5F"/>
          <w:sz w:val="36"/>
          <w:szCs w:val="36"/>
        </w:rPr>
        <w:t xml:space="preserve">Section 4 — Product Category Analysis</w:t>
      </w:r>
    </w:p>
    <w:p>
      <w:pPr>
        <w:pBdr>
          <w:bottom w:val="single" w:color="2E75B6" w:sz="6" w:space="1"/>
        </w:pBdr>
        <w:spacing w:after="120" w:before="120"/>
      </w:pPr>
    </w:p>
    <w:p>
      <w:pPr>
        <w:spacing w:after="0" w:before="80"/>
      </w:pPr>
    </w:p>
    <w:p>
      <w:pPr>
        <w:spacing w:after="60" w:before="60"/>
      </w:pPr>
      <w:r>
        <w:rPr>
          <w:rFonts w:ascii="Arial" w:cs="Arial" w:eastAsia="Arial" w:hAnsi="Arial"/>
          <w:b w:val="false"/>
          <w:bCs w:val="false"/>
          <w:i w:val="false"/>
          <w:iCs w:val="false"/>
          <w:color w:val="595959"/>
          <w:sz w:val="19"/>
          <w:szCs w:val="19"/>
        </w:rPr>
        <w:t xml:space="preserve">Product performance analysis examines revenue contribution, unit volume, and margin performance across the organization's four primary product categories: Sports, Electronics, Clothing, and Music. This section enables stakeholders to identify high-performing categories, assess margin health, and detect early signals of category-level shifts.</w:t>
      </w:r>
    </w:p>
    <w:p>
      <w:pPr>
        <w:spacing w:after="0" w:before="140"/>
      </w:pPr>
    </w:p>
    <w:p>
      <w:pPr>
        <w:pBdr>
          <w:bottom w:val="single" w:color="2E75B6" w:sz="6" w:space="1"/>
        </w:pBdr>
        <w:spacing w:after="100" w:before="280"/>
      </w:pPr>
      <w:r>
        <w:rPr>
          <w:rFonts w:ascii="Arial" w:cs="Arial" w:eastAsia="Arial" w:hAnsi="Arial"/>
          <w:b/>
          <w:bCs/>
          <w:color w:val="1E3A5F"/>
          <w:sz w:val="26"/>
          <w:szCs w:val="26"/>
        </w:rPr>
        <w:t xml:space="preserve">4.1  Category Performance Summary Table</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40"/>
        <w:gridCol w:w="1620"/>
        <w:gridCol w:w="1620"/>
        <w:gridCol w:w="1620"/>
        <w:gridCol w:w="1620"/>
        <w:gridCol w:w="190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Category</w:t>
            </w:r>
          </w:p>
        </w:tc>
        <w:tc>
          <w:tcPr>
            <w:tcW w:type="dxa" w:w="16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Revenue</w:t>
            </w:r>
          </w:p>
        </w:tc>
        <w:tc>
          <w:tcPr>
            <w:tcW w:type="dxa" w:w="16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Units Sold</w:t>
            </w:r>
          </w:p>
        </w:tc>
        <w:tc>
          <w:tcPr>
            <w:tcW w:type="dxa" w:w="16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Profit Margin</w:t>
            </w:r>
          </w:p>
        </w:tc>
        <w:tc>
          <w:tcPr>
            <w:tcW w:type="dxa" w:w="16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Avg Discount</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YoY Growth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Sports</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$393,093</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1,260</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22.7%</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11.2%</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+18.3%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Electronics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$348,831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1,205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30.7%</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14.8%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+12.1%  ▲</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Clothing</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$306,150</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1,285</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24.3%</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15.6%</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+9.4%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Music</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$201,926</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1,262</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17.3%</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20"/>
                <w:szCs w:val="20"/>
              </w:rPr>
              <w:t xml:space="preserve">11.4%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+5.2%   ▲</w:t>
            </w:r>
          </w:p>
        </w:tc>
      </w:tr>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TOTAL</w:t>
            </w:r>
          </w:p>
        </w:tc>
        <w:tc>
          <w:tcPr>
            <w:tcW w:type="dxa" w:w="16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20"/>
                <w:szCs w:val="20"/>
              </w:rPr>
              <w:t xml:space="preserve">$1,250,000</w:t>
            </w:r>
          </w:p>
        </w:tc>
        <w:tc>
          <w:tcPr>
            <w:tcW w:type="dxa" w:w="16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20"/>
                <w:szCs w:val="20"/>
              </w:rPr>
              <w:t xml:space="preserve">5,012</w:t>
            </w:r>
          </w:p>
        </w:tc>
        <w:tc>
          <w:tcPr>
            <w:tcW w:type="dxa" w:w="16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27.2%</w:t>
            </w:r>
          </w:p>
        </w:tc>
        <w:tc>
          <w:tcPr>
            <w:tcW w:type="dxa" w:w="16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20"/>
                <w:szCs w:val="20"/>
              </w:rPr>
              <w:t xml:space="preserve">13.2%</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+11.8%  ▲</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4.2  Key Product Insights</w:t>
      </w:r>
    </w:p>
    <w:p>
      <w:pPr>
        <w:spacing w:after="0" w:before="80"/>
      </w:pPr>
    </w:p>
    <w:p>
      <w:pPr>
        <w:spacing w:after="60" w:before="60"/>
      </w:pPr>
      <w:r>
        <w:rPr>
          <w:rFonts w:ascii="Arial" w:cs="Arial" w:eastAsia="Arial" w:hAnsi="Arial"/>
          <w:b/>
          <w:bCs/>
          <w:i w:val="false"/>
          <w:iCs w:val="false"/>
          <w:color w:val="1E3A5F"/>
          <w:sz w:val="20"/>
          <w:szCs w:val="20"/>
        </w:rPr>
        <w:t xml:space="preserve">Top Category by Revenue: Sports ($393,093)</w:t>
      </w:r>
    </w:p>
    <w:p>
      <w:pPr>
        <w:spacing w:after="60" w:before="60"/>
      </w:pPr>
      <w:r>
        <w:rPr>
          <w:rFonts w:ascii="Arial" w:cs="Arial" w:eastAsia="Arial" w:hAnsi="Arial"/>
          <w:b w:val="false"/>
          <w:bCs w:val="false"/>
          <w:i w:val="false"/>
          <w:iCs w:val="false"/>
          <w:color w:val="595959"/>
          <w:sz w:val="19"/>
          <w:szCs w:val="19"/>
        </w:rPr>
        <w:t xml:space="preserve">Sports leads all categories in revenue generation, benefiting from strong unit volume (1,260 units) and above-average growth of 18.3% YoY. However, its profit margin of 22.7% is below the portfolio average of 27.2%, suggesting pricing or cost structure optimization opportunities.</w:t>
      </w:r>
    </w:p>
    <w:p>
      <w:pPr>
        <w:spacing w:after="0" w:before="80"/>
      </w:pPr>
    </w:p>
    <w:p>
      <w:pPr>
        <w:spacing w:after="60" w:before="60"/>
      </w:pPr>
      <w:r>
        <w:rPr>
          <w:rFonts w:ascii="Arial" w:cs="Arial" w:eastAsia="Arial" w:hAnsi="Arial"/>
          <w:b/>
          <w:bCs/>
          <w:i w:val="false"/>
          <w:iCs w:val="false"/>
          <w:color w:val="1E3A5F"/>
          <w:sz w:val="20"/>
          <w:szCs w:val="20"/>
        </w:rPr>
        <w:t xml:space="preserve">Highest Margin Category: Electronics (30.7%)</w:t>
      </w:r>
    </w:p>
    <w:p>
      <w:pPr>
        <w:spacing w:after="60" w:before="60"/>
      </w:pPr>
      <w:r>
        <w:rPr>
          <w:rFonts w:ascii="Arial" w:cs="Arial" w:eastAsia="Arial" w:hAnsi="Arial"/>
          <w:b w:val="false"/>
          <w:bCs w:val="false"/>
          <w:i w:val="false"/>
          <w:iCs w:val="false"/>
          <w:color w:val="595959"/>
          <w:sz w:val="19"/>
          <w:szCs w:val="19"/>
        </w:rPr>
        <w:t xml:space="preserve">Electronics delivers the strongest margin at 30.7%, despite carrying the highest average discount rate of 14.8%. This indicates premium pricing power sufficient to absorb promotional activity while maintaining profitability. Electronics represents a strategic priority for revenue mix optimization.</w:t>
      </w:r>
    </w:p>
    <w:p>
      <w:pPr>
        <w:spacing w:after="0" w:before="80"/>
      </w:pPr>
    </w:p>
    <w:p>
      <w:pPr>
        <w:spacing w:after="60" w:before="60"/>
      </w:pPr>
      <w:r>
        <w:rPr>
          <w:rFonts w:ascii="Arial" w:cs="Arial" w:eastAsia="Arial" w:hAnsi="Arial"/>
          <w:b/>
          <w:bCs/>
          <w:i w:val="false"/>
          <w:iCs w:val="false"/>
          <w:color w:val="1E3A5F"/>
          <w:sz w:val="20"/>
          <w:szCs w:val="20"/>
        </w:rPr>
        <w:t xml:space="preserve">Discount Management — Clothing (15.6% avg discount):</w:t>
      </w:r>
    </w:p>
    <w:p>
      <w:pPr>
        <w:spacing w:after="60" w:before="60"/>
      </w:pPr>
      <w:r>
        <w:rPr>
          <w:rFonts w:ascii="Arial" w:cs="Arial" w:eastAsia="Arial" w:hAnsi="Arial"/>
          <w:b w:val="false"/>
          <w:bCs w:val="false"/>
          <w:i w:val="false"/>
          <w:iCs w:val="false"/>
          <w:color w:val="595959"/>
          <w:sz w:val="19"/>
          <w:szCs w:val="19"/>
        </w:rPr>
        <w:t xml:space="preserve">The Clothing category carries the highest average discount rate at 15.6%, combined with a mid-range margin of 24.3%. There is a clear opportunity to reduce discount frequency in this category without materially impacting volume, given the relatively inelastic nature of core clothing SKUs.</w:t>
      </w:r>
    </w:p>
    <w:p>
      <w:r>
        <w:br w:type="page"/>
      </w:r>
    </w:p>
    <w:p>
      <w:pPr>
        <w:pStyle w:val="Heading1"/>
      </w:pPr>
      <w:r>
        <w:rPr>
          <w:rFonts w:ascii="Arial" w:cs="Arial" w:eastAsia="Arial" w:hAnsi="Arial"/>
          <w:b/>
          <w:bCs/>
          <w:color w:val="1E3A5F"/>
          <w:sz w:val="36"/>
          <w:szCs w:val="36"/>
        </w:rPr>
        <w:t xml:space="preserve">Section 5 — Regional &amp; Geographic Performance</w:t>
      </w:r>
    </w:p>
    <w:p>
      <w:pPr>
        <w:pBdr>
          <w:bottom w:val="single" w:color="2E75B6" w:sz="6" w:space="1"/>
        </w:pBdr>
        <w:spacing w:after="120" w:before="120"/>
      </w:pPr>
    </w:p>
    <w:p>
      <w:pPr>
        <w:spacing w:after="0" w:before="80"/>
      </w:pPr>
    </w:p>
    <w:p>
      <w:pPr>
        <w:spacing w:after="60" w:before="60"/>
      </w:pPr>
      <w:r>
        <w:rPr>
          <w:rFonts w:ascii="Arial" w:cs="Arial" w:eastAsia="Arial" w:hAnsi="Arial"/>
          <w:b w:val="false"/>
          <w:bCs w:val="false"/>
          <w:i w:val="false"/>
          <w:iCs w:val="false"/>
          <w:color w:val="595959"/>
          <w:sz w:val="19"/>
          <w:szCs w:val="19"/>
        </w:rPr>
        <w:t xml:space="preserve">Geographic analysis reveals the spatial distribution of revenue across regions and countries. This section examines regional revenue contribution, growth trajectories, and performance relative to regional targets. The data filters applied in Section 1 are reflected throughout.</w:t>
      </w:r>
    </w:p>
    <w:p>
      <w:pPr>
        <w:spacing w:after="0" w:before="140"/>
      </w:pPr>
    </w:p>
    <w:p>
      <w:pPr>
        <w:pBdr>
          <w:bottom w:val="single" w:color="2E75B6" w:sz="6" w:space="1"/>
        </w:pBdr>
        <w:spacing w:after="100" w:before="280"/>
      </w:pPr>
      <w:r>
        <w:rPr>
          <w:rFonts w:ascii="Arial" w:cs="Arial" w:eastAsia="Arial" w:hAnsi="Arial"/>
          <w:b/>
          <w:bCs/>
          <w:color w:val="1E3A5F"/>
          <w:sz w:val="26"/>
          <w:szCs w:val="26"/>
        </w:rPr>
        <w:t xml:space="preserve">5.1  Revenue by Region</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216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Region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Revenue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Orders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 Share</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vs. Target</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$400,000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162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20"/>
                <w:szCs w:val="20"/>
              </w:rPr>
              <w:t xml:space="preserve">32.0%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+2.1%  ▲</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20"/>
                <w:szCs w:val="20"/>
              </w:rPr>
              <w:t xml:space="preserve">24.0%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-3.5%  ▼</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$312,500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20"/>
                <w:szCs w:val="20"/>
              </w:rPr>
              <w:t xml:space="preserve">25.0%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+1.0%  ▲</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North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$237,500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5B6"/>
                <w:sz w:val="20"/>
                <w:szCs w:val="20"/>
              </w:rPr>
              <w:t xml:space="preserve">19.0%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-1.2%  ▼</w:t>
            </w:r>
          </w:p>
        </w:tc>
      </w:tr>
      <w:tr>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TOTAL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20"/>
                <w:szCs w:val="20"/>
              </w:rPr>
              <w:t xml:space="preserve">$1,250,000</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20"/>
                <w:szCs w:val="20"/>
              </w:rPr>
              <w:t xml:space="preserve">500</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20"/>
                <w:szCs w:val="20"/>
              </w:rPr>
              <w:t xml:space="preserve">100.0%</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+0.2%  ▲</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5.2  Top Countries by Revenue</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
        <w:gridCol w:w="3180"/>
        <w:gridCol w:w="2160"/>
        <w:gridCol w:w="2160"/>
        <w:gridCol w:w="1680"/>
      </w:tblGrid>
      <w:tr>
        <w:tc>
          <w:tcPr>
            <w:tcW w:type="dxa" w:w="5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t>
            </w:r>
          </w:p>
        </w:tc>
        <w:tc>
          <w:tcPr>
            <w:tcW w:type="dxa" w:w="3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Country</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Revenue</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Region</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Growth</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1</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Honduras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$540K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South</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+22%  ▲</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2</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USA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$320K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East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+8%   ▲</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Mexico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$212K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South</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+15%  ▲</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4</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Peru</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$189K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South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+19%  ▲</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5</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Canada</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$165K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North</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+3%   ▲</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5.3  Regional Observations</w:t>
      </w:r>
    </w:p>
    <w:p>
      <w:pPr>
        <w:spacing w:after="0" w:before="80"/>
      </w:pPr>
    </w:p>
    <w:p>
      <w:pPr>
        <w:spacing w:after="60" w:before="60"/>
      </w:pPr>
      <w:r>
        <w:rPr>
          <w:rFonts w:ascii="Arial" w:cs="Arial" w:eastAsia="Arial" w:hAnsi="Arial"/>
          <w:b w:val="false"/>
          <w:bCs w:val="false"/>
          <w:i w:val="false"/>
          <w:iCs w:val="false"/>
          <w:color w:val="595959"/>
          <w:sz w:val="19"/>
          <w:szCs w:val="19"/>
        </w:rPr>
        <w:t xml:space="preserve">The South region is the clear performance leader at $400,000 in revenue (32.0% share), with Honduras emerging as the single largest country contributor at $540K — driven by strong local market penetration and recent distribution expansion. The South region also exceeds its target by 2.1%.</w:t>
      </w:r>
    </w:p>
    <w:p>
      <w:pPr>
        <w:spacing w:after="0" w:before="80"/>
      </w:pPr>
    </w:p>
    <w:p>
      <w:pPr>
        <w:spacing w:after="60" w:before="60"/>
      </w:pPr>
      <w:r>
        <w:rPr>
          <w:rFonts w:ascii="Arial" w:cs="Arial" w:eastAsia="Arial" w:hAnsi="Arial"/>
          <w:b w:val="false"/>
          <w:bCs w:val="false"/>
          <w:i w:val="false"/>
          <w:iCs w:val="false"/>
          <w:color w:val="595959"/>
          <w:sz w:val="19"/>
          <w:szCs w:val="19"/>
        </w:rPr>
        <w:t xml:space="preserve">The East region underperforms its target by 3.5%, representing the most significant geographic risk. Sales leadership should investigate pipeline velocity and competitive displacement in key East markets. The West region maintains a slight positive variance (+1.0%) but has the most room for expansion given its relatively lower order count.</w:t>
      </w:r>
    </w:p>
    <w:p>
      <w:r>
        <w:br w:type="page"/>
      </w:r>
    </w:p>
    <w:p>
      <w:pPr>
        <w:pStyle w:val="Heading1"/>
      </w:pPr>
      <w:r>
        <w:rPr>
          <w:rFonts w:ascii="Arial" w:cs="Arial" w:eastAsia="Arial" w:hAnsi="Arial"/>
          <w:b/>
          <w:bCs/>
          <w:color w:val="1E3A5F"/>
          <w:sz w:val="36"/>
          <w:szCs w:val="36"/>
        </w:rPr>
        <w:t xml:space="preserve">Section 6 — Customer Segment Analysis</w:t>
      </w:r>
    </w:p>
    <w:p>
      <w:pPr>
        <w:pBdr>
          <w:bottom w:val="single" w:color="2E75B6" w:sz="6" w:space="1"/>
        </w:pBdr>
        <w:spacing w:after="120" w:before="120"/>
      </w:pPr>
    </w:p>
    <w:p>
      <w:pPr>
        <w:spacing w:after="0" w:before="80"/>
      </w:pPr>
    </w:p>
    <w:p>
      <w:pPr>
        <w:spacing w:after="60" w:before="60"/>
      </w:pPr>
      <w:r>
        <w:rPr>
          <w:rFonts w:ascii="Arial" w:cs="Arial" w:eastAsia="Arial" w:hAnsi="Arial"/>
          <w:b w:val="false"/>
          <w:bCs w:val="false"/>
          <w:i w:val="false"/>
          <w:iCs w:val="false"/>
          <w:color w:val="595959"/>
          <w:sz w:val="19"/>
          <w:szCs w:val="19"/>
        </w:rPr>
        <w:t xml:space="preserve">Customer analysis examines performance across the organization's three primary segments (Business, Consumer, Enterprise) and provides a profile of the highest-value accounts. Understanding the composition of the customer base is critical to directing sales, marketing, and service investment decisions.</w:t>
      </w:r>
    </w:p>
    <w:p>
      <w:pPr>
        <w:spacing w:after="0" w:before="140"/>
      </w:pPr>
    </w:p>
    <w:p>
      <w:pPr>
        <w:pBdr>
          <w:bottom w:val="single" w:color="2E75B6" w:sz="6" w:space="1"/>
        </w:pBdr>
        <w:spacing w:after="100" w:before="280"/>
      </w:pPr>
      <w:r>
        <w:rPr>
          <w:rFonts w:ascii="Arial" w:cs="Arial" w:eastAsia="Arial" w:hAnsi="Arial"/>
          <w:b/>
          <w:bCs/>
          <w:color w:val="1E3A5F"/>
          <w:sz w:val="26"/>
          <w:szCs w:val="26"/>
        </w:rPr>
        <w:t xml:space="preserve">6.1  Revenue by Customer Segment</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1800"/>
        <w:gridCol w:w="1800"/>
        <w:gridCol w:w="180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Segment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Revenue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Customers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Avg LTV</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Satisfaction</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Business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$575,000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20"/>
                <w:szCs w:val="20"/>
              </w:rPr>
              <w:t xml:space="preserve">$2,614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7A4E"/>
                <w:sz w:val="20"/>
                <w:szCs w:val="20"/>
              </w:rPr>
              <w:t xml:space="preserve">3.4 / 5</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Consumer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20"/>
                <w:szCs w:val="20"/>
              </w:rPr>
              <w:t xml:space="preserve">$2,051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2.9 / 5</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Enterprise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$275,000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20"/>
                <w:szCs w:val="20"/>
              </w:rPr>
              <w:t xml:space="preserve">$3,235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0A500"/>
                <w:sz w:val="20"/>
                <w:szCs w:val="20"/>
              </w:rPr>
              <w:t xml:space="preserve">3.2 / 5</w:t>
            </w:r>
          </w:p>
        </w:tc>
      </w:tr>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TOTAL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20"/>
                <w:szCs w:val="20"/>
              </w:rPr>
              <w:t xml:space="preserve">$1,250,000</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20"/>
                <w:szCs w:val="20"/>
              </w:rPr>
              <w:t xml:space="preserve">500</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$2,500</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20"/>
                <w:szCs w:val="20"/>
              </w:rPr>
              <w:t xml:space="preserve">3.1 / 5</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6.2  Top 5 Customers by Revenue</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
        <w:gridCol w:w="3060"/>
        <w:gridCol w:w="1800"/>
        <w:gridCol w:w="1800"/>
        <w:gridCol w:w="1800"/>
        <w:gridCol w:w="720"/>
      </w:tblGrid>
      <w:tr>
        <w:tc>
          <w:tcPr>
            <w:tcW w:type="dxa" w:w="5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Rank</w:t>
            </w:r>
          </w:p>
        </w:tc>
        <w:tc>
          <w:tcPr>
            <w:tcW w:type="dxa" w:w="3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Customer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Revenue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Segment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Sales Rep</w:t>
            </w:r>
          </w:p>
        </w:tc>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1</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Danyer Salazar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$5,995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Business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Alice</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7A4E"/>
                <w:sz w:val="24"/>
                <w:szCs w:val="24"/>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Lyra Robins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$5,947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Consumer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John</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7A4E"/>
                <w:sz w:val="24"/>
                <w:szCs w:val="24"/>
              </w:rPr>
              <w:t xml:space="preserv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Norm Brott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$5,811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Business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Alice</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7A4E"/>
                <w:sz w:val="24"/>
                <w:szCs w:val="24"/>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Maggie Summers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$4,958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Enterprise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Michael</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7A4E"/>
                <w:sz w:val="24"/>
                <w:szCs w:val="24"/>
              </w:rPr>
              <w:t xml:space="preserv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5</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Jaylen Ward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$4,989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Business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Bob</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7A4E"/>
                <w:sz w:val="24"/>
                <w:szCs w:val="24"/>
              </w:rPr>
              <w:t xml:space="preserve">●</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6.3  Satisfaction Score Analysis</w:t>
      </w:r>
    </w:p>
    <w:p>
      <w:pPr>
        <w:spacing w:after="0" w:before="80"/>
      </w:pPr>
    </w:p>
    <w:p>
      <w:pPr>
        <w:spacing w:after="60" w:before="60"/>
      </w:pPr>
      <w:r>
        <w:rPr>
          <w:rFonts w:ascii="Arial" w:cs="Arial" w:eastAsia="Arial" w:hAnsi="Arial"/>
          <w:b w:val="false"/>
          <w:bCs w:val="false"/>
          <w:i w:val="false"/>
          <w:iCs w:val="false"/>
          <w:color w:val="595959"/>
          <w:sz w:val="19"/>
          <w:szCs w:val="19"/>
        </w:rPr>
        <w:t xml:space="preserve">Overall customer satisfaction of 3.1/5.0 (62%) indicates a mid-range experience that falls short of best-in-class benchmarks (typically 4.0+). The Business segment (3.4/5.0) outperforms other segments and likely benefits from dedicated account management relationships. The Consumer segment (2.9/5.0) falls below the organizational average and warrants specific service improvement initiatives.</w:t>
      </w:r>
    </w:p>
    <w:p>
      <w:pPr>
        <w:spacing w:after="0" w:before="80"/>
      </w:pPr>
    </w:p>
    <w:p>
      <w:pPr>
        <w:spacing w:after="60" w:before="60"/>
      </w:pPr>
      <w:r>
        <w:rPr>
          <w:rFonts w:ascii="Arial" w:cs="Arial" w:eastAsia="Arial" w:hAnsi="Arial"/>
          <w:b w:val="false"/>
          <w:bCs w:val="false"/>
          <w:i w:val="false"/>
          <w:iCs w:val="false"/>
          <w:color w:val="595959"/>
          <w:sz w:val="19"/>
          <w:szCs w:val="19"/>
        </w:rPr>
        <w:t xml:space="preserve">Recommended Actions: Implement structured satisfaction recovery programs for Consumer segment accounts. Expand the Business segment account management model selectively to high-LTV Enterprise accounts to lift that segment's 3.2/5.0 score.</w:t>
      </w:r>
    </w:p>
    <w:p>
      <w:r>
        <w:br w:type="page"/>
      </w:r>
    </w:p>
    <w:p>
      <w:pPr>
        <w:pStyle w:val="Heading1"/>
      </w:pPr>
      <w:r>
        <w:rPr>
          <w:rFonts w:ascii="Arial" w:cs="Arial" w:eastAsia="Arial" w:hAnsi="Arial"/>
          <w:b/>
          <w:bCs/>
          <w:color w:val="1E3A5F"/>
          <w:sz w:val="36"/>
          <w:szCs w:val="36"/>
        </w:rPr>
        <w:t xml:space="preserve">Section 7 — Target vs. Actual vs. Budget Analysis</w:t>
      </w:r>
    </w:p>
    <w:p>
      <w:pPr>
        <w:pBdr>
          <w:bottom w:val="single" w:color="2E75B6" w:sz="6" w:space="1"/>
        </w:pBdr>
        <w:spacing w:after="120" w:before="120"/>
      </w:pPr>
    </w:p>
    <w:p>
      <w:pPr>
        <w:spacing w:after="0" w:before="80"/>
      </w:pPr>
    </w:p>
    <w:p>
      <w:pPr>
        <w:spacing w:after="60" w:before="60"/>
      </w:pPr>
      <w:r>
        <w:rPr>
          <w:rFonts w:ascii="Arial" w:cs="Arial" w:eastAsia="Arial" w:hAnsi="Arial"/>
          <w:b w:val="false"/>
          <w:bCs w:val="false"/>
          <w:i w:val="false"/>
          <w:iCs w:val="false"/>
          <w:color w:val="595959"/>
          <w:sz w:val="19"/>
          <w:szCs w:val="19"/>
        </w:rPr>
        <w:t xml:space="preserve">This section compares actual sales performance against both the target (operational goal) and the formally approved budget. Variance analysis at this level is critical for financial governance, resource allocation decisions, and forward-looking planning adjustments.</w:t>
      </w:r>
    </w:p>
    <w:p>
      <w:pPr>
        <w:spacing w:after="0" w:before="140"/>
      </w:pPr>
    </w:p>
    <w:p>
      <w:pPr>
        <w:pBdr>
          <w:bottom w:val="single" w:color="2E75B6" w:sz="6" w:space="1"/>
        </w:pBdr>
        <w:spacing w:after="100" w:before="280"/>
      </w:pPr>
      <w:r>
        <w:rPr>
          <w:rFonts w:ascii="Arial" w:cs="Arial" w:eastAsia="Arial" w:hAnsi="Arial"/>
          <w:b/>
          <w:bCs/>
          <w:color w:val="1E3A5F"/>
          <w:sz w:val="26"/>
          <w:szCs w:val="26"/>
        </w:rPr>
        <w:t xml:space="preserve">7.1  Revenue Variance Analysis — By Category</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80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Category</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Budget</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Target</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vs Budget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vs Target</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Sports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$340K</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$370K</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20"/>
                <w:szCs w:val="20"/>
              </w:rPr>
              <w:t xml:space="preserve">$393K</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+$53K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+$23K  ▲</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Electronics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$310K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$330K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20"/>
                <w:szCs w:val="20"/>
              </w:rPr>
              <w:t xml:space="preserve">$349K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+$39K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+$19K  ▲</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Clothing</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$290K</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$300K</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20"/>
                <w:szCs w:val="20"/>
              </w:rPr>
              <w:t xml:space="preserve">$306K</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+$16K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+$6K   ▲</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Music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$200K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$200K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20"/>
                <w:szCs w:val="20"/>
              </w:rPr>
              <w:t xml:space="preserve">$202K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+$2K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+$2K   ▲</w:t>
            </w:r>
          </w:p>
        </w:tc>
      </w:tr>
      <w:tr>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TOTAL</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20"/>
                <w:szCs w:val="20"/>
              </w:rPr>
              <w:t xml:space="preserve">$1,140K</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20"/>
                <w:szCs w:val="20"/>
              </w:rPr>
              <w:t xml:space="preserve">$1,200K</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$1,250K</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+$110K ▲</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+$50K  ▲</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7.2  What-If Scenario: Price Increase Impact</w:t>
      </w:r>
    </w:p>
    <w:p>
      <w:pPr>
        <w:spacing w:after="0" w:before="80"/>
      </w:pPr>
    </w:p>
    <w:p>
      <w:pPr>
        <w:spacing w:after="60" w:before="60"/>
      </w:pPr>
      <w:r>
        <w:rPr>
          <w:rFonts w:ascii="Arial" w:cs="Arial" w:eastAsia="Arial" w:hAnsi="Arial"/>
          <w:b w:val="false"/>
          <w:bCs w:val="false"/>
          <w:i w:val="false"/>
          <w:iCs w:val="false"/>
          <w:color w:val="595959"/>
          <w:sz w:val="19"/>
          <w:szCs w:val="19"/>
        </w:rPr>
        <w:t xml:space="preserve">The following scenario analysis models the projected impact of a 10% price increase across all categories, applied uniformly to the current-period actuals. This scenario is consistent with the What-If parameter analysis available in the interactive SalesView Pro dashboard.</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Metric</w:t>
            </w:r>
          </w:p>
        </w:tc>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Original Scenario</w:t>
            </w:r>
          </w:p>
        </w:tc>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Adjusted (+10%)</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Total Revenue</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$1,250,000</w:t>
            </w:r>
          </w:p>
        </w:tc>
        <w:tc>
          <w:tcPr>
            <w:tcW w:type="dxa" w:w="3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3A5F"/>
                <w:sz w:val="20"/>
                <w:szCs w:val="20"/>
              </w:rPr>
              <w:t xml:space="preserve">$1,375,000</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Total Profit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$600,000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3A5F"/>
                <w:sz w:val="20"/>
                <w:szCs w:val="20"/>
              </w:rPr>
              <w:t xml:space="preserve">$720,000</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Profit Margin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18.5%</w:t>
            </w:r>
          </w:p>
        </w:tc>
        <w:tc>
          <w:tcPr>
            <w:tcW w:type="dxa" w:w="3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3A5F"/>
                <w:sz w:val="20"/>
                <w:szCs w:val="20"/>
              </w:rPr>
              <w:t xml:space="preserve">20.9%</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Revenue Delta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+$125,000  ▲</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Profit Delta</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3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+$120,000  ▲</w:t>
            </w:r>
          </w:p>
        </w:tc>
      </w:tr>
    </w:tbl>
    <w:p>
      <w:pPr>
        <w:spacing w:after="0" w:before="80"/>
      </w:pPr>
    </w:p>
    <w:p>
      <w:pPr>
        <w:spacing w:after="60" w:before="60"/>
      </w:pPr>
      <w:r>
        <w:rPr>
          <w:rFonts w:ascii="Arial" w:cs="Arial" w:eastAsia="Arial" w:hAnsi="Arial"/>
          <w:b w:val="false"/>
          <w:bCs w:val="false"/>
          <w:i/>
          <w:iCs/>
          <w:color w:val="595959"/>
          <w:sz w:val="17"/>
          <w:szCs w:val="17"/>
        </w:rPr>
        <w:t xml:space="preserve">Assumption: A 10% uniform price increase with 0% volume loss. Actual outcomes will depend on price elasticity by category and competitive response. This scenario should be treated as an upper-bound estimate.</w:t>
      </w:r>
    </w:p>
    <w:p>
      <w:r>
        <w:br w:type="page"/>
      </w:r>
    </w:p>
    <w:p>
      <w:pPr>
        <w:pStyle w:val="Heading1"/>
      </w:pPr>
      <w:r>
        <w:rPr>
          <w:rFonts w:ascii="Arial" w:cs="Arial" w:eastAsia="Arial" w:hAnsi="Arial"/>
          <w:b/>
          <w:bCs/>
          <w:color w:val="1E3A5F"/>
          <w:sz w:val="36"/>
          <w:szCs w:val="36"/>
        </w:rPr>
        <w:t xml:space="preserve">Section 8 — Data Visualizations &amp; Chart Library</w:t>
      </w:r>
    </w:p>
    <w:p>
      <w:pPr>
        <w:pBdr>
          <w:bottom w:val="single" w:color="2E75B6" w:sz="6" w:space="1"/>
        </w:pBdr>
        <w:spacing w:after="120" w:before="120"/>
      </w:pPr>
    </w:p>
    <w:p>
      <w:pPr>
        <w:spacing w:after="0" w:before="80"/>
      </w:pPr>
    </w:p>
    <w:p>
      <w:pPr>
        <w:spacing w:after="60" w:before="60"/>
      </w:pPr>
      <w:r>
        <w:rPr>
          <w:rFonts w:ascii="Arial" w:cs="Arial" w:eastAsia="Arial" w:hAnsi="Arial"/>
          <w:b w:val="false"/>
          <w:bCs w:val="false"/>
          <w:i w:val="false"/>
          <w:iCs w:val="false"/>
          <w:color w:val="595959"/>
          <w:sz w:val="19"/>
          <w:szCs w:val="19"/>
        </w:rPr>
        <w:t xml:space="preserve">This section catalogs all visual representations of the sales data included in this report. Each visualization is described with its analytical purpose, key findings, and recommended actions. Charts are rendered inline in the interactive dashboard; this section provides the annotated equivalent for the print distribution format.</w:t>
      </w:r>
    </w:p>
    <w:p>
      <w:pPr>
        <w:spacing w:after="0" w:before="140"/>
      </w:pPr>
    </w:p>
    <w:p>
      <w:pPr>
        <w:pBdr>
          <w:bottom w:val="single" w:color="2E75B6" w:sz="6" w:space="1"/>
        </w:pBdr>
        <w:spacing w:after="100" w:before="280"/>
      </w:pPr>
      <w:r>
        <w:rPr>
          <w:rFonts w:ascii="Arial" w:cs="Arial" w:eastAsia="Arial" w:hAnsi="Arial"/>
          <w:b/>
          <w:bCs/>
          <w:color w:val="1E3A5F"/>
          <w:sz w:val="26"/>
          <w:szCs w:val="26"/>
        </w:rPr>
        <w:t xml:space="preserve">8.1  Visualization 1 — Revenue Trend Chart (Line)</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4"/>
              <w:left w:val="single" w:color="2E75B6" w:sz="4"/>
              <w:bottom w:val="single" w:color="CCCCCC" w:sz="1"/>
              <w:right w:val="single" w:color="CCCCCC" w:sz="1"/>
            </w:tcBorders>
            <w:shd w:fill="F2F2F2" w:val="clear"/>
            <w:tcMar>
              <w:top w:type="dxa" w:w="200"/>
              <w:left w:type="dxa" w:w="200"/>
              <w:bottom w:type="dxa" w:w="200"/>
              <w:right w:type="dxa" w:w="200"/>
            </w:tcMar>
          </w:tcPr>
          <w:p>
            <w:pPr>
              <w:jc w:val="center"/>
            </w:pPr>
            <w:r>
              <w:rPr>
                <w:rFonts w:ascii="Arial" w:cs="Arial" w:eastAsia="Arial" w:hAnsi="Arial"/>
                <w:b/>
                <w:bCs/>
                <w:i/>
                <w:iCs/>
                <w:color w:val="595959"/>
                <w:sz w:val="22"/>
                <w:szCs w:val="22"/>
              </w:rPr>
              <w:t xml:space="preserve">[ Revenue Trend by Quarter — Line Chart ]</w:t>
            </w:r>
          </w:p>
          <w:p>
            <w:pPr>
              <w:spacing w:after="40" w:before="40"/>
              <w:jc w:val="center"/>
            </w:pPr>
            <w:r>
              <w:rPr>
                <w:rFonts w:ascii="Arial" w:cs="Arial" w:eastAsia="Arial" w:hAnsi="Arial"/>
                <w:i/>
                <w:iCs/>
                <w:color w:val="595959"/>
                <w:sz w:val="16"/>
                <w:szCs w:val="16"/>
              </w:rPr>
              <w:t xml:space="preserve">Chart renders dynamically in Power BI Paginated Report based on selected Date Range parameter</w:t>
            </w:r>
          </w:p>
          <w:p>
            <w:pPr>
              <w:spacing w:after="100" w:before="100"/>
              <w:jc w:val="center"/>
            </w:pPr>
            <w:r>
              <w:rPr>
                <w:rFonts w:ascii="Arial" w:cs="Arial" w:eastAsia="Arial" w:hAnsi="Arial"/>
                <w:b/>
                <w:bCs/>
                <w:color w:val="2E75B6"/>
                <w:sz w:val="20"/>
                <w:szCs w:val="20"/>
              </w:rPr>
              <w:t xml:space="preserve">Q1: $295K  →  Q2: $315K  →  Q3: $330K  →  Q4: $310K</w:t>
            </w:r>
          </w:p>
        </w:tc>
      </w:tr>
    </w:tbl>
    <w:p>
      <w:pPr>
        <w:spacing w:after="0" w:before="80"/>
      </w:pPr>
    </w:p>
    <w:p>
      <w:pPr>
        <w:spacing w:after="60" w:before="60"/>
      </w:pPr>
      <w:r>
        <w:rPr>
          <w:rFonts w:ascii="Arial" w:cs="Arial" w:eastAsia="Arial" w:hAnsi="Arial"/>
          <w:b/>
          <w:bCs/>
          <w:i w:val="false"/>
          <w:iCs w:val="false"/>
          <w:color w:val="1E3A5F"/>
          <w:sz w:val="18"/>
          <w:szCs w:val="18"/>
        </w:rPr>
        <w:t xml:space="preserve">Purpose: Tracks revenue trajectory across quarters to identify seasonal patterns and growth momentum.</w:t>
      </w:r>
    </w:p>
    <w:p>
      <w:pPr>
        <w:spacing w:after="60" w:before="60"/>
      </w:pPr>
      <w:r>
        <w:rPr>
          <w:rFonts w:ascii="Arial" w:cs="Arial" w:eastAsia="Arial" w:hAnsi="Arial"/>
          <w:b w:val="false"/>
          <w:bCs w:val="false"/>
          <w:i w:val="false"/>
          <w:iCs w:val="false"/>
          <w:color w:val="595959"/>
          <w:sz w:val="19"/>
          <w:szCs w:val="19"/>
        </w:rPr>
        <w:t xml:space="preserve">Key Finding: Revenue peaked in Q3 2024 at $330K before a Q4 seasonal dip to $310K — consistent with prior-year patterns. The trend line shows sustained annual growth of approximately 12% year-over-year.</w:t>
      </w:r>
    </w:p>
    <w:p>
      <w:pPr>
        <w:spacing w:after="0" w:before="140"/>
      </w:pPr>
    </w:p>
    <w:p>
      <w:pPr>
        <w:pBdr>
          <w:bottom w:val="single" w:color="2E75B6" w:sz="6" w:space="1"/>
        </w:pBdr>
        <w:spacing w:after="100" w:before="280"/>
      </w:pPr>
      <w:r>
        <w:rPr>
          <w:rFonts w:ascii="Arial" w:cs="Arial" w:eastAsia="Arial" w:hAnsi="Arial"/>
          <w:b/>
          <w:bCs/>
          <w:color w:val="1E3A5F"/>
          <w:sz w:val="26"/>
          <w:szCs w:val="26"/>
        </w:rPr>
        <w:t xml:space="preserve">8.2  Visualization 2 — Category Revenue vs. Margin (Bar + Line Combo)</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4"/>
              <w:left w:val="single" w:color="2E75B6" w:sz="4"/>
              <w:bottom w:val="single" w:color="CCCCCC" w:sz="1"/>
              <w:right w:val="single" w:color="CCCCCC" w:sz="1"/>
            </w:tcBorders>
            <w:shd w:fill="F2F2F2" w:val="clear"/>
            <w:tcMar>
              <w:top w:type="dxa" w:w="200"/>
              <w:left w:type="dxa" w:w="200"/>
              <w:bottom w:type="dxa" w:w="200"/>
              <w:right w:type="dxa" w:w="200"/>
            </w:tcMar>
          </w:tcPr>
          <w:p>
            <w:pPr>
              <w:jc w:val="center"/>
            </w:pPr>
            <w:r>
              <w:rPr>
                <w:rFonts w:ascii="Arial" w:cs="Arial" w:eastAsia="Arial" w:hAnsi="Arial"/>
                <w:b/>
                <w:bCs/>
                <w:i/>
                <w:iCs/>
                <w:color w:val="595959"/>
                <w:sz w:val="22"/>
                <w:szCs w:val="22"/>
              </w:rPr>
              <w:t xml:space="preserve">[ Category Revenue vs. Profit Margin — Combo Chart ]</w:t>
            </w:r>
          </w:p>
          <w:p>
            <w:pPr>
              <w:spacing w:after="40" w:before="40"/>
              <w:jc w:val="center"/>
            </w:pPr>
            <w:r>
              <w:rPr>
                <w:rFonts w:ascii="Arial" w:cs="Arial" w:eastAsia="Arial" w:hAnsi="Arial"/>
                <w:i/>
                <w:iCs/>
                <w:color w:val="595959"/>
                <w:sz w:val="16"/>
                <w:szCs w:val="16"/>
              </w:rPr>
              <w:t xml:space="preserve">Bars: Revenue by Category  |  Line: Profit Margin %</w:t>
            </w:r>
          </w:p>
          <w:p>
            <w:pPr>
              <w:spacing w:after="100" w:before="100"/>
              <w:jc w:val="center"/>
            </w:pPr>
            <w:r>
              <w:rPr>
                <w:rFonts w:ascii="Arial" w:cs="Arial" w:eastAsia="Arial" w:hAnsi="Arial"/>
                <w:b/>
                <w:bCs/>
                <w:color w:val="2E75B6"/>
                <w:sz w:val="19"/>
                <w:szCs w:val="19"/>
              </w:rPr>
              <w:t xml:space="preserve">Sports $393K (22.7%)  |  Electronics $349K (30.7%)  |  Clothing $306K (24.3%)  |  Music $202K (17.3%)</w:t>
            </w:r>
          </w:p>
        </w:tc>
      </w:tr>
    </w:tbl>
    <w:p>
      <w:pPr>
        <w:spacing w:after="0" w:before="80"/>
      </w:pPr>
    </w:p>
    <w:p>
      <w:pPr>
        <w:spacing w:after="60" w:before="60"/>
      </w:pPr>
      <w:r>
        <w:rPr>
          <w:rFonts w:ascii="Arial" w:cs="Arial" w:eastAsia="Arial" w:hAnsi="Arial"/>
          <w:b/>
          <w:bCs/>
          <w:i w:val="false"/>
          <w:iCs w:val="false"/>
          <w:color w:val="1E3A5F"/>
          <w:sz w:val="18"/>
          <w:szCs w:val="18"/>
        </w:rPr>
        <w:t xml:space="preserve">Purpose: Reveals the relationship between revenue volume and profitability across product categories, enabling margin-mix analysis.</w:t>
      </w:r>
    </w:p>
    <w:p>
      <w:pPr>
        <w:spacing w:after="60" w:before="60"/>
      </w:pPr>
      <w:r>
        <w:rPr>
          <w:rFonts w:ascii="Arial" w:cs="Arial" w:eastAsia="Arial" w:hAnsi="Arial"/>
          <w:b w:val="false"/>
          <w:bCs w:val="false"/>
          <w:i w:val="false"/>
          <w:iCs w:val="false"/>
          <w:color w:val="595959"/>
          <w:sz w:val="19"/>
          <w:szCs w:val="19"/>
        </w:rPr>
        <w:t xml:space="preserve">Key Finding: Electronics demonstrates a decoupled performance profile — second in revenue but highest in margin. Sports is inverse — highest revenue but lowest margin among major categories. This cross-pattern is critical for portfolio strategy decisions.</w:t>
      </w:r>
    </w:p>
    <w:p>
      <w:pPr>
        <w:spacing w:after="0" w:before="140"/>
      </w:pPr>
    </w:p>
    <w:p>
      <w:pPr>
        <w:pBdr>
          <w:bottom w:val="single" w:color="2E75B6" w:sz="6" w:space="1"/>
        </w:pBdr>
        <w:spacing w:after="100" w:before="280"/>
      </w:pPr>
      <w:r>
        <w:rPr>
          <w:rFonts w:ascii="Arial" w:cs="Arial" w:eastAsia="Arial" w:hAnsi="Arial"/>
          <w:b/>
          <w:bCs/>
          <w:color w:val="1E3A5F"/>
          <w:sz w:val="26"/>
          <w:szCs w:val="26"/>
        </w:rPr>
        <w:t xml:space="preserve">8.3  Visualization 3 — Waterfall Chart: Revenue to Profit Bridge</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4"/>
              <w:left w:val="single" w:color="2E75B6" w:sz="4"/>
              <w:bottom w:val="single" w:color="CCCCCC" w:sz="1"/>
              <w:right w:val="single" w:color="CCCCCC" w:sz="1"/>
            </w:tcBorders>
            <w:shd w:fill="F2F2F2" w:val="clear"/>
            <w:tcMar>
              <w:top w:type="dxa" w:w="200"/>
              <w:left w:type="dxa" w:w="200"/>
              <w:bottom w:type="dxa" w:w="200"/>
              <w:right w:type="dxa" w:w="200"/>
            </w:tcMar>
          </w:tcPr>
          <w:p>
            <w:pPr>
              <w:jc w:val="center"/>
            </w:pPr>
            <w:r>
              <w:rPr>
                <w:rFonts w:ascii="Arial" w:cs="Arial" w:eastAsia="Arial" w:hAnsi="Arial"/>
                <w:b/>
                <w:bCs/>
                <w:i/>
                <w:iCs/>
                <w:color w:val="595959"/>
                <w:sz w:val="22"/>
                <w:szCs w:val="22"/>
              </w:rPr>
              <w:t xml:space="preserve">[ Sales &amp; Profit Waterfall Chart ]</w:t>
            </w:r>
          </w:p>
          <w:p>
            <w:pPr>
              <w:spacing w:after="0" w:before="60"/>
              <w:jc w:val="center"/>
            </w:pPr>
            <w:r>
              <w:rPr>
                <w:rFonts w:ascii="Arial" w:cs="Arial" w:eastAsia="Arial" w:hAnsi="Arial"/>
                <w:b/>
                <w:bCs/>
                <w:color w:val="2E75B6"/>
                <w:sz w:val="20"/>
                <w:szCs w:val="20"/>
              </w:rPr>
              <w:t xml:space="preserve">Total Sales: $1,250,000</w:t>
            </w:r>
          </w:p>
          <w:p>
            <w:pPr>
              <w:spacing w:after="0" w:before="0"/>
              <w:jc w:val="center"/>
            </w:pPr>
            <w:r>
              <w:rPr>
                <w:rFonts w:ascii="Arial" w:cs="Arial" w:eastAsia="Arial" w:hAnsi="Arial"/>
                <w:color w:val="C0392B"/>
                <w:sz w:val="18"/>
                <w:szCs w:val="18"/>
              </w:rPr>
              <w:t xml:space="preserve">– Cost of Goods Sold: –$800,000  |  – Operating Expenses: –$50,000  |  – Returns: –$20,000</w:t>
            </w:r>
          </w:p>
          <w:p>
            <w:pPr>
              <w:spacing w:after="100" w:before="40"/>
              <w:jc w:val="center"/>
            </w:pPr>
            <w:r>
              <w:rPr>
                <w:rFonts w:ascii="Arial" w:cs="Arial" w:eastAsia="Arial" w:hAnsi="Arial"/>
                <w:b/>
                <w:bCs/>
                <w:color w:val="1D7A4E"/>
                <w:sz w:val="22"/>
                <w:szCs w:val="22"/>
              </w:rPr>
              <w:t xml:space="preserve">= Net Profit: $380,000  (Margin: 30.4%)</w:t>
            </w:r>
          </w:p>
        </w:tc>
      </w:tr>
    </w:tbl>
    <w:p>
      <w:pPr>
        <w:spacing w:after="0" w:before="80"/>
      </w:pPr>
    </w:p>
    <w:p>
      <w:pPr>
        <w:spacing w:after="60" w:before="60"/>
      </w:pPr>
      <w:r>
        <w:rPr>
          <w:rFonts w:ascii="Arial" w:cs="Arial" w:eastAsia="Arial" w:hAnsi="Arial"/>
          <w:b/>
          <w:bCs/>
          <w:i w:val="false"/>
          <w:iCs w:val="false"/>
          <w:color w:val="1E3A5F"/>
          <w:sz w:val="18"/>
          <w:szCs w:val="18"/>
        </w:rPr>
        <w:t xml:space="preserve">Purpose: Visualizes the step-by-step journey from gross revenue to net profit, making the P&amp;L story immediately accessible to non-financial executives.</w:t>
      </w:r>
    </w:p>
    <w:p>
      <w:pPr>
        <w:spacing w:after="60" w:before="60"/>
      </w:pPr>
      <w:r>
        <w:rPr>
          <w:rFonts w:ascii="Arial" w:cs="Arial" w:eastAsia="Arial" w:hAnsi="Arial"/>
          <w:b w:val="false"/>
          <w:bCs w:val="false"/>
          <w:i w:val="false"/>
          <w:iCs w:val="false"/>
          <w:color w:val="595959"/>
          <w:sz w:val="19"/>
          <w:szCs w:val="19"/>
        </w:rPr>
        <w:t xml:space="preserve">Key Finding: Cost of Goods Sold is the dominant profit detractor at $800,000 (64.0% of revenue). Supply chain optimization initiatives targeting even a 2–3% COGS reduction could yield $25K–$37K in incremental annual profit.</w:t>
      </w:r>
    </w:p>
    <w:p>
      <w:r>
        <w:br w:type="page"/>
      </w:r>
    </w:p>
    <w:p>
      <w:pPr>
        <w:pBdr>
          <w:bottom w:val="single" w:color="2E75B6" w:sz="6" w:space="1"/>
        </w:pBdr>
        <w:spacing w:after="100" w:before="280"/>
      </w:pPr>
      <w:r>
        <w:rPr>
          <w:rFonts w:ascii="Arial" w:cs="Arial" w:eastAsia="Arial" w:hAnsi="Arial"/>
          <w:b/>
          <w:bCs/>
          <w:color w:val="1E3A5F"/>
          <w:sz w:val="26"/>
          <w:szCs w:val="26"/>
        </w:rPr>
        <w:t xml:space="preserve">8.4  Visualization 4 — Customer Satisfaction Gauge &amp; Segment Breakdown</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4"/>
              <w:left w:val="single" w:color="2E75B6" w:sz="4"/>
              <w:bottom w:val="single" w:color="CCCCCC" w:sz="1"/>
              <w:right w:val="single" w:color="CCCCCC" w:sz="1"/>
            </w:tcBorders>
            <w:shd w:fill="F2F2F2" w:val="clear"/>
            <w:tcMar>
              <w:top w:type="dxa" w:w="200"/>
              <w:left w:type="dxa" w:w="200"/>
              <w:bottom w:type="dxa" w:w="200"/>
              <w:right w:type="dxa" w:w="200"/>
            </w:tcMar>
          </w:tcPr>
          <w:p>
            <w:pPr>
              <w:jc w:val="center"/>
            </w:pPr>
            <w:r>
              <w:rPr>
                <w:rFonts w:ascii="Arial" w:cs="Arial" w:eastAsia="Arial" w:hAnsi="Arial"/>
                <w:b/>
                <w:bCs/>
                <w:i/>
                <w:iCs/>
                <w:color w:val="595959"/>
                <w:sz w:val="22"/>
                <w:szCs w:val="22"/>
              </w:rPr>
              <w:t xml:space="preserve">[ Customer Satisfaction Score — Gauge &amp; Segment Bars ]</w:t>
            </w:r>
          </w:p>
          <w:p>
            <w:pPr>
              <w:spacing w:after="0" w:before="60"/>
              <w:jc w:val="center"/>
            </w:pPr>
            <w:r>
              <w:rPr>
                <w:rFonts w:ascii="Arial" w:cs="Arial" w:eastAsia="Arial" w:hAnsi="Arial"/>
                <w:b/>
                <w:bCs/>
                <w:color w:val="F0A500"/>
                <w:sz w:val="22"/>
                <w:szCs w:val="22"/>
              </w:rPr>
              <w:t xml:space="preserve">Overall: ★★★☆☆  3.1 / 5.0</w:t>
            </w:r>
          </w:p>
          <w:p>
            <w:pPr>
              <w:spacing w:after="100" w:before="40"/>
              <w:jc w:val="center"/>
            </w:pPr>
            <w:r>
              <w:rPr>
                <w:rFonts w:ascii="Arial" w:cs="Arial" w:eastAsia="Arial" w:hAnsi="Arial"/>
                <w:color w:val="595959"/>
                <w:sz w:val="19"/>
                <w:szCs w:val="19"/>
              </w:rPr>
              <w:t xml:space="preserve">Business: 3.4  |  Enterprise: 3.2  |  Consumer: 2.9</w:t>
            </w:r>
          </w:p>
        </w:tc>
      </w:tr>
    </w:tbl>
    <w:p>
      <w:pPr>
        <w:spacing w:after="0" w:before="80"/>
      </w:pPr>
    </w:p>
    <w:p>
      <w:pPr>
        <w:spacing w:after="60" w:before="60"/>
      </w:pPr>
      <w:r>
        <w:rPr>
          <w:rFonts w:ascii="Arial" w:cs="Arial" w:eastAsia="Arial" w:hAnsi="Arial"/>
          <w:b/>
          <w:bCs/>
          <w:i w:val="false"/>
          <w:iCs w:val="false"/>
          <w:color w:val="1E3A5F"/>
          <w:sz w:val="18"/>
          <w:szCs w:val="18"/>
        </w:rPr>
        <w:t xml:space="preserve">Purpose: Provides an immediate visual assessment of customer experience health across segments, acting as a leading indicator for retention risk.</w:t>
      </w:r>
    </w:p>
    <w:p>
      <w:pPr>
        <w:spacing w:after="60" w:before="60"/>
      </w:pPr>
      <w:r>
        <w:rPr>
          <w:rFonts w:ascii="Arial" w:cs="Arial" w:eastAsia="Arial" w:hAnsi="Arial"/>
          <w:b w:val="false"/>
          <w:bCs w:val="false"/>
          <w:i w:val="false"/>
          <w:iCs w:val="false"/>
          <w:color w:val="595959"/>
          <w:sz w:val="19"/>
          <w:szCs w:val="19"/>
        </w:rPr>
        <w:t xml:space="preserve">Key Finding: Consumer satisfaction below 3.0 represents a retention risk signal. Given that the Consumer segment represents 39% of all customers, even a 5% churn increase could cost the organization approximately $20,000 in annual recurring revenue.</w:t>
      </w:r>
    </w:p>
    <w:p>
      <w:pPr>
        <w:spacing w:after="0" w:before="140"/>
      </w:pPr>
    </w:p>
    <w:p>
      <w:pPr>
        <w:pBdr>
          <w:bottom w:val="single" w:color="2E75B6" w:sz="6" w:space="1"/>
        </w:pBdr>
        <w:spacing w:after="100" w:before="280"/>
      </w:pPr>
      <w:r>
        <w:rPr>
          <w:rFonts w:ascii="Arial" w:cs="Arial" w:eastAsia="Arial" w:hAnsi="Arial"/>
          <w:b/>
          <w:bCs/>
          <w:color w:val="1E3A5F"/>
          <w:sz w:val="26"/>
          <w:szCs w:val="26"/>
        </w:rPr>
        <w:t xml:space="preserve">8.5  Visualization 5 — Regional Revenue Map &amp; Share Distribution</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4"/>
              <w:left w:val="single" w:color="2E75B6" w:sz="4"/>
              <w:bottom w:val="single" w:color="CCCCCC" w:sz="1"/>
              <w:right w:val="single" w:color="CCCCCC" w:sz="1"/>
            </w:tcBorders>
            <w:shd w:fill="F2F2F2" w:val="clear"/>
            <w:tcMar>
              <w:top w:type="dxa" w:w="200"/>
              <w:left w:type="dxa" w:w="200"/>
              <w:bottom w:type="dxa" w:w="200"/>
              <w:right w:type="dxa" w:w="200"/>
            </w:tcMar>
          </w:tcPr>
          <w:p>
            <w:pPr>
              <w:jc w:val="center"/>
            </w:pPr>
            <w:r>
              <w:rPr>
                <w:rFonts w:ascii="Arial" w:cs="Arial" w:eastAsia="Arial" w:hAnsi="Arial"/>
                <w:b/>
                <w:bCs/>
                <w:i/>
                <w:iCs/>
                <w:color w:val="595959"/>
                <w:sz w:val="22"/>
                <w:szCs w:val="22"/>
              </w:rPr>
              <w:t xml:space="preserve">[ Geographic Revenue Map — Country-Level Choropleth + Region Pie ]</w:t>
            </w:r>
          </w:p>
          <w:p>
            <w:pPr>
              <w:spacing w:after="0" w:before="60"/>
              <w:jc w:val="center"/>
            </w:pPr>
            <w:r>
              <w:rPr>
                <w:rFonts w:ascii="Arial" w:cs="Arial" w:eastAsia="Arial" w:hAnsi="Arial"/>
                <w:b/>
                <w:bCs/>
                <w:color w:val="2E75B6"/>
                <w:sz w:val="20"/>
                <w:szCs w:val="20"/>
              </w:rPr>
              <w:t xml:space="preserve">South: 32%  |  West: 25%  |  East: 24%  |  North: 19%</w:t>
            </w:r>
          </w:p>
          <w:p>
            <w:pPr>
              <w:spacing w:after="100" w:before="40"/>
              <w:jc w:val="center"/>
            </w:pPr>
            <w:r>
              <w:rPr>
                <w:rFonts w:ascii="Arial" w:cs="Arial" w:eastAsia="Arial" w:hAnsi="Arial"/>
                <w:color w:val="595959"/>
                <w:sz w:val="18"/>
                <w:szCs w:val="18"/>
              </w:rPr>
              <w:t xml:space="preserve">Top Country: Honduras ($540K)  |  5 Countries Active  |  5 Regions Represented</w:t>
            </w:r>
          </w:p>
        </w:tc>
      </w:tr>
    </w:tbl>
    <w:p>
      <w:pPr>
        <w:spacing w:after="0" w:before="80"/>
      </w:pPr>
    </w:p>
    <w:p>
      <w:pPr>
        <w:spacing w:after="60" w:before="60"/>
      </w:pPr>
      <w:r>
        <w:rPr>
          <w:rFonts w:ascii="Arial" w:cs="Arial" w:eastAsia="Arial" w:hAnsi="Arial"/>
          <w:b/>
          <w:bCs/>
          <w:i w:val="false"/>
          <w:iCs w:val="false"/>
          <w:color w:val="1E3A5F"/>
          <w:sz w:val="18"/>
          <w:szCs w:val="18"/>
        </w:rPr>
        <w:t xml:space="preserve">Purpose: Provides geographic context for revenue distribution, enabling regional leaders to benchmark their markets and identify white-space expansion opportunities.</w:t>
      </w:r>
    </w:p>
    <w:p>
      <w:pPr>
        <w:spacing w:after="60" w:before="60"/>
      </w:pPr>
      <w:r>
        <w:rPr>
          <w:rFonts w:ascii="Arial" w:cs="Arial" w:eastAsia="Arial" w:hAnsi="Arial"/>
          <w:b w:val="false"/>
          <w:bCs w:val="false"/>
          <w:i w:val="false"/>
          <w:iCs w:val="false"/>
          <w:color w:val="595959"/>
          <w:sz w:val="19"/>
          <w:szCs w:val="19"/>
        </w:rPr>
        <w:t xml:space="preserve">Key Finding: The concentration of revenue in Honduras (single country = largest contributor overall) introduces geographic concentration risk. Diversification across the broader South region and incremental investment in North region markets is recommended.</w:t>
      </w:r>
    </w:p>
    <w:p>
      <w:r>
        <w:br w:type="page"/>
      </w:r>
    </w:p>
    <w:p>
      <w:pPr>
        <w:pStyle w:val="Heading1"/>
      </w:pPr>
      <w:r>
        <w:rPr>
          <w:rFonts w:ascii="Arial" w:cs="Arial" w:eastAsia="Arial" w:hAnsi="Arial"/>
          <w:b/>
          <w:bCs/>
          <w:color w:val="1E3A5F"/>
          <w:sz w:val="36"/>
          <w:szCs w:val="36"/>
        </w:rPr>
        <w:t xml:space="preserve">Section 9 — Appendix: Methodology &amp; Data Dictionary</w:t>
      </w:r>
    </w:p>
    <w:p>
      <w:pPr>
        <w:pBdr>
          <w:bottom w:val="single" w:color="2E75B6" w:sz="6" w:space="1"/>
        </w:pBdr>
        <w:spacing w:after="120" w:before="120"/>
      </w:pPr>
    </w:p>
    <w:p>
      <w:pPr>
        <w:spacing w:after="0" w:before="80"/>
      </w:pPr>
    </w:p>
    <w:p>
      <w:pPr>
        <w:spacing w:after="60" w:before="60"/>
      </w:pPr>
      <w:r>
        <w:rPr>
          <w:rFonts w:ascii="Arial" w:cs="Arial" w:eastAsia="Arial" w:hAnsi="Arial"/>
          <w:b w:val="false"/>
          <w:bCs w:val="false"/>
          <w:i w:val="false"/>
          <w:iCs w:val="false"/>
          <w:color w:val="595959"/>
          <w:sz w:val="19"/>
          <w:szCs w:val="19"/>
        </w:rPr>
        <w:t xml:space="preserve">This appendix provides the technical context, data sourcing methodology, and metric definitions required for accurate interpretation of the metrics presented in this report. It is intended for data governance stakeholders, financial controllers, and analytically-oriented readers.</w:t>
      </w:r>
    </w:p>
    <w:p>
      <w:pPr>
        <w:spacing w:after="0" w:before="140"/>
      </w:pPr>
    </w:p>
    <w:p>
      <w:pPr>
        <w:pBdr>
          <w:bottom w:val="single" w:color="2E75B6" w:sz="6" w:space="1"/>
        </w:pBdr>
        <w:spacing w:after="100" w:before="280"/>
      </w:pPr>
      <w:r>
        <w:rPr>
          <w:rFonts w:ascii="Arial" w:cs="Arial" w:eastAsia="Arial" w:hAnsi="Arial"/>
          <w:b/>
          <w:bCs/>
          <w:color w:val="1E3A5F"/>
          <w:sz w:val="26"/>
          <w:szCs w:val="26"/>
        </w:rPr>
        <w:t xml:space="preserve">9.1  Report Methodology</w:t>
      </w:r>
    </w:p>
    <w:p>
      <w:pPr>
        <w:spacing w:after="0" w:before="80"/>
      </w:pPr>
    </w:p>
    <w:p>
      <w:pPr>
        <w:spacing w:after="60" w:before="60"/>
      </w:pPr>
      <w:r>
        <w:rPr>
          <w:rFonts w:ascii="Arial" w:cs="Arial" w:eastAsia="Arial" w:hAnsi="Arial"/>
          <w:b/>
          <w:bCs/>
          <w:i w:val="false"/>
          <w:iCs w:val="false"/>
          <w:color w:val="1E3A5F"/>
          <w:sz w:val="20"/>
          <w:szCs w:val="20"/>
        </w:rPr>
        <w:t xml:space="preserve">Data Source &amp; Refresh Cadence</w:t>
      </w:r>
    </w:p>
    <w:p>
      <w:pPr>
        <w:spacing w:after="60" w:before="60"/>
      </w:pPr>
      <w:r>
        <w:rPr>
          <w:rFonts w:ascii="Arial" w:cs="Arial" w:eastAsia="Arial" w:hAnsi="Arial"/>
          <w:b w:val="false"/>
          <w:bCs w:val="false"/>
          <w:i w:val="false"/>
          <w:iCs w:val="false"/>
          <w:color w:val="595959"/>
          <w:sz w:val="19"/>
          <w:szCs w:val="19"/>
        </w:rPr>
        <w:t xml:space="preserve">All metrics presented in this report are sourced exclusively from the SalesView Pro centralized data warehouse — a unified repository that consolidates transactional data from the CRM (Customer Relationship Management), ERP (Enterprise Resource Planning), and e-commerce platforms on a nightly refresh cycle. The data is current as of the last scheduled refresh prior to report generation.</w:t>
      </w:r>
    </w:p>
    <w:p>
      <w:pPr>
        <w:spacing w:after="0" w:before="80"/>
      </w:pPr>
    </w:p>
    <w:p>
      <w:pPr>
        <w:spacing w:after="60" w:before="60"/>
      </w:pPr>
      <w:r>
        <w:rPr>
          <w:rFonts w:ascii="Arial" w:cs="Arial" w:eastAsia="Arial" w:hAnsi="Arial"/>
          <w:b/>
          <w:bCs/>
          <w:i w:val="false"/>
          <w:iCs w:val="false"/>
          <w:color w:val="1E3A5F"/>
          <w:sz w:val="20"/>
          <w:szCs w:val="20"/>
        </w:rPr>
        <w:t xml:space="preserve">Metric Calculation Standards</w:t>
      </w:r>
    </w:p>
    <w:p>
      <w:pPr>
        <w:pStyle w:val="ListParagraph"/>
        <w:numPr>
          <w:ilvl w:val="0"/>
          <w:numId w:val="2"/>
        </w:numPr>
        <w:spacing w:after="40" w:before="40"/>
      </w:pPr>
      <w:r>
        <w:rPr>
          <w:rFonts w:ascii="Arial" w:cs="Arial" w:eastAsia="Arial" w:hAnsi="Arial"/>
          <w:color w:val="000000"/>
          <w:sz w:val="20"/>
          <w:szCs w:val="20"/>
        </w:rPr>
        <w:t xml:space="preserve">Revenue figures are reported on a net basis (post-returns, post-discounts) unless explicitly labeled as gross.</w:t>
      </w:r>
    </w:p>
    <w:p>
      <w:pPr>
        <w:pStyle w:val="ListParagraph"/>
        <w:numPr>
          <w:ilvl w:val="0"/>
          <w:numId w:val="2"/>
        </w:numPr>
        <w:spacing w:after="40" w:before="40"/>
      </w:pPr>
      <w:r>
        <w:rPr>
          <w:rFonts w:ascii="Arial" w:cs="Arial" w:eastAsia="Arial" w:hAnsi="Arial"/>
          <w:color w:val="000000"/>
          <w:sz w:val="20"/>
          <w:szCs w:val="20"/>
        </w:rPr>
        <w:t xml:space="preserve">Profit Margin is calculated as Net Profit / Net Revenue × 100. Operating expenses include allocated overhead on a proportional basis.</w:t>
      </w:r>
    </w:p>
    <w:p>
      <w:pPr>
        <w:pStyle w:val="ListParagraph"/>
        <w:numPr>
          <w:ilvl w:val="0"/>
          <w:numId w:val="2"/>
        </w:numPr>
        <w:spacing w:after="40" w:before="40"/>
      </w:pPr>
      <w:r>
        <w:rPr>
          <w:rFonts w:ascii="Arial" w:cs="Arial" w:eastAsia="Arial" w:hAnsi="Arial"/>
          <w:color w:val="000000"/>
          <w:sz w:val="20"/>
          <w:szCs w:val="20"/>
        </w:rPr>
        <w:t xml:space="preserve">Customer Lifetime Value (LTV) reflects cumulative historical revenue per customer within the selected reporting period only.</w:t>
      </w:r>
    </w:p>
    <w:p>
      <w:pPr>
        <w:pStyle w:val="ListParagraph"/>
        <w:numPr>
          <w:ilvl w:val="0"/>
          <w:numId w:val="2"/>
        </w:numPr>
        <w:spacing w:after="40" w:before="40"/>
      </w:pPr>
      <w:r>
        <w:rPr>
          <w:rFonts w:ascii="Arial" w:cs="Arial" w:eastAsia="Arial" w:hAnsi="Arial"/>
          <w:color w:val="000000"/>
          <w:sz w:val="20"/>
          <w:szCs w:val="20"/>
        </w:rPr>
        <w:t xml:space="preserve">Satisfaction scores are based on post-transaction surveys, with a minimum response threshold of 10 surveys per segment for statistical validity.</w:t>
      </w:r>
    </w:p>
    <w:p>
      <w:pPr>
        <w:pStyle w:val="ListParagraph"/>
        <w:numPr>
          <w:ilvl w:val="0"/>
          <w:numId w:val="2"/>
        </w:numPr>
        <w:spacing w:after="40" w:before="40"/>
      </w:pPr>
      <w:r>
        <w:rPr>
          <w:rFonts w:ascii="Arial" w:cs="Arial" w:eastAsia="Arial" w:hAnsi="Arial"/>
          <w:color w:val="000000"/>
          <w:sz w:val="20"/>
          <w:szCs w:val="20"/>
        </w:rPr>
        <w:t xml:space="preserve">Year-over-Year (YoY) comparisons use equivalent calendar periods from the prior year to ensure seasonal comparability.</w:t>
      </w:r>
    </w:p>
    <w:p>
      <w:pPr>
        <w:spacing w:after="0" w:before="140"/>
      </w:pPr>
    </w:p>
    <w:p>
      <w:pPr>
        <w:pBdr>
          <w:bottom w:val="single" w:color="2E75B6" w:sz="6" w:space="1"/>
        </w:pBdr>
        <w:spacing w:after="100" w:before="280"/>
      </w:pPr>
      <w:r>
        <w:rPr>
          <w:rFonts w:ascii="Arial" w:cs="Arial" w:eastAsia="Arial" w:hAnsi="Arial"/>
          <w:b/>
          <w:bCs/>
          <w:color w:val="1E3A5F"/>
          <w:sz w:val="26"/>
          <w:szCs w:val="26"/>
        </w:rPr>
        <w:t xml:space="preserve">9.2  Data Dictionary — Key Metrics</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88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Metric Name</w:t>
            </w:r>
          </w:p>
        </w:tc>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Definition</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Calculation</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Total Revenue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Net sales value of all completed transactions after discounts and returns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595959"/>
                <w:sz w:val="18"/>
                <w:szCs w:val="18"/>
              </w:rPr>
              <w:t xml:space="preserve">SUM(Net_Sale_Amount)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Profit Margin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Percentage of revenue remaining after all direct and indirect costs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95959"/>
                <w:sz w:val="18"/>
                <w:szCs w:val="18"/>
              </w:rPr>
              <w:t xml:space="preserve">Net_Profit / Net_Revenue × 100</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Avg Order Value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Average revenue per completed sales order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595959"/>
                <w:sz w:val="18"/>
                <w:szCs w:val="18"/>
              </w:rPr>
              <w:t xml:space="preserve">Total_Revenue / Order_Count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Units Sold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Count of individual product units included in completed orders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95959"/>
                <w:sz w:val="18"/>
                <w:szCs w:val="18"/>
              </w:rPr>
              <w:t xml:space="preserve">SUM(Order_Line_Qty)</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Avg Discount Rate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Mean discount percentage applied across all order lines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595959"/>
                <w:sz w:val="18"/>
                <w:szCs w:val="18"/>
              </w:rPr>
              <w:t xml:space="preserve">AVG(Discount_Pct)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Customer LTV</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Cumulative revenue attributed to a single customer account in period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95959"/>
                <w:sz w:val="18"/>
                <w:szCs w:val="18"/>
              </w:rPr>
              <w:t xml:space="preserve">SUM(Revenue) per Customer_ID</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Satisfaction Score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Mean survey score from post-transaction customer feedback</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595959"/>
                <w:sz w:val="18"/>
                <w:szCs w:val="18"/>
              </w:rPr>
              <w:t xml:space="preserve">AVG(Survey_Score) per Segment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YoY Growth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Percentage change vs. equivalent prior-year period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95959"/>
                <w:sz w:val="18"/>
                <w:szCs w:val="18"/>
              </w:rPr>
              <w:t xml:space="preserve">(Current − Prior) / Prior × 100</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9.3  Report Distribution &amp; Governance</w:t>
      </w:r>
    </w:p>
    <w:p>
      <w:pPr>
        <w:spacing w:after="0" w:before="80"/>
      </w:pPr>
    </w:p>
    <w:p>
      <w:pPr>
        <w:spacing w:after="60" w:before="60"/>
      </w:pPr>
      <w:r>
        <w:rPr>
          <w:rFonts w:ascii="Arial" w:cs="Arial" w:eastAsia="Arial" w:hAnsi="Arial"/>
          <w:b w:val="false"/>
          <w:bCs w:val="false"/>
          <w:i w:val="false"/>
          <w:iCs w:val="false"/>
          <w:color w:val="595959"/>
          <w:sz w:val="19"/>
          <w:szCs w:val="19"/>
        </w:rPr>
        <w:t xml:space="preserve">This report is classified CONFIDENTIAL and is generated exclusively for authorized recipients within the executive leadership distribution list. Redistribution, reproduction, or sharing of this report outside the designated recipient list requires prior written approval from the Chief Revenue Officer.</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Report Owner:</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Chief Revenue Officer (CRO)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Report Frequency:</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Monthly — generated on the 5th business day following month close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Distribution List:</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CRO, CFO, COO, Regional VP Sales, Board Analytics Committee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Retention Policy:</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years — archived to SharePoint following distribution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Version:</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v2.1 — SalesView Pro Analytics Engine  |  Question 5 Paginated Report Implementation</w:t>
            </w:r>
          </w:p>
        </w:tc>
      </w:tr>
    </w:tbl>
    <w:p>
      <w:pPr>
        <w:spacing w:after="0" w:before="200"/>
      </w:pPr>
    </w:p>
    <w:p>
      <w:pPr>
        <w:pBdr>
          <w:bottom w:val="single" w:color="F0A500" w:sz="6" w:space="1"/>
        </w:pBdr>
        <w:spacing w:after="120" w:before="120"/>
      </w:pPr>
    </w:p>
    <w:p>
      <w:pPr>
        <w:spacing w:after="0" w:before="80"/>
      </w:pPr>
    </w:p>
    <w:p>
      <w:pPr>
        <w:jc w:val="center"/>
      </w:pPr>
      <w:r>
        <w:rPr>
          <w:rFonts w:ascii="Arial" w:cs="Arial" w:eastAsia="Arial" w:hAnsi="Arial"/>
          <w:b/>
          <w:bCs/>
          <w:color w:val="1E3A5F"/>
          <w:sz w:val="22"/>
          <w:szCs w:val="22"/>
        </w:rPr>
        <w:t xml:space="preserve">— END OF REPORT —</w:t>
      </w:r>
    </w:p>
    <w:p>
      <w:pPr>
        <w:spacing w:after="0" w:before="60"/>
        <w:jc w:val="center"/>
      </w:pPr>
      <w:r>
        <w:rPr>
          <w:rFonts w:ascii="Arial" w:cs="Arial" w:eastAsia="Arial" w:hAnsi="Arial"/>
          <w:i/>
          <w:iCs/>
          <w:color w:val="595959"/>
          <w:sz w:val="16"/>
          <w:szCs w:val="16"/>
        </w:rPr>
        <w:t xml:space="preserve">SalesView Pro Enterprise Sales Analytics Platform  |  All Rights Reserved  |  Confidential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8" w:space="2"/>
      </w:pBdr>
      <w:tabs>
        <w:tab w:val="center" w:pos="4680"/>
        <w:tab w:val="right" w:pos="9026"/>
      </w:tabs>
      <w:spacing w:after="0" w:before="80"/>
    </w:pPr>
    <w:r>
      <w:rPr>
        <w:rFonts w:ascii="Arial" w:cs="Arial" w:eastAsia="Arial" w:hAnsi="Arial"/>
        <w:i/>
        <w:iCs/>
        <w:color w:val="595959"/>
        <w:sz w:val="16"/>
        <w:szCs w:val="16"/>
      </w:rPr>
      <w:t xml:space="preserve">CONFIDENTIAL — For Authorized Recipients Only</w:t>
    </w:r>
    <w:r>
      <w:rPr>
        <w:rFonts w:ascii="Arial" w:cs="Arial" w:eastAsia="Arial" w:hAnsi="Arial"/>
      </w:rPr>
      <w:t xml:space="preserve">	</w:t>
    </w:r>
    <w:r>
      <w:rPr>
        <w:rFonts w:ascii="Arial" w:cs="Arial" w:eastAsia="Arial" w:hAnsi="Arial"/>
        <w:color w:val="595959"/>
        <w:sz w:val="16"/>
        <w:szCs w:val="16"/>
      </w:rPr>
      <w:t xml:space="preserve">Page </w:t>
    </w:r>
    <w:fldSimple w:instr="PAGE"/>
    <w:r>
      <w:rPr>
        <w:rFonts w:ascii="Arial" w:cs="Arial" w:eastAsia="Arial" w:hAnsi="Arial"/>
      </w:rPr>
      <w:t xml:space="preserve">	</w:t>
    </w:r>
    <w:r>
      <w:rPr>
        <w:rFonts w:ascii="Arial" w:cs="Arial" w:eastAsia="Arial" w:hAnsi="Arial"/>
        <w:color w:val="595959"/>
        <w:sz w:val="16"/>
        <w:szCs w:val="16"/>
      </w:rPr>
      <w:t xml:space="preserve">© 2024 SalesView Pro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2"/>
      </w:pBdr>
      <w:tabs>
        <w:tab w:val="right" w:pos="9026"/>
      </w:tabs>
      <w:spacing w:after="80" w:before="0"/>
    </w:pPr>
    <w:r>
      <w:rPr>
        <w:rFonts w:ascii="Arial" w:cs="Arial" w:eastAsia="Arial" w:hAnsi="Arial"/>
        <w:b/>
        <w:bCs/>
        <w:color w:val="1E3A5F"/>
        <w:sz w:val="18"/>
        <w:szCs w:val="18"/>
      </w:rPr>
      <w:t xml:space="preserve">SalesView Pro  |  Enterprise Sales Analytics</w:t>
    </w:r>
    <w:r>
      <w:rPr>
        <w:rFonts w:ascii="Arial" w:cs="Arial" w:eastAsia="Arial" w:hAnsi="Arial"/>
      </w:rPr>
      <w:t xml:space="preserve">	</w:t>
    </w:r>
    <w:r>
      <w:rPr>
        <w:rFonts w:ascii="Arial" w:cs="Arial" w:eastAsia="Arial" w:hAnsi="Arial"/>
        <w:i/>
        <w:iCs/>
        <w:color w:val="595959"/>
        <w:sz w:val="18"/>
        <w:szCs w:val="18"/>
      </w:rPr>
      <w:t xml:space="preserve">Sales Performance Report  —  Paginated Distribution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2026-05-01T11:56:00.975Z</dcterms:created>
  <dcterms:modified xsi:type="dcterms:W3CDTF">2026-05-01T11:56:00.975Z</dcterms:modified>
</cp:coreProperties>
</file>

<file path=docProps/custom.xml><?xml version="1.0" encoding="utf-8"?>
<Properties xmlns="http://schemas.openxmlformats.org/officeDocument/2006/custom-properties" xmlns:vt="http://schemas.openxmlformats.org/officeDocument/2006/docPropsVTypes"/>
</file>