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SALESVIEW PRO</w:t>
            </w:r>
          </w:p>
          <w:p>
            <w:pPr>
              <w:jc w:val="center"/>
            </w:pPr>
            <w:r>
              <w:rPr>
                <w:rFonts w:ascii="Arial" w:cs="Arial" w:eastAsia="Arial" w:hAnsi="Arial"/>
                <w:color w:val="D6E4F0"/>
                <w:sz w:val="24"/>
                <w:szCs w:val="24"/>
              </w:rPr>
              <w:t xml:space="preserve">Enterprise Sales Analytics Platform</w:t>
            </w:r>
          </w:p>
        </w:tc>
      </w:tr>
    </w:tbl>
    <w:p>
      <w:pPr>
        <w:spacing w:after="0" w:before="240"/>
      </w:pPr>
    </w:p>
    <w:p>
      <w:pPr>
        <w:spacing w:after="60" w:before="0"/>
        <w:jc w:val="center"/>
      </w:pPr>
      <w:r>
        <w:rPr>
          <w:rFonts w:ascii="Arial" w:cs="Arial" w:eastAsia="Arial" w:hAnsi="Arial"/>
          <w:b/>
          <w:bCs/>
          <w:color w:val="1E3A5F"/>
          <w:sz w:val="56"/>
          <w:szCs w:val="56"/>
        </w:rPr>
        <w:t xml:space="preserve">COMPREHENSIVE DESIGN DOCUMENTATION</w:t>
      </w:r>
    </w:p>
    <w:p>
      <w:pPr>
        <w:pBdr>
          <w:bottom w:val="single" w:color="F0A500" w:sz="10" w:space="2"/>
        </w:pBdr>
        <w:spacing w:after="0" w:before="0"/>
        <w:jc w:val="center"/>
      </w:pPr>
      <w:r>
        <w:rPr>
          <w:rFonts w:ascii="Arial" w:cs="Arial" w:eastAsia="Arial" w:hAnsi="Arial"/>
          <w:color w:val="2E75B6"/>
          <w:sz w:val="22"/>
          <w:szCs w:val="22"/>
        </w:rPr>
        <w:t xml:space="preserve">Target Audience  •  Visualization Rationale  •  Interaction Design  •  Parameter Decisions  •  Mobile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Document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Design Documentation — Final Integration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Project: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SalesView Pro — Enterprise Sales Analytics Dashboard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Covers: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Q1–Q4 Design Decisions, Mobile Optimization &amp; Parameter Strategy</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 — Final Submission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Classification: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CONFIDENTIAL — Authorized Distribution Only</w:t>
            </w:r>
          </w:p>
        </w:tc>
      </w:tr>
    </w:tbl>
    <w:p>
      <w:r>
        <w:br w:type="page"/>
      </w:r>
    </w:p>
    <w:p>
      <w:pPr>
        <w:pStyle w:val="Heading1"/>
      </w:pPr>
      <w:r>
        <w:rPr>
          <w:rFonts w:ascii="Arial" w:cs="Arial" w:eastAsia="Arial" w:hAnsi="Arial"/>
          <w:b/>
          <w:bCs/>
          <w:color w:val="1E3A5F"/>
          <w:sz w:val="36"/>
          <w:szCs w:val="36"/>
        </w:rPr>
        <w:t xml:space="preserve">Section 1 — Document Overview &amp; Purpose</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This Comprehensive Design Documentation provides a complete record of every significant design decision made during the development of the SalesView Pro Enterprise Sales Analytics Dashboard. It is intended to serve as the authoritative reference for the project team, future developers, and business stakeholders seeking to understand the analytical and experiential rationale behind the solution.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Document Scope</w:t>
            </w:r>
          </w:p>
          <w:p>
            <w:pPr>
              <w:spacing w:after="0" w:before="40"/>
            </w:pPr>
            <w:r>
              <w:rPr>
                <w:rFonts w:ascii="Arial" w:cs="Arial" w:eastAsia="Arial" w:hAnsi="Arial"/>
                <w:color w:val="595959"/>
                <w:sz w:val="18"/>
                <w:szCs w:val="18"/>
              </w:rPr>
              <w:t xml:space="preserve">This document covers: Target audience analysis and user persona definitions, visualization selection rationale for all 15+ visuals across 4 dashboard pages, interaction design strategy including slicer placement and drill-down architecture, parameter design decisions for field parameters and What-If analysis, and mobile optimization design considerations.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1.1  Solution Context</w:t>
      </w:r>
    </w:p>
    <w:p>
      <w:pPr>
        <w:spacing w:after="0" w:before="80"/>
      </w:pPr>
    </w:p>
    <w:p>
      <w:pPr>
        <w:spacing w:after="80" w:before="80"/>
      </w:pPr>
      <w:r>
        <w:rPr>
          <w:rFonts w:ascii="Arial" w:cs="Arial" w:eastAsia="Arial" w:hAnsi="Arial"/>
          <w:b w:val="false"/>
          <w:bCs w:val="false"/>
          <w:color w:val="000000"/>
          <w:sz w:val="20"/>
          <w:szCs w:val="20"/>
        </w:rPr>
        <w:t xml:space="preserve">SalesView Pro was developed to address a fragmented reporting environment where sales data existed across multiple systems with no unified source of truth. The solution consolidates transaction, customer, product, and geographic data into a single, interactive analytical platform that serves diverse user types — from executive leadership requiring at-a-glance KPI summaries to regional managers needing drill-down capability into territory-level detail.</w:t>
      </w:r>
    </w:p>
    <w:p>
      <w:pPr>
        <w:spacing w:after="0" w:before="80"/>
      </w:pPr>
    </w:p>
    <w:p>
      <w:pPr>
        <w:spacing w:after="80" w:before="80"/>
      </w:pPr>
      <w:r>
        <w:rPr>
          <w:rFonts w:ascii="Arial" w:cs="Arial" w:eastAsia="Arial" w:hAnsi="Arial"/>
          <w:b w:val="false"/>
          <w:bCs w:val="false"/>
          <w:color w:val="000000"/>
          <w:sz w:val="20"/>
          <w:szCs w:val="20"/>
        </w:rPr>
        <w:t xml:space="preserve">The dashboard spans four core analytical pages (Sales Overview, Product Analysis, Customer Analysis, Geographic Performance) and is complemented by a Power BI Paginated Report for formal distribution. This document focuses on the design layer — the decisions that shaped the user experience, visual language, and interaction model of the solution.</w:t>
      </w:r>
    </w:p>
    <w:p>
      <w:r>
        <w:br w:type="page"/>
      </w:r>
    </w:p>
    <w:p>
      <w:pPr>
        <w:pStyle w:val="Heading1"/>
      </w:pPr>
      <w:r>
        <w:rPr>
          <w:rFonts w:ascii="Arial" w:cs="Arial" w:eastAsia="Arial" w:hAnsi="Arial"/>
          <w:b/>
          <w:bCs/>
          <w:color w:val="1E3A5F"/>
          <w:sz w:val="36"/>
          <w:szCs w:val="36"/>
        </w:rPr>
        <w:t xml:space="preserve">Section 2 — Target Audience Analysis</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Effective dashboard design begins with a clear understanding of who will use the system, what decisions they need to make, and what constraints they operate under. The following audience analysis informed every layout, visualization, and interaction decision in the SalesView Pro dashboard.</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2.1  Primary User Personas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Persona</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Role Profile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Primary Needs</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Executive Sponsor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 / CFO / COO reviewing monthly performance. Time-poor, mobile-first. Needs instant confidence in headline numbers.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cards, traffic-light status indicators, period-over-period comparisons. Minimal clicks to insight.</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Regional Sales Manager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Manages a geographic territory. Accountable for regional targets. Reviews performance weekly.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drill-down, target vs. actual variance, rep-level performance decomposition.</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Product Category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Owns a product line. Focused on category revenue, margin trends, and discount discipline.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Category trend charts, margin vs. revenue combo visuals, quarterly trend analysis.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Customer Success Manager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Manages key accounts. Monitors satisfaction scores, LTV rankings, and segment health.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 customer tables, satisfaction gauges, segment comparison, drill-through customer detail.</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Data Analyst / BI Developer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Maintains and extends the dashboard. Needs to understand data model, measures, and parameter logic.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Field parameters, What-If configurations, decomposition tree, data dictionary access.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2.2  Analytical Maturity Spectrum</w:t>
      </w:r>
    </w:p>
    <w:p>
      <w:pPr>
        <w:spacing w:after="0" w:before="80"/>
      </w:pPr>
    </w:p>
    <w:p>
      <w:pPr>
        <w:spacing w:after="80" w:before="80"/>
      </w:pPr>
      <w:r>
        <w:rPr>
          <w:rFonts w:ascii="Arial" w:cs="Arial" w:eastAsia="Arial" w:hAnsi="Arial"/>
          <w:b w:val="false"/>
          <w:bCs w:val="false"/>
          <w:color w:val="000000"/>
          <w:sz w:val="20"/>
          <w:szCs w:val="20"/>
        </w:rPr>
        <w:t xml:space="preserve">The SalesView Pro user base spans a wide analytical maturity spectrum. This informed a layered design approach where surface-level insights are immediately visible without interaction, and deeper analysis is progressively available through drill-downs, bookmarks, and parameter switches.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Maturity Level</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User Type</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Design Response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Low — Casual Viewer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Executive sponsors, Board members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Pre-built KPI cards, clear color coding, no required interaction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Medium — Regular User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managers, CSMs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Slicers, bookmarked views, drill-down hierarchies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High — Power User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Analysts, BI developers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Field parameters, What-If, decomposition tree, drill-through</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2.3  Device &amp; Access Context</w:t>
      </w:r>
    </w:p>
    <w:p>
      <w:pPr>
        <w:spacing w:after="0" w:before="80"/>
      </w:pPr>
    </w:p>
    <w:p>
      <w:pPr>
        <w:spacing w:after="80" w:before="80"/>
      </w:pPr>
      <w:r>
        <w:rPr>
          <w:rFonts w:ascii="Arial" w:cs="Arial" w:eastAsia="Arial" w:hAnsi="Arial"/>
          <w:b w:val="false"/>
          <w:bCs w:val="false"/>
          <w:color w:val="000000"/>
          <w:sz w:val="20"/>
          <w:szCs w:val="20"/>
        </w:rPr>
        <w:t xml:space="preserve">Access context analysis conducted during requirements gathering revealed the following device distribution patterns among target users:</w:t>
      </w:r>
    </w:p>
    <w:p>
      <w:pPr>
        <w:spacing w:after="0" w:before="80"/>
      </w:pPr>
    </w:p>
    <w:p>
      <w:pPr>
        <w:pStyle w:val="ListParagraph"/>
        <w:numPr>
          <w:ilvl w:val="0"/>
          <w:numId w:val="2"/>
        </w:numPr>
        <w:spacing w:after="40" w:before="40"/>
      </w:pPr>
      <w:r>
        <w:rPr>
          <w:rFonts w:ascii="Arial" w:cs="Arial" w:eastAsia="Arial" w:hAnsi="Arial"/>
          <w:sz w:val="20"/>
          <w:szCs w:val="20"/>
        </w:rPr>
        <w:t xml:space="preserve">Executive Sponsors: 65% mobile-first access via Power BI mobile app during commutes and travel</w:t>
      </w:r>
    </w:p>
    <w:p>
      <w:pPr>
        <w:pStyle w:val="ListParagraph"/>
        <w:numPr>
          <w:ilvl w:val="0"/>
          <w:numId w:val="2"/>
        </w:numPr>
        <w:spacing w:after="40" w:before="40"/>
      </w:pPr>
      <w:r>
        <w:rPr>
          <w:rFonts w:ascii="Arial" w:cs="Arial" w:eastAsia="Arial" w:hAnsi="Arial"/>
          <w:sz w:val="20"/>
          <w:szCs w:val="20"/>
        </w:rPr>
        <w:t xml:space="preserve">Regional Sales Managers: 70% desktop during weekly review meetings; 30% tablet/mobile in the field</w:t>
      </w:r>
    </w:p>
    <w:p>
      <w:pPr>
        <w:pStyle w:val="ListParagraph"/>
        <w:numPr>
          <w:ilvl w:val="0"/>
          <w:numId w:val="2"/>
        </w:numPr>
        <w:spacing w:after="40" w:before="40"/>
      </w:pPr>
      <w:r>
        <w:rPr>
          <w:rFonts w:ascii="Arial" w:cs="Arial" w:eastAsia="Arial" w:hAnsi="Arial"/>
          <w:sz w:val="20"/>
          <w:szCs w:val="20"/>
        </w:rPr>
        <w:t xml:space="preserve">Product Category Managers: 90% desktop; deep analytical sessions requiring large screen real estate</w:t>
      </w:r>
    </w:p>
    <w:p>
      <w:pPr>
        <w:pStyle w:val="ListParagraph"/>
        <w:numPr>
          <w:ilvl w:val="0"/>
          <w:numId w:val="2"/>
        </w:numPr>
        <w:spacing w:after="40" w:before="40"/>
      </w:pPr>
      <w:r>
        <w:rPr>
          <w:rFonts w:ascii="Arial" w:cs="Arial" w:eastAsia="Arial" w:hAnsi="Arial"/>
          <w:sz w:val="20"/>
          <w:szCs w:val="20"/>
        </w:rPr>
        <w:t xml:space="preserve">Customer Success Managers: 50/50 desktop/mobile split; frequent quick lookups during customer calls</w:t>
      </w:r>
    </w:p>
    <w:p>
      <w:pPr>
        <w:pStyle w:val="ListParagraph"/>
        <w:numPr>
          <w:ilvl w:val="0"/>
          <w:numId w:val="2"/>
        </w:numPr>
        <w:spacing w:after="40" w:before="40"/>
      </w:pPr>
      <w:r>
        <w:rPr>
          <w:rFonts w:ascii="Arial" w:cs="Arial" w:eastAsia="Arial" w:hAnsi="Arial"/>
          <w:sz w:val="20"/>
          <w:szCs w:val="20"/>
        </w:rPr>
        <w:t xml:space="preserve">Data Analysts: 100% desktop; extended sessions requiring full interaction capability</w:t>
      </w:r>
    </w:p>
    <w:p>
      <w:pPr>
        <w:spacing w:after="0" w:before="80"/>
      </w:pPr>
    </w:p>
    <w:p>
      <w:pPr>
        <w:spacing w:after="80" w:before="80"/>
      </w:pPr>
      <w:r>
        <w:rPr>
          <w:rFonts w:ascii="Arial" w:cs="Arial" w:eastAsia="Arial" w:hAnsi="Arial"/>
          <w:b w:val="false"/>
          <w:bCs w:val="false"/>
          <w:color w:val="000000"/>
          <w:sz w:val="20"/>
          <w:szCs w:val="20"/>
        </w:rPr>
        <w:t xml:space="preserve">This distribution drove the decision to implement a dedicated mobile layout for the Sales Overview page — the most universally accessed page — while optimizing all other pages primarily for desktop with responsive fallback.</w:t>
      </w:r>
    </w:p>
    <w:p>
      <w:r>
        <w:br w:type="page"/>
      </w:r>
    </w:p>
    <w:p>
      <w:pPr>
        <w:pStyle w:val="Heading1"/>
      </w:pPr>
      <w:r>
        <w:rPr>
          <w:rFonts w:ascii="Arial" w:cs="Arial" w:eastAsia="Arial" w:hAnsi="Arial"/>
          <w:b/>
          <w:bCs/>
          <w:color w:val="1E3A5F"/>
          <w:sz w:val="36"/>
          <w:szCs w:val="36"/>
        </w:rPr>
        <w:t xml:space="preserve">Section 3 — Visualization Selection &amp; Rationale</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Every visualization in the SalesView Pro dashboard was selected based on a deliberate match between data characteristics, analytical task, and user mental model. The following principles guided all visualization decisions:</w:t>
      </w:r>
    </w:p>
    <w:p>
      <w:pPr>
        <w:spacing w:after="0" w:before="80"/>
      </w:pPr>
    </w:p>
    <w:p>
      <w:pPr>
        <w:pStyle w:val="ListParagraph"/>
        <w:numPr>
          <w:ilvl w:val="0"/>
          <w:numId w:val="2"/>
        </w:numPr>
        <w:spacing w:after="40" w:before="40"/>
      </w:pPr>
      <w:r>
        <w:rPr>
          <w:rFonts w:ascii="Arial" w:cs="Arial" w:eastAsia="Arial" w:hAnsi="Arial"/>
          <w:sz w:val="20"/>
          <w:szCs w:val="20"/>
        </w:rPr>
        <w:t xml:space="preserve">Appropriate encoding: use spatial position for quantitative comparison, length for ranking, color for categorical distinction</w:t>
      </w:r>
    </w:p>
    <w:p>
      <w:pPr>
        <w:pStyle w:val="ListParagraph"/>
        <w:numPr>
          <w:ilvl w:val="0"/>
          <w:numId w:val="2"/>
        </w:numPr>
        <w:spacing w:after="40" w:before="40"/>
      </w:pPr>
      <w:r>
        <w:rPr>
          <w:rFonts w:ascii="Arial" w:cs="Arial" w:eastAsia="Arial" w:hAnsi="Arial"/>
          <w:sz w:val="20"/>
          <w:szCs w:val="20"/>
        </w:rPr>
        <w:t xml:space="preserve">Cognitive load minimization: reduce chart junk, use consistent color semantics (blue = actual, green = positive, red = negative)</w:t>
      </w:r>
    </w:p>
    <w:p>
      <w:pPr>
        <w:pStyle w:val="ListParagraph"/>
        <w:numPr>
          <w:ilvl w:val="0"/>
          <w:numId w:val="2"/>
        </w:numPr>
        <w:spacing w:after="40" w:before="40"/>
      </w:pPr>
      <w:r>
        <w:rPr>
          <w:rFonts w:ascii="Arial" w:cs="Arial" w:eastAsia="Arial" w:hAnsi="Arial"/>
          <w:sz w:val="20"/>
          <w:szCs w:val="20"/>
        </w:rPr>
        <w:t xml:space="preserve">Task alignment: match visual type to the specific analytical question each page is designed to answer</w:t>
      </w:r>
    </w:p>
    <w:p>
      <w:pPr>
        <w:pStyle w:val="ListParagraph"/>
        <w:numPr>
          <w:ilvl w:val="0"/>
          <w:numId w:val="2"/>
        </w:numPr>
        <w:spacing w:after="40" w:before="40"/>
      </w:pPr>
      <w:r>
        <w:rPr>
          <w:rFonts w:ascii="Arial" w:cs="Arial" w:eastAsia="Arial" w:hAnsi="Arial"/>
          <w:sz w:val="20"/>
          <w:szCs w:val="20"/>
        </w:rPr>
        <w:t xml:space="preserve">Progressive complexity: simpler visuals on overview pages, advanced analytics on detail pages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3.1  Sales Overview Page — Visualization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Visual</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Analytical Purpose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Selection Rationale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KPI Cards (4x)</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Card Visual</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Instant top-line health check — Revenue, Orders, Margin, AOV</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Cards provide the fastest time-to-insight for executive users. Pre-attentive processing means metrics are read before the user actively engages.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Revenue by Year &amp; Quarter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Clustered Column / Line Combo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Tracks revenue trajectory and identifies seasonal patterns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Column chart encodes volume clearly; overlaid line for profit margin shows relationship without a separate visual. Dual-axis reduces dashboard footprint.</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Sales by Channel</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Donut Chart with Legend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Shows proportional channel contribution at a glance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Donut chosen over bar for part-of-whole composition. Kept to 4 slices maximum to avoid perceptual degradation.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Sales by Region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Map or Bar Chart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Geographic distribution of revenue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Provides spatial context that resonates with regionally accountable managers. Bar fallback for users without geographic features enabled.</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Target vs. Actual vs. Budget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Bullet Chart / Grouped Bar</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Performance governance — are we on track?</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Bullet chart is the most space-efficient way to show actual vs. target vs. range in a single visual. Critical for executive governance reporting.</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3.2  Advanced Visualization Decisions</w:t>
      </w:r>
    </w:p>
    <w:p>
      <w:pPr>
        <w:spacing w:after="0" w:before="80"/>
      </w:pPr>
    </w:p>
    <w:p>
      <w:pPr>
        <w:pStyle w:val="Heading3"/>
      </w:pPr>
      <w:r>
        <w:rPr>
          <w:rFonts w:ascii="Arial" w:cs="Arial" w:eastAsia="Arial" w:hAnsi="Arial"/>
          <w:b/>
          <w:bCs/>
          <w:color w:val="595959"/>
          <w:sz w:val="22"/>
          <w:szCs w:val="22"/>
        </w:rPr>
        <w:t xml:space="preserve">3.2.1  Decomposition Tree (Product Analysis Page)</w:t>
      </w:r>
    </w:p>
    <w:p>
      <w:pPr>
        <w:spacing w:after="80" w:before="80"/>
      </w:pPr>
      <w:r>
        <w:rPr>
          <w:rFonts w:ascii="Arial" w:cs="Arial" w:eastAsia="Arial" w:hAnsi="Arial"/>
          <w:b w:val="false"/>
          <w:bCs w:val="false"/>
          <w:color w:val="000000"/>
          <w:sz w:val="20"/>
          <w:szCs w:val="20"/>
        </w:rPr>
        <w:t xml:space="preserve">The Decomposition Tree was selected as the primary analytical tool on the Product Analysis page to enable users to explore what is driving total revenue through any combination of dimensions — product category, region, sales rep, or time period — without requiring predefined hierarchies. This supports the discovery of unexpected drivers that static reports cannot surface.</w:t>
      </w:r>
    </w:p>
    <w:p>
      <w:pPr>
        <w:spacing w:after="0" w:before="80"/>
      </w:pPr>
    </w:p>
    <w:p>
      <w:pPr>
        <w:spacing w:after="80" w:before="80"/>
      </w:pPr>
      <w:r>
        <w:rPr>
          <w:rFonts w:ascii="Arial" w:cs="Arial" w:eastAsia="Arial" w:hAnsi="Arial"/>
          <w:b w:val="false"/>
          <w:bCs w:val="false"/>
          <w:color w:val="000000"/>
          <w:sz w:val="20"/>
          <w:szCs w:val="20"/>
        </w:rPr>
        <w:t xml:space="preserve">Configuration decisions: AI splits were enabled to allow the visual to automatically surface the most explanatory dimension at each level. The initial anchor measure was set to Total Revenue with Category as the first recommended split, reflecting the most common analytical entry point for product managers.</w:t>
      </w:r>
    </w:p>
    <w:p>
      <w:pPr>
        <w:spacing w:after="0" w:before="80"/>
      </w:pPr>
    </w:p>
    <w:p>
      <w:pPr>
        <w:pStyle w:val="Heading3"/>
      </w:pPr>
      <w:r>
        <w:rPr>
          <w:rFonts w:ascii="Arial" w:cs="Arial" w:eastAsia="Arial" w:hAnsi="Arial"/>
          <w:b/>
          <w:bCs/>
          <w:color w:val="595959"/>
          <w:sz w:val="22"/>
          <w:szCs w:val="22"/>
        </w:rPr>
        <w:t xml:space="preserve">3.2.2  Key Influencers Visual (Customer Analysis Page)</w:t>
      </w:r>
    </w:p>
    <w:p>
      <w:pPr>
        <w:spacing w:after="80" w:before="80"/>
      </w:pPr>
      <w:r>
        <w:rPr>
          <w:rFonts w:ascii="Arial" w:cs="Arial" w:eastAsia="Arial" w:hAnsi="Arial"/>
          <w:b w:val="false"/>
          <w:bCs w:val="false"/>
          <w:color w:val="000000"/>
          <w:sz w:val="20"/>
          <w:szCs w:val="20"/>
        </w:rPr>
        <w:t xml:space="preserve">Key Influencers was deployed on the Customer Analysis page to answer the question that most CSMs cannot easily answer from tabular data: What factors most strongly predict a customer's satisfaction score or likelihood to churn? The AI-powered visual automatically identifies and ranks the factors (market segment, discount rate, promotion usage) that increase or decrease the target metric.</w:t>
      </w:r>
    </w:p>
    <w:p>
      <w:pPr>
        <w:spacing w:after="0" w:before="80"/>
      </w:pPr>
    </w:p>
    <w:p>
      <w:pPr>
        <w:spacing w:after="80" w:before="80"/>
      </w:pPr>
      <w:r>
        <w:rPr>
          <w:rFonts w:ascii="Arial" w:cs="Arial" w:eastAsia="Arial" w:hAnsi="Arial"/>
          <w:b w:val="false"/>
          <w:bCs w:val="false"/>
          <w:color w:val="000000"/>
          <w:sz w:val="20"/>
          <w:szCs w:val="20"/>
        </w:rPr>
        <w:t xml:space="preserve">This visual was positioned on the Customer Analysis page specifically because it provides automated insight discovery that would otherwise require regression analysis — making sophisticated statistical reasoning accessible to non-technical users.</w:t>
      </w:r>
    </w:p>
    <w:p>
      <w:pPr>
        <w:spacing w:after="0" w:before="80"/>
      </w:pPr>
    </w:p>
    <w:p>
      <w:pPr>
        <w:pStyle w:val="Heading3"/>
      </w:pPr>
      <w:r>
        <w:rPr>
          <w:rFonts w:ascii="Arial" w:cs="Arial" w:eastAsia="Arial" w:hAnsi="Arial"/>
          <w:b/>
          <w:bCs/>
          <w:color w:val="595959"/>
          <w:sz w:val="22"/>
          <w:szCs w:val="22"/>
        </w:rPr>
        <w:t xml:space="preserve">3.2.3  Waterfall Chart (Sales Overview — Budget Bridge)</w:t>
      </w:r>
    </w:p>
    <w:p>
      <w:pPr>
        <w:spacing w:after="80" w:before="80"/>
      </w:pPr>
      <w:r>
        <w:rPr>
          <w:rFonts w:ascii="Arial" w:cs="Arial" w:eastAsia="Arial" w:hAnsi="Arial"/>
          <w:b w:val="false"/>
          <w:bCs w:val="false"/>
          <w:color w:val="000000"/>
          <w:sz w:val="20"/>
          <w:szCs w:val="20"/>
        </w:rPr>
        <w:t xml:space="preserve">The Waterfall Chart was used to visualize the step-by-step journey from Total Revenue to Net Profit, making the P&amp;L narrative immediately accessible without requiring users to read financial statements. Green bars represent revenue inflows; red bars represent cost deductions; the final bar shows Net Profit. This encoding follows universal financial reporting conventions, minimizing the learning curve for financial stakeholders.</w:t>
      </w:r>
    </w:p>
    <w:p>
      <w:r>
        <w:br w:type="page"/>
      </w:r>
    </w:p>
    <w:p>
      <w:pPr>
        <w:pStyle w:val="Heading1"/>
      </w:pPr>
      <w:r>
        <w:rPr>
          <w:rFonts w:ascii="Arial" w:cs="Arial" w:eastAsia="Arial" w:hAnsi="Arial"/>
          <w:b/>
          <w:bCs/>
          <w:color w:val="1E3A5F"/>
          <w:sz w:val="36"/>
          <w:szCs w:val="36"/>
        </w:rPr>
        <w:t xml:space="preserve">Section 4 — Interaction Design Strategy</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The interaction design of SalesView Pro was guided by three core principles: discoverability (users can find filtering and drill-down capabilities without training), consistency (interaction patterns are identical across all four pages), and reversibility (every filter and selection is easily undoable to prevent user anxiety about exploration).</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4.1  Slicer Placement Strategy</w:t>
      </w:r>
    </w:p>
    <w:p>
      <w:pPr>
        <w:spacing w:after="0" w:before="80"/>
      </w:pPr>
    </w:p>
    <w:p>
      <w:pPr>
        <w:spacing w:after="80" w:before="80"/>
      </w:pPr>
      <w:r>
        <w:rPr>
          <w:rFonts w:ascii="Arial" w:cs="Arial" w:eastAsia="Arial" w:hAnsi="Arial"/>
          <w:b w:val="false"/>
          <w:bCs w:val="false"/>
          <w:color w:val="000000"/>
          <w:sz w:val="20"/>
          <w:szCs w:val="20"/>
        </w:rPr>
        <w:t xml:space="preserve">A total of 7 slicers were implemented across the dashboard, organized into two tiers:</w:t>
      </w:r>
    </w:p>
    <w:p>
      <w:pPr>
        <w:spacing w:after="0" w:before="80"/>
      </w:pPr>
    </w:p>
    <w:p>
      <w:pPr>
        <w:spacing w:after="80" w:before="80"/>
      </w:pPr>
      <w:r>
        <w:rPr>
          <w:rFonts w:ascii="Arial" w:cs="Arial" w:eastAsia="Arial" w:hAnsi="Arial"/>
          <w:b/>
          <w:bCs/>
          <w:color w:val="1E3A5F"/>
          <w:sz w:val="20"/>
          <w:szCs w:val="20"/>
        </w:rPr>
        <w:t xml:space="preserve">Global Filter Panel (Top of every page)</w:t>
      </w:r>
    </w:p>
    <w:p>
      <w:pPr>
        <w:pStyle w:val="ListParagraph"/>
        <w:numPr>
          <w:ilvl w:val="0"/>
          <w:numId w:val="2"/>
        </w:numPr>
        <w:spacing w:after="40" w:before="40"/>
      </w:pPr>
      <w:r>
        <w:rPr>
          <w:rFonts w:ascii="Arial" w:cs="Arial" w:eastAsia="Arial" w:hAnsi="Arial"/>
          <w:sz w:val="20"/>
          <w:szCs w:val="20"/>
        </w:rPr>
        <w:t xml:space="preserve">Year slicer — affects all visuals across the active page</w:t>
      </w:r>
    </w:p>
    <w:p>
      <w:pPr>
        <w:pStyle w:val="ListParagraph"/>
        <w:numPr>
          <w:ilvl w:val="0"/>
          <w:numId w:val="2"/>
        </w:numPr>
        <w:spacing w:after="40" w:before="40"/>
      </w:pPr>
      <w:r>
        <w:rPr>
          <w:rFonts w:ascii="Arial" w:cs="Arial" w:eastAsia="Arial" w:hAnsi="Arial"/>
          <w:sz w:val="20"/>
          <w:szCs w:val="20"/>
        </w:rPr>
        <w:t xml:space="preserve">Region slicer — filters all geographically relevant visuals</w:t>
      </w:r>
    </w:p>
    <w:p>
      <w:pPr>
        <w:pStyle w:val="ListParagraph"/>
        <w:numPr>
          <w:ilvl w:val="0"/>
          <w:numId w:val="2"/>
        </w:numPr>
        <w:spacing w:after="40" w:before="40"/>
      </w:pPr>
      <w:r>
        <w:rPr>
          <w:rFonts w:ascii="Arial" w:cs="Arial" w:eastAsia="Arial" w:hAnsi="Arial"/>
          <w:sz w:val="20"/>
          <w:szCs w:val="20"/>
        </w:rPr>
        <w:t xml:space="preserve">Product Category slicer — scopes all category-dependent visuals</w:t>
      </w:r>
    </w:p>
    <w:p>
      <w:pPr>
        <w:spacing w:after="0" w:before="80"/>
      </w:pPr>
    </w:p>
    <w:p>
      <w:pPr>
        <w:spacing w:after="80" w:before="80"/>
      </w:pPr>
      <w:r>
        <w:rPr>
          <w:rFonts w:ascii="Arial" w:cs="Arial" w:eastAsia="Arial" w:hAnsi="Arial"/>
          <w:b/>
          <w:bCs/>
          <w:color w:val="1E3A5F"/>
          <w:sz w:val="20"/>
          <w:szCs w:val="20"/>
        </w:rPr>
        <w:t xml:space="preserve">Page-Specific Filters (Contextual, right panel or top-right)</w:t>
      </w:r>
    </w:p>
    <w:p>
      <w:pPr>
        <w:pStyle w:val="ListParagraph"/>
        <w:numPr>
          <w:ilvl w:val="0"/>
          <w:numId w:val="2"/>
        </w:numPr>
        <w:spacing w:after="40" w:before="40"/>
      </w:pPr>
      <w:r>
        <w:rPr>
          <w:rFonts w:ascii="Arial" w:cs="Arial" w:eastAsia="Arial" w:hAnsi="Arial"/>
          <w:sz w:val="20"/>
          <w:szCs w:val="20"/>
        </w:rPr>
        <w:t xml:space="preserve">Sales Overview: Sales Channel slicer for channel-mix analysis</w:t>
      </w:r>
    </w:p>
    <w:p>
      <w:pPr>
        <w:pStyle w:val="ListParagraph"/>
        <w:numPr>
          <w:ilvl w:val="0"/>
          <w:numId w:val="2"/>
        </w:numPr>
        <w:spacing w:after="40" w:before="40"/>
      </w:pPr>
      <w:r>
        <w:rPr>
          <w:rFonts w:ascii="Arial" w:cs="Arial" w:eastAsia="Arial" w:hAnsi="Arial"/>
          <w:sz w:val="20"/>
          <w:szCs w:val="20"/>
        </w:rPr>
        <w:t xml:space="preserve">Product Analysis: Subcategory slicer for granular category drill-down</w:t>
      </w:r>
    </w:p>
    <w:p>
      <w:pPr>
        <w:pStyle w:val="ListParagraph"/>
        <w:numPr>
          <w:ilvl w:val="0"/>
          <w:numId w:val="2"/>
        </w:numPr>
        <w:spacing w:after="40" w:before="40"/>
      </w:pPr>
      <w:r>
        <w:rPr>
          <w:rFonts w:ascii="Arial" w:cs="Arial" w:eastAsia="Arial" w:hAnsi="Arial"/>
          <w:sz w:val="20"/>
          <w:szCs w:val="20"/>
        </w:rPr>
        <w:t xml:space="preserve">Customer Analysis: Customer Segment slicer (Business / Consumer / Enterprise)</w:t>
      </w:r>
    </w:p>
    <w:p>
      <w:pPr>
        <w:pStyle w:val="ListParagraph"/>
        <w:numPr>
          <w:ilvl w:val="0"/>
          <w:numId w:val="2"/>
        </w:numPr>
        <w:spacing w:after="40" w:before="40"/>
      </w:pPr>
      <w:r>
        <w:rPr>
          <w:rFonts w:ascii="Arial" w:cs="Arial" w:eastAsia="Arial" w:hAnsi="Arial"/>
          <w:sz w:val="20"/>
          <w:szCs w:val="20"/>
        </w:rPr>
        <w:t xml:space="preserve">Geographic Performance: Country multi-select slicer</w:t>
      </w:r>
    </w:p>
    <w:p>
      <w:pPr>
        <w:spacing w:after="0" w:before="80"/>
      </w:pPr>
    </w:p>
    <w:p>
      <w:pPr>
        <w:spacing w:after="80" w:before="80"/>
      </w:pPr>
      <w:r>
        <w:rPr>
          <w:rFonts w:ascii="Arial" w:cs="Arial" w:eastAsia="Arial" w:hAnsi="Arial"/>
          <w:b w:val="false"/>
          <w:bCs w:val="false"/>
          <w:color w:val="000000"/>
          <w:sz w:val="20"/>
          <w:szCs w:val="20"/>
        </w:rPr>
        <w:t xml:space="preserve">Slicer interaction scope was configured using Power BI's Edit Interactions feature. Global slicers affect all visuals. Page-specific slicers affect only contextually relevant visuals to prevent confusing empty states when cross-filtering would logically exclude all data.</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4.2  Drill-Down Hierarchy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Hierarchy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Levels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Visual</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Navigation Pattern</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Geographic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 → Country → City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Map Visual / Bar Chart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 bar/map region to drill down. Header breadcrumb shows current level. Up-arrow to ascend.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Product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Category → Subcategory → Product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Column Chart / Matrix</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Double-click column to drill into subcategory. Drill-up button in visual header restores parent level.</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 → Quarter → Month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Line / Area Chart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Expand hierarchy button shows all levels simultaneously. Drill-down collapses to selected period.</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4.3  Drill-Through Page Design</w:t>
      </w:r>
    </w:p>
    <w:p>
      <w:pPr>
        <w:spacing w:after="0" w:before="80"/>
      </w:pPr>
    </w:p>
    <w:p>
      <w:pPr>
        <w:spacing w:after="80" w:before="80"/>
      </w:pPr>
      <w:r>
        <w:rPr>
          <w:rFonts w:ascii="Arial" w:cs="Arial" w:eastAsia="Arial" w:hAnsi="Arial"/>
          <w:b w:val="false"/>
          <w:bCs w:val="false"/>
          <w:color w:val="000000"/>
          <w:sz w:val="20"/>
          <w:szCs w:val="20"/>
        </w:rPr>
        <w:t xml:space="preserve">A dedicated drill-through page was implemented to provide contextual detail on demand without cluttering the main analytical pages. The page is accessible by right-clicking any customer name, product, or regional data point and selecting 'Drill Through' from the context menu.</w:t>
      </w:r>
    </w:p>
    <w:p>
      <w:pPr>
        <w:spacing w:after="0" w:before="80"/>
      </w:pPr>
    </w:p>
    <w:p>
      <w:pPr>
        <w:spacing w:after="80" w:before="80"/>
      </w:pPr>
      <w:r>
        <w:rPr>
          <w:rFonts w:ascii="Arial" w:cs="Arial" w:eastAsia="Arial" w:hAnsi="Arial"/>
          <w:b w:val="false"/>
          <w:bCs w:val="false"/>
          <w:color w:val="000000"/>
          <w:sz w:val="20"/>
          <w:szCs w:val="20"/>
        </w:rPr>
        <w:t xml:space="preserve">The drill-through page presents: a contextual title dynamically updated to reflect the selected filter context, a mini KPI summary scoped to the drill-through subject, a trend chart showing the selected entity's performance over time, a top customers or top products table relevant to the context, and a prominent Back button implemented as a bookmark navigation button that returns the user to their previous page state — including restoring any slicer selections active before drill-through.</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4.4  Bookmark Configuration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Bookmark Name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State Captured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Trigger Button</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Analytical Purpose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Overview View</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page state — all slicers cleared, standard KPI layout visible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Reset / Overview button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Provides a reliable 'home base' that users can return to after exploration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YTD Focus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 slicer set to current year, all other filters cleared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YTD button (Sales Overview)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Fast access to the most commonly requested performance view for executive check-ins</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Executive Summary</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cards maximized, trend charts hidden, clean print-ready layout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Executive View toggle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Enables a presentation-ready layout for screen-share or boardroom display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Regional Comparison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 slicer showing all regions side-by-side in expanded bar 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Compare Regions button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Activates a comparative layout unavailable in the default drilled-down view</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Budget View</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vs. Actual visual maximized, trend chart hidden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Budget button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Focuses attention on variance analysis for finance governance discussions</w:t>
            </w:r>
          </w:p>
        </w:tc>
      </w:tr>
    </w:tbl>
    <w:p>
      <w:r>
        <w:br w:type="page"/>
      </w:r>
    </w:p>
    <w:p>
      <w:pPr>
        <w:pStyle w:val="Heading1"/>
      </w:pPr>
      <w:r>
        <w:rPr>
          <w:rFonts w:ascii="Arial" w:cs="Arial" w:eastAsia="Arial" w:hAnsi="Arial"/>
          <w:b/>
          <w:bCs/>
          <w:color w:val="1E3A5F"/>
          <w:sz w:val="36"/>
          <w:szCs w:val="36"/>
        </w:rPr>
        <w:t xml:space="preserve">Section 5 — Parameter Design Decisions</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Dynamic parameters were implemented in SalesView Pro to allow users to customize their analytical perspective without requiring separate dashboard pages or predefined views. The following section documents the decision-making process behind each parameter.</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5.1  Field Parameter 1 — Measure Selector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Parameter Name: Select Measure</w:t>
            </w:r>
          </w:p>
          <w:p>
            <w:pPr>
              <w:spacing w:after="0" w:before="40"/>
            </w:pPr>
            <w:r>
              <w:rPr>
                <w:rFonts w:ascii="Arial" w:cs="Arial" w:eastAsia="Arial" w:hAnsi="Arial"/>
                <w:color w:val="595959"/>
                <w:sz w:val="18"/>
                <w:szCs w:val="18"/>
              </w:rPr>
              <w:t xml:space="preserve">Available options: Total Revenue | Total Profit | Profit Margin % | Units Sold | Average Order Value | Discount Rate. Default: Total Revenue. Scope: Sales Overview and Product Analysis pages.</w:t>
            </w:r>
          </w:p>
        </w:tc>
      </w:tr>
    </w:tbl>
    <w:p>
      <w:pPr>
        <w:spacing w:after="0" w:before="120"/>
      </w:pPr>
    </w:p>
    <w:p>
      <w:pPr>
        <w:spacing w:after="80" w:before="80"/>
      </w:pPr>
      <w:r>
        <w:rPr>
          <w:rFonts w:ascii="Arial" w:cs="Arial" w:eastAsia="Arial" w:hAnsi="Arial"/>
          <w:b/>
          <w:bCs/>
          <w:color w:val="1E3A5F"/>
          <w:sz w:val="20"/>
          <w:szCs w:val="20"/>
        </w:rPr>
        <w:t xml:space="preserve">Design Rationale:</w:t>
      </w:r>
    </w:p>
    <w:p>
      <w:pPr>
        <w:spacing w:after="80" w:before="80"/>
      </w:pPr>
      <w:r>
        <w:rPr>
          <w:rFonts w:ascii="Arial" w:cs="Arial" w:eastAsia="Arial" w:hAnsi="Arial"/>
          <w:b w:val="false"/>
          <w:bCs w:val="false"/>
          <w:color w:val="000000"/>
          <w:sz w:val="20"/>
          <w:szCs w:val="20"/>
        </w:rPr>
        <w:t xml:space="preserve">Different stakeholders measure 'performance' differently. The CRO prioritizes total revenue; the CFO focuses on profit margin; the supply chain team watches units sold. Rather than building separate pages for each stakeholder type — which would fragment the user base and multiply maintenance overhead — a single Measure Selector field parameter allows any user to reframe the exact same visual set through their preferred performance lens.</w:t>
      </w:r>
    </w:p>
    <w:p>
      <w:pPr>
        <w:spacing w:after="0" w:before="80"/>
      </w:pPr>
    </w:p>
    <w:p>
      <w:pPr>
        <w:spacing w:after="80" w:before="80"/>
      </w:pPr>
      <w:r>
        <w:rPr>
          <w:rFonts w:ascii="Arial" w:cs="Arial" w:eastAsia="Arial" w:hAnsi="Arial"/>
          <w:b w:val="false"/>
          <w:bCs w:val="false"/>
          <w:color w:val="000000"/>
          <w:sz w:val="20"/>
          <w:szCs w:val="20"/>
        </w:rPr>
        <w:t xml:space="preserve">Dynamic title implementation: All chart titles include a DAX expression that reads the active measure selection and updates the title accordingly — e.g., 'Revenue by Region' becomes 'Profit Margin by Region' when the measure is switched. This prevents users from misinterpreting which metric a visual is displaying.</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5.2  Field Parameter 2 — Dimension Selector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Parameter Name: Select Dimension</w:t>
            </w:r>
          </w:p>
          <w:p>
            <w:pPr>
              <w:spacing w:after="0" w:before="40"/>
            </w:pPr>
            <w:r>
              <w:rPr>
                <w:rFonts w:ascii="Arial" w:cs="Arial" w:eastAsia="Arial" w:hAnsi="Arial"/>
                <w:color w:val="595959"/>
                <w:sz w:val="18"/>
                <w:szCs w:val="18"/>
              </w:rPr>
              <w:t xml:space="preserve">Available options: Product Category | Customer Segment | Sales Channel | Sales Rep | Region. Default: Product Category. Scope: Product Analysis and Customer Analysis pages.</w:t>
            </w:r>
          </w:p>
        </w:tc>
      </w:tr>
    </w:tbl>
    <w:p>
      <w:pPr>
        <w:spacing w:after="0" w:before="120"/>
      </w:pPr>
    </w:p>
    <w:p>
      <w:pPr>
        <w:spacing w:after="80" w:before="80"/>
      </w:pPr>
      <w:r>
        <w:rPr>
          <w:rFonts w:ascii="Arial" w:cs="Arial" w:eastAsia="Arial" w:hAnsi="Arial"/>
          <w:b/>
          <w:bCs/>
          <w:color w:val="1E3A5F"/>
          <w:sz w:val="20"/>
          <w:szCs w:val="20"/>
        </w:rPr>
        <w:t xml:space="preserve">Design Rationale:</w:t>
      </w:r>
    </w:p>
    <w:p>
      <w:pPr>
        <w:spacing w:after="80" w:before="80"/>
      </w:pPr>
      <w:r>
        <w:rPr>
          <w:rFonts w:ascii="Arial" w:cs="Arial" w:eastAsia="Arial" w:hAnsi="Arial"/>
          <w:b w:val="false"/>
          <w:bCs w:val="false"/>
          <w:color w:val="000000"/>
          <w:sz w:val="20"/>
          <w:szCs w:val="20"/>
        </w:rPr>
        <w:t xml:space="preserve">The Dimension Selector addresses a common analytical need: viewing the same metric cut by different dimensions to identify which grouping reveals the most meaningful patterns. For example, a product manager might want to see Profit Margin by Product Category, then immediately reframe to Profit Margin by Sales Rep to diagnose whether margin issues are product-driven or rep-driven. The parameter enables this exploration without page navigation.</w:t>
      </w:r>
    </w:p>
    <w:p>
      <w:pPr>
        <w:spacing w:after="0" w:before="80"/>
      </w:pPr>
    </w:p>
    <w:p>
      <w:pPr>
        <w:spacing w:after="80" w:before="80"/>
      </w:pPr>
      <w:r>
        <w:rPr>
          <w:rFonts w:ascii="Arial" w:cs="Arial" w:eastAsia="Arial" w:hAnsi="Arial"/>
          <w:b w:val="false"/>
          <w:bCs w:val="false"/>
          <w:color w:val="000000"/>
          <w:sz w:val="20"/>
          <w:szCs w:val="20"/>
        </w:rPr>
        <w:t xml:space="preserve">The axis labels, legend, and chart tooltip configurations all respond to the dimension selection using SELECTEDVALUE() DAX expressions, ensuring the visual remains fully self-describing at any parameter combination.</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5.3  What-If Parameter — Price Increase Impact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Parameter Name: Price Increase %</w:t>
            </w:r>
          </w:p>
          <w:p>
            <w:pPr>
              <w:spacing w:after="0" w:before="40"/>
            </w:pPr>
            <w:r>
              <w:rPr>
                <w:rFonts w:ascii="Arial" w:cs="Arial" w:eastAsia="Arial" w:hAnsi="Arial"/>
                <w:color w:val="595959"/>
                <w:sz w:val="18"/>
                <w:szCs w:val="18"/>
              </w:rPr>
              <w:t xml:space="preserve">Range: 0% to 30% in 1% increments. Default: 10%. Driven by: Slider control on the Sales Overview page. Output measures: Adjusted Revenue, Adjusted Profit, Adjusted Margin %. Scope: Sales Overview What-If analysis panel.</w:t>
            </w:r>
          </w:p>
        </w:tc>
      </w:tr>
    </w:tbl>
    <w:p>
      <w:pPr>
        <w:spacing w:after="0" w:before="120"/>
      </w:pPr>
    </w:p>
    <w:p>
      <w:pPr>
        <w:spacing w:after="80" w:before="80"/>
      </w:pPr>
      <w:r>
        <w:rPr>
          <w:rFonts w:ascii="Arial" w:cs="Arial" w:eastAsia="Arial" w:hAnsi="Arial"/>
          <w:b/>
          <w:bCs/>
          <w:color w:val="1E3A5F"/>
          <w:sz w:val="20"/>
          <w:szCs w:val="20"/>
        </w:rPr>
        <w:t xml:space="preserve">Design Rationale:</w:t>
      </w:r>
    </w:p>
    <w:p>
      <w:pPr>
        <w:spacing w:after="80" w:before="80"/>
      </w:pPr>
      <w:r>
        <w:rPr>
          <w:rFonts w:ascii="Arial" w:cs="Arial" w:eastAsia="Arial" w:hAnsi="Arial"/>
          <w:b w:val="false"/>
          <w:bCs w:val="false"/>
          <w:color w:val="000000"/>
          <w:sz w:val="20"/>
          <w:szCs w:val="20"/>
        </w:rPr>
        <w:t xml:space="preserve">Pricing decisions are among the highest-impact choices available to sales leadership, but their downstream effects on revenue and profit are difficult to reason about intuitively. The Price Increase What-If parameter creates a safe analytical sandbox where executives can explore the theoretical impact of price changes before committing to strategy.</w:t>
      </w:r>
    </w:p>
    <w:p>
      <w:pPr>
        <w:spacing w:after="0" w:before="80"/>
      </w:pPr>
    </w:p>
    <w:p>
      <w:pPr>
        <w:spacing w:after="80" w:before="80"/>
      </w:pPr>
      <w:r>
        <w:rPr>
          <w:rFonts w:ascii="Arial" w:cs="Arial" w:eastAsia="Arial" w:hAnsi="Arial"/>
          <w:b w:val="false"/>
          <w:bCs w:val="false"/>
          <w:color w:val="000000"/>
          <w:sz w:val="20"/>
          <w:szCs w:val="20"/>
        </w:rPr>
        <w:t xml:space="preserve">The parameter was deliberately constrained to 0–30% to prevent unrealistic scenarios that could create misleading confidence. The slider increment of 1% provides sufficient granularity for business planning without overwhelming users with options. The visualization shows Original vs. Adjusted side-by-side to make the delta immediately apparent.</w:t>
      </w:r>
    </w:p>
    <w:p>
      <w:r>
        <w:br w:type="page"/>
      </w:r>
    </w:p>
    <w:p>
      <w:pPr>
        <w:pStyle w:val="Heading1"/>
      </w:pPr>
      <w:r>
        <w:rPr>
          <w:rFonts w:ascii="Arial" w:cs="Arial" w:eastAsia="Arial" w:hAnsi="Arial"/>
          <w:b/>
          <w:bCs/>
          <w:color w:val="1E3A5F"/>
          <w:sz w:val="36"/>
          <w:szCs w:val="36"/>
        </w:rPr>
        <w:t xml:space="preserve">Section 6 — Mobile Design Considerations</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Power BI's mobile layout editor enables the creation of dedicated phone-optimized views for any dashboard page. SalesView Pro includes a mobile-optimized layout for the Sales Overview page, based on the access pattern analysis in Section 2 which identified it as the page most frequently accessed via mobile devices.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6.1  Mobile Design Principles Applied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Principle</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Implementation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Single-column layout</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visuals stacked vertically in a single scroll lane. No side-by-side panels.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screens (360–430px wide) cannot effectively render multi-column layouts at readable scales.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KPI-first ordering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cards appear at the very top before any chart elements.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users are typically checking specific numbers, not exploring. Cards provide answers in under 2 seconds.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Touch-friendly sizing</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Minimum tap target size of 44×44px applied to all interactive elements. Slicers converted to large dropdown pickers.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Apple HIG and Material Design both specify 44dp minimum for comfortable touch interaction.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Simplified visuals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Complex visuals (Decomposition Tree, Key Influencers) excluded from mobile layout. Replaced with simplified bar charts and summary tables.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visuals require mouse interaction and wide viewport to be usable. Showing them on mobile degrades rather than enhances experience.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Reduced slicer count</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layout exposes only 2 slicers (Year and Region) vs. 7 on desktop. Additional filters accessible via a collapsed panel.</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Cognitive load from too many filters discourages use. Mobile users are action-oriented, not exploratory.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Optimized chart height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Charts set to 200px height minimum to ensure visible data points without requiring horizontal scrolling.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Tall-but-narrow charts are more readable on portrait orientation than wide-but-short alternatives.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6.2  Mobile Layout: Visual Sequence</w:t>
      </w:r>
    </w:p>
    <w:p>
      <w:pPr>
        <w:spacing w:after="0" w:before="80"/>
      </w:pPr>
    </w:p>
    <w:p>
      <w:pPr>
        <w:spacing w:after="80" w:before="80"/>
      </w:pPr>
      <w:r>
        <w:rPr>
          <w:rFonts w:ascii="Arial" w:cs="Arial" w:eastAsia="Arial" w:hAnsi="Arial"/>
          <w:b w:val="false"/>
          <w:bCs w:val="false"/>
          <w:color w:val="000000"/>
          <w:sz w:val="20"/>
          <w:szCs w:val="20"/>
        </w:rPr>
        <w:t xml:space="preserve">The following sequence defines the vertical stacking order for the Sales Overview mobile layout:</w:t>
      </w:r>
    </w:p>
    <w:p>
      <w:pPr>
        <w:spacing w:after="0" w:before="80"/>
      </w:pPr>
    </w:p>
    <w:p>
      <w:pPr>
        <w:pStyle w:val="ListParagraph"/>
        <w:numPr>
          <w:ilvl w:val="0"/>
          <w:numId w:val="3"/>
        </w:numPr>
        <w:spacing w:after="40" w:before="40"/>
      </w:pPr>
      <w:r>
        <w:rPr>
          <w:rFonts w:ascii="Arial" w:cs="Arial" w:eastAsia="Arial" w:hAnsi="Arial"/>
          <w:sz w:val="20"/>
          <w:szCs w:val="20"/>
        </w:rPr>
        <w:t xml:space="preserve">Page title bar with dynamic subtitle (Date Range + Region scope active)</w:t>
      </w:r>
    </w:p>
    <w:p>
      <w:pPr>
        <w:pStyle w:val="ListParagraph"/>
        <w:numPr>
          <w:ilvl w:val="0"/>
          <w:numId w:val="3"/>
        </w:numPr>
        <w:spacing w:after="40" w:before="40"/>
      </w:pPr>
      <w:r>
        <w:rPr>
          <w:rFonts w:ascii="Arial" w:cs="Arial" w:eastAsia="Arial" w:hAnsi="Arial"/>
          <w:sz w:val="20"/>
          <w:szCs w:val="20"/>
        </w:rPr>
        <w:t xml:space="preserve">Year slicer — large dropdown, full width</w:t>
      </w:r>
    </w:p>
    <w:p>
      <w:pPr>
        <w:pStyle w:val="ListParagraph"/>
        <w:numPr>
          <w:ilvl w:val="0"/>
          <w:numId w:val="3"/>
        </w:numPr>
        <w:spacing w:after="40" w:before="40"/>
      </w:pPr>
      <w:r>
        <w:rPr>
          <w:rFonts w:ascii="Arial" w:cs="Arial" w:eastAsia="Arial" w:hAnsi="Arial"/>
          <w:sz w:val="20"/>
          <w:szCs w:val="20"/>
        </w:rPr>
        <w:t xml:space="preserve">Region slicer — large dropdown, full width</w:t>
      </w:r>
    </w:p>
    <w:p>
      <w:pPr>
        <w:pStyle w:val="ListParagraph"/>
        <w:numPr>
          <w:ilvl w:val="0"/>
          <w:numId w:val="3"/>
        </w:numPr>
        <w:spacing w:after="40" w:before="40"/>
      </w:pPr>
      <w:r>
        <w:rPr>
          <w:rFonts w:ascii="Arial" w:cs="Arial" w:eastAsia="Arial" w:hAnsi="Arial"/>
          <w:sz w:val="20"/>
          <w:szCs w:val="20"/>
        </w:rPr>
        <w:t xml:space="preserve">KPI Card: Total Revenue (full width, large font)</w:t>
      </w:r>
    </w:p>
    <w:p>
      <w:pPr>
        <w:pStyle w:val="ListParagraph"/>
        <w:numPr>
          <w:ilvl w:val="0"/>
          <w:numId w:val="3"/>
        </w:numPr>
        <w:spacing w:after="40" w:before="40"/>
      </w:pPr>
      <w:r>
        <w:rPr>
          <w:rFonts w:ascii="Arial" w:cs="Arial" w:eastAsia="Arial" w:hAnsi="Arial"/>
          <w:sz w:val="20"/>
          <w:szCs w:val="20"/>
        </w:rPr>
        <w:t xml:space="preserve">KPI Card: Total Orders + Profit Margin (side by side at 50% width each)</w:t>
      </w:r>
    </w:p>
    <w:p>
      <w:pPr>
        <w:pStyle w:val="ListParagraph"/>
        <w:numPr>
          <w:ilvl w:val="0"/>
          <w:numId w:val="3"/>
        </w:numPr>
        <w:spacing w:after="40" w:before="40"/>
      </w:pPr>
      <w:r>
        <w:rPr>
          <w:rFonts w:ascii="Arial" w:cs="Arial" w:eastAsia="Arial" w:hAnsi="Arial"/>
          <w:sz w:val="20"/>
          <w:szCs w:val="20"/>
        </w:rPr>
        <w:t xml:space="preserve">KPI Card: Average Order Value (full width)</w:t>
      </w:r>
    </w:p>
    <w:p>
      <w:pPr>
        <w:pStyle w:val="ListParagraph"/>
        <w:numPr>
          <w:ilvl w:val="0"/>
          <w:numId w:val="3"/>
        </w:numPr>
        <w:spacing w:after="40" w:before="40"/>
      </w:pPr>
      <w:r>
        <w:rPr>
          <w:rFonts w:ascii="Arial" w:cs="Arial" w:eastAsia="Arial" w:hAnsi="Arial"/>
          <w:sz w:val="20"/>
          <w:szCs w:val="20"/>
        </w:rPr>
        <w:t xml:space="preserve">Revenue Trend — Simplified line chart, 12-month rolling, full width, 220px height</w:t>
      </w:r>
    </w:p>
    <w:p>
      <w:pPr>
        <w:pStyle w:val="ListParagraph"/>
        <w:numPr>
          <w:ilvl w:val="0"/>
          <w:numId w:val="3"/>
        </w:numPr>
        <w:spacing w:after="40" w:before="40"/>
      </w:pPr>
      <w:r>
        <w:rPr>
          <w:rFonts w:ascii="Arial" w:cs="Arial" w:eastAsia="Arial" w:hAnsi="Arial"/>
          <w:sz w:val="20"/>
          <w:szCs w:val="20"/>
        </w:rPr>
        <w:t xml:space="preserve">Sales by Channel — Horizontal bar chart (easier to read on portrait than pie/donut)</w:t>
      </w:r>
    </w:p>
    <w:p>
      <w:pPr>
        <w:pStyle w:val="ListParagraph"/>
        <w:numPr>
          <w:ilvl w:val="0"/>
          <w:numId w:val="3"/>
        </w:numPr>
        <w:spacing w:after="40" w:before="40"/>
      </w:pPr>
      <w:r>
        <w:rPr>
          <w:rFonts w:ascii="Arial" w:cs="Arial" w:eastAsia="Arial" w:hAnsi="Arial"/>
          <w:sz w:val="20"/>
          <w:szCs w:val="20"/>
        </w:rPr>
        <w:t xml:space="preserve">Top 3 Regions — Compact ranked list visual, 3 rows</w:t>
      </w:r>
    </w:p>
    <w:p>
      <w:pPr>
        <w:pStyle w:val="ListParagraph"/>
        <w:numPr>
          <w:ilvl w:val="0"/>
          <w:numId w:val="3"/>
        </w:numPr>
        <w:spacing w:after="40" w:before="40"/>
      </w:pPr>
      <w:r>
        <w:rPr>
          <w:rFonts w:ascii="Arial" w:cs="Arial" w:eastAsia="Arial" w:hAnsi="Arial"/>
          <w:sz w:val="20"/>
          <w:szCs w:val="20"/>
        </w:rPr>
        <w:t xml:space="preserve">Target vs. Actual — Simplified bullet chart, 2 measures only</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6.3  Touch Interaction Optimizations</w:t>
      </w:r>
    </w:p>
    <w:p>
      <w:pPr>
        <w:spacing w:after="0" w:before="80"/>
      </w:pPr>
    </w:p>
    <w:p>
      <w:pPr>
        <w:pStyle w:val="ListParagraph"/>
        <w:numPr>
          <w:ilvl w:val="0"/>
          <w:numId w:val="2"/>
        </w:numPr>
        <w:spacing w:after="40" w:before="40"/>
      </w:pPr>
      <w:r>
        <w:rPr>
          <w:rFonts w:ascii="Arial" w:cs="Arial" w:eastAsia="Arial" w:hAnsi="Arial"/>
          <w:sz w:val="20"/>
          <w:szCs w:val="20"/>
        </w:rPr>
        <w:t xml:space="preserve">Tap on any KPI card opens a detail tooltip showing period-over-period comparison</w:t>
      </w:r>
    </w:p>
    <w:p>
      <w:pPr>
        <w:pStyle w:val="ListParagraph"/>
        <w:numPr>
          <w:ilvl w:val="0"/>
          <w:numId w:val="2"/>
        </w:numPr>
        <w:spacing w:after="40" w:before="40"/>
      </w:pPr>
      <w:r>
        <w:rPr>
          <w:rFonts w:ascii="Arial" w:cs="Arial" w:eastAsia="Arial" w:hAnsi="Arial"/>
          <w:sz w:val="20"/>
          <w:szCs w:val="20"/>
        </w:rPr>
        <w:t xml:space="preserve">Swipe-left on the navigation bar cycles through the 4 dashboard pages</w:t>
      </w:r>
    </w:p>
    <w:p>
      <w:pPr>
        <w:pStyle w:val="ListParagraph"/>
        <w:numPr>
          <w:ilvl w:val="0"/>
          <w:numId w:val="2"/>
        </w:numPr>
        <w:spacing w:after="40" w:before="40"/>
      </w:pPr>
      <w:r>
        <w:rPr>
          <w:rFonts w:ascii="Arial" w:cs="Arial" w:eastAsia="Arial" w:hAnsi="Arial"/>
          <w:sz w:val="20"/>
          <w:szCs w:val="20"/>
        </w:rPr>
        <w:t xml:space="preserve">Long-press on any chart element opens drill-through context menu</w:t>
      </w:r>
    </w:p>
    <w:p>
      <w:pPr>
        <w:pStyle w:val="ListParagraph"/>
        <w:numPr>
          <w:ilvl w:val="0"/>
          <w:numId w:val="2"/>
        </w:numPr>
        <w:spacing w:after="40" w:before="40"/>
      </w:pPr>
      <w:r>
        <w:rPr>
          <w:rFonts w:ascii="Arial" w:cs="Arial" w:eastAsia="Arial" w:hAnsi="Arial"/>
          <w:sz w:val="20"/>
          <w:szCs w:val="20"/>
        </w:rPr>
        <w:t xml:space="preserve">Pinch-to-zoom enabled on the line chart for temporal exploration</w:t>
      </w:r>
    </w:p>
    <w:p>
      <w:pPr>
        <w:pStyle w:val="ListParagraph"/>
        <w:numPr>
          <w:ilvl w:val="0"/>
          <w:numId w:val="2"/>
        </w:numPr>
        <w:spacing w:after="40" w:before="40"/>
      </w:pPr>
      <w:r>
        <w:rPr>
          <w:rFonts w:ascii="Arial" w:cs="Arial" w:eastAsia="Arial" w:hAnsi="Arial"/>
          <w:sz w:val="20"/>
          <w:szCs w:val="20"/>
        </w:rPr>
        <w:t xml:space="preserve">All bookmark navigation buttons sized to minimum 44×44px with 8px spacing between adjacent buttons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6.4  Mobile Performance Considerations</w:t>
      </w:r>
    </w:p>
    <w:p>
      <w:pPr>
        <w:spacing w:after="0" w:before="80"/>
      </w:pPr>
    </w:p>
    <w:p>
      <w:pPr>
        <w:spacing w:after="80" w:before="80"/>
      </w:pPr>
      <w:r>
        <w:rPr>
          <w:rFonts w:ascii="Arial" w:cs="Arial" w:eastAsia="Arial" w:hAnsi="Arial"/>
          <w:b w:val="false"/>
          <w:bCs w:val="false"/>
          <w:color w:val="000000"/>
          <w:sz w:val="20"/>
          <w:szCs w:val="20"/>
        </w:rPr>
        <w:t xml:space="preserve">Mobile devices operate under tighter performance constraints than desktop browsers. The following optimizations were applied specifically for the mobile layout to ensure sub-3-second render times on 4G connections:</w:t>
      </w:r>
    </w:p>
    <w:p>
      <w:pPr>
        <w:spacing w:after="0" w:before="80"/>
      </w:pPr>
    </w:p>
    <w:p>
      <w:pPr>
        <w:pStyle w:val="ListParagraph"/>
        <w:numPr>
          <w:ilvl w:val="0"/>
          <w:numId w:val="2"/>
        </w:numPr>
        <w:spacing w:after="40" w:before="40"/>
      </w:pPr>
      <w:r>
        <w:rPr>
          <w:rFonts w:ascii="Arial" w:cs="Arial" w:eastAsia="Arial" w:hAnsi="Arial"/>
          <w:sz w:val="20"/>
          <w:szCs w:val="20"/>
        </w:rPr>
        <w:t xml:space="preserve">Mobile layout queries use pre-aggregated summary tables rather than detail-level row data</w:t>
      </w:r>
    </w:p>
    <w:p>
      <w:pPr>
        <w:pStyle w:val="ListParagraph"/>
        <w:numPr>
          <w:ilvl w:val="0"/>
          <w:numId w:val="2"/>
        </w:numPr>
        <w:spacing w:after="40" w:before="40"/>
      </w:pPr>
      <w:r>
        <w:rPr>
          <w:rFonts w:ascii="Arial" w:cs="Arial" w:eastAsia="Arial" w:hAnsi="Arial"/>
          <w:sz w:val="20"/>
          <w:szCs w:val="20"/>
        </w:rPr>
        <w:t xml:space="preserve">Maximum of 3 visuals render simultaneously; lower visuals load on scroll (progressive rendering)</w:t>
      </w:r>
    </w:p>
    <w:p>
      <w:pPr>
        <w:pStyle w:val="ListParagraph"/>
        <w:numPr>
          <w:ilvl w:val="0"/>
          <w:numId w:val="2"/>
        </w:numPr>
        <w:spacing w:after="40" w:before="40"/>
      </w:pPr>
      <w:r>
        <w:rPr>
          <w:rFonts w:ascii="Arial" w:cs="Arial" w:eastAsia="Arial" w:hAnsi="Arial"/>
          <w:sz w:val="20"/>
          <w:szCs w:val="20"/>
        </w:rPr>
        <w:t xml:space="preserve">Image assets (logos, background elements) compressed to maximum 50KB</w:t>
      </w:r>
    </w:p>
    <w:p>
      <w:pPr>
        <w:pStyle w:val="ListParagraph"/>
        <w:numPr>
          <w:ilvl w:val="0"/>
          <w:numId w:val="2"/>
        </w:numPr>
        <w:spacing w:after="40" w:before="40"/>
      </w:pPr>
      <w:r>
        <w:rPr>
          <w:rFonts w:ascii="Arial" w:cs="Arial" w:eastAsia="Arial" w:hAnsi="Arial"/>
          <w:sz w:val="20"/>
          <w:szCs w:val="20"/>
        </w:rPr>
        <w:t xml:space="preserve">Complex DAX measures involving CALCULATE with multiple filter contexts were pre-computed in calculated columns where mobile query patterns allowed</w:t>
      </w:r>
    </w:p>
    <w:p>
      <w:r>
        <w:br w:type="page"/>
      </w:r>
    </w:p>
    <w:p>
      <w:pPr>
        <w:pStyle w:val="Heading1"/>
      </w:pPr>
      <w:r>
        <w:rPr>
          <w:rFonts w:ascii="Arial" w:cs="Arial" w:eastAsia="Arial" w:hAnsi="Arial"/>
          <w:b/>
          <w:bCs/>
          <w:color w:val="1E3A5F"/>
          <w:sz w:val="36"/>
          <w:szCs w:val="36"/>
        </w:rPr>
        <w:t xml:space="preserve">Section 7 — Visual Branding &amp; Design System</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A consistent visual design system was established to ensure brand coherence across all four dashboard pages, the paginated report, and the mobile layout. The following documents the core design tokens that must be maintained in all future enhancements.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7.1  Color Palette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Hex Code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Usage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Rationale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Primary Brand Blue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#1E3A5F</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Navigation sidebar, section headers, primary labels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 navy conveys authority and trust. Used for the highest-hierarchy elements.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Secondary Blue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#2E75B6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fills, interactive elements, accent lines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Accessible blue (#2E75B6 on white passes WCAG AA at normal text sizes). Primary data encoding color.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Light Blue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#D6E4F0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card backgrounds, table row alternates, info boxes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Provides visual grouping without introducing a competing data color.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Gold Accent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#F0A500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Highlights, call-to-action indicators, top performers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High-contrast accent that draws attention without implying positive/negative valence.</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Success Green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#1D7A4E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Positive variance, above-target, favorable trends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Universally associated with positive performance. Distinguishable from data blues.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Alert 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#C0392B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Negative variance, below-target, unfavorable trends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visibility warning color. Combined with ▲/▼ symbols for accessibility (not color-only encoding).</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Dark Gray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#595959</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Secondary text, labels, footnotes</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Sufficient contrast on white (5.74:1 ratio) while visually receding behind primary content.</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7.2  Typography Standards</w:t>
      </w:r>
    </w:p>
    <w:p>
      <w:pPr>
        <w:spacing w:after="0" w:before="80"/>
      </w:pPr>
    </w:p>
    <w:p>
      <w:pPr>
        <w:pStyle w:val="ListParagraph"/>
        <w:numPr>
          <w:ilvl w:val="0"/>
          <w:numId w:val="2"/>
        </w:numPr>
        <w:spacing w:after="40" w:before="40"/>
      </w:pPr>
      <w:r>
        <w:rPr>
          <w:rFonts w:ascii="Arial" w:cs="Arial" w:eastAsia="Arial" w:hAnsi="Arial"/>
          <w:sz w:val="20"/>
          <w:szCs w:val="20"/>
        </w:rPr>
        <w:t xml:space="preserve">Primary font: Arial (universally available across Windows and Mac environments without embedding)</w:t>
      </w:r>
    </w:p>
    <w:p>
      <w:pPr>
        <w:pStyle w:val="ListParagraph"/>
        <w:numPr>
          <w:ilvl w:val="0"/>
          <w:numId w:val="2"/>
        </w:numPr>
        <w:spacing w:after="40" w:before="40"/>
      </w:pPr>
      <w:r>
        <w:rPr>
          <w:rFonts w:ascii="Arial" w:cs="Arial" w:eastAsia="Arial" w:hAnsi="Arial"/>
          <w:sz w:val="20"/>
          <w:szCs w:val="20"/>
        </w:rPr>
        <w:t xml:space="preserve">Dashboard title: Arial Bold, 16pt, #1E3A5F</w:t>
      </w:r>
    </w:p>
    <w:p>
      <w:pPr>
        <w:pStyle w:val="ListParagraph"/>
        <w:numPr>
          <w:ilvl w:val="0"/>
          <w:numId w:val="2"/>
        </w:numPr>
        <w:spacing w:after="40" w:before="40"/>
      </w:pPr>
      <w:r>
        <w:rPr>
          <w:rFonts w:ascii="Arial" w:cs="Arial" w:eastAsia="Arial" w:hAnsi="Arial"/>
          <w:sz w:val="20"/>
          <w:szCs w:val="20"/>
        </w:rPr>
        <w:t xml:space="preserve">Page subtitle / scope label: Arial Regular Italic, 10pt, #595959</w:t>
      </w:r>
    </w:p>
    <w:p>
      <w:pPr>
        <w:pStyle w:val="ListParagraph"/>
        <w:numPr>
          <w:ilvl w:val="0"/>
          <w:numId w:val="2"/>
        </w:numPr>
        <w:spacing w:after="40" w:before="40"/>
      </w:pPr>
      <w:r>
        <w:rPr>
          <w:rFonts w:ascii="Arial" w:cs="Arial" w:eastAsia="Arial" w:hAnsi="Arial"/>
          <w:sz w:val="20"/>
          <w:szCs w:val="20"/>
        </w:rPr>
        <w:t xml:space="preserve">Section headings: Arial Bold, 12pt, #1E3A5F with 2pt #2E75B6 bottom border</w:t>
      </w:r>
    </w:p>
    <w:p>
      <w:pPr>
        <w:pStyle w:val="ListParagraph"/>
        <w:numPr>
          <w:ilvl w:val="0"/>
          <w:numId w:val="2"/>
        </w:numPr>
        <w:spacing w:after="40" w:before="40"/>
      </w:pPr>
      <w:r>
        <w:rPr>
          <w:rFonts w:ascii="Arial" w:cs="Arial" w:eastAsia="Arial" w:hAnsi="Arial"/>
          <w:sz w:val="20"/>
          <w:szCs w:val="20"/>
        </w:rPr>
        <w:t xml:space="preserve">KPI values: Arial Bold, 24–36pt, color-coded by metric type</w:t>
      </w:r>
    </w:p>
    <w:p>
      <w:pPr>
        <w:pStyle w:val="ListParagraph"/>
        <w:numPr>
          <w:ilvl w:val="0"/>
          <w:numId w:val="2"/>
        </w:numPr>
        <w:spacing w:after="40" w:before="40"/>
      </w:pPr>
      <w:r>
        <w:rPr>
          <w:rFonts w:ascii="Arial" w:cs="Arial" w:eastAsia="Arial" w:hAnsi="Arial"/>
          <w:sz w:val="20"/>
          <w:szCs w:val="20"/>
        </w:rPr>
        <w:t xml:space="preserve">KPI labels: Arial Regular, 9pt, #595959</w:t>
      </w:r>
    </w:p>
    <w:p>
      <w:pPr>
        <w:pStyle w:val="ListParagraph"/>
        <w:numPr>
          <w:ilvl w:val="0"/>
          <w:numId w:val="2"/>
        </w:numPr>
        <w:spacing w:after="40" w:before="40"/>
      </w:pPr>
      <w:r>
        <w:rPr>
          <w:rFonts w:ascii="Arial" w:cs="Arial" w:eastAsia="Arial" w:hAnsi="Arial"/>
          <w:sz w:val="20"/>
          <w:szCs w:val="20"/>
        </w:rPr>
        <w:t xml:space="preserve">Table headers: Arial Bold, 9pt, white on #1E3A5F background</w:t>
      </w:r>
    </w:p>
    <w:p>
      <w:pPr>
        <w:pStyle w:val="ListParagraph"/>
        <w:numPr>
          <w:ilvl w:val="0"/>
          <w:numId w:val="2"/>
        </w:numPr>
        <w:spacing w:after="40" w:before="40"/>
      </w:pPr>
      <w:r>
        <w:rPr>
          <w:rFonts w:ascii="Arial" w:cs="Arial" w:eastAsia="Arial" w:hAnsi="Arial"/>
          <w:sz w:val="20"/>
          <w:szCs w:val="20"/>
        </w:rPr>
        <w:t xml:space="preserve">Table body: Arial Regular, 9pt, #000000 on alternating #FFFFFF / #F2F2F2</w:t>
      </w:r>
    </w:p>
    <w:p>
      <w:pPr>
        <w:pStyle w:val="ListParagraph"/>
        <w:numPr>
          <w:ilvl w:val="0"/>
          <w:numId w:val="2"/>
        </w:numPr>
        <w:spacing w:after="40" w:before="40"/>
      </w:pPr>
      <w:r>
        <w:rPr>
          <w:rFonts w:ascii="Arial" w:cs="Arial" w:eastAsia="Arial" w:hAnsi="Arial"/>
          <w:sz w:val="20"/>
          <w:szCs w:val="20"/>
        </w:rPr>
        <w:t xml:space="preserve">Chart axis labels: Arial Regular, 8pt, #595959</w:t>
      </w:r>
    </w:p>
    <w:p>
      <w:pPr>
        <w:pStyle w:val="ListParagraph"/>
        <w:numPr>
          <w:ilvl w:val="0"/>
          <w:numId w:val="2"/>
        </w:numPr>
        <w:spacing w:after="40" w:before="40"/>
      </w:pPr>
      <w:r>
        <w:rPr>
          <w:rFonts w:ascii="Arial" w:cs="Arial" w:eastAsia="Arial" w:hAnsi="Arial"/>
          <w:sz w:val="20"/>
          <w:szCs w:val="20"/>
        </w:rPr>
        <w:t xml:space="preserve">Data labels: Arial Bold, 8pt, color matches series color</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7.3  Layout Grid Standards</w:t>
      </w:r>
    </w:p>
    <w:p>
      <w:pPr>
        <w:spacing w:after="0" w:before="80"/>
      </w:pPr>
    </w:p>
    <w:p>
      <w:pPr>
        <w:pStyle w:val="ListParagraph"/>
        <w:numPr>
          <w:ilvl w:val="0"/>
          <w:numId w:val="2"/>
        </w:numPr>
        <w:spacing w:after="40" w:before="40"/>
      </w:pPr>
      <w:r>
        <w:rPr>
          <w:rFonts w:ascii="Arial" w:cs="Arial" w:eastAsia="Arial" w:hAnsi="Arial"/>
          <w:sz w:val="20"/>
          <w:szCs w:val="20"/>
        </w:rPr>
        <w:t xml:space="preserve">Desktop canvas: 1280×800px (Power BI standard widescreen)</w:t>
      </w:r>
    </w:p>
    <w:p>
      <w:pPr>
        <w:pStyle w:val="ListParagraph"/>
        <w:numPr>
          <w:ilvl w:val="0"/>
          <w:numId w:val="2"/>
        </w:numPr>
        <w:spacing w:after="40" w:before="40"/>
      </w:pPr>
      <w:r>
        <w:rPr>
          <w:rFonts w:ascii="Arial" w:cs="Arial" w:eastAsia="Arial" w:hAnsi="Arial"/>
          <w:sz w:val="20"/>
          <w:szCs w:val="20"/>
        </w:rPr>
        <w:t xml:space="preserve">Mobile canvas: 360×640px (portrait phone, minimum supported)</w:t>
      </w:r>
    </w:p>
    <w:p>
      <w:pPr>
        <w:pStyle w:val="ListParagraph"/>
        <w:numPr>
          <w:ilvl w:val="0"/>
          <w:numId w:val="2"/>
        </w:numPr>
        <w:spacing w:after="40" w:before="40"/>
      </w:pPr>
      <w:r>
        <w:rPr>
          <w:rFonts w:ascii="Arial" w:cs="Arial" w:eastAsia="Arial" w:hAnsi="Arial"/>
          <w:sz w:val="20"/>
          <w:szCs w:val="20"/>
        </w:rPr>
        <w:t xml:space="preserve">Left sidebar navigation: 140px fixed width, #1E3A5F background</w:t>
      </w:r>
    </w:p>
    <w:p>
      <w:pPr>
        <w:pStyle w:val="ListParagraph"/>
        <w:numPr>
          <w:ilvl w:val="0"/>
          <w:numId w:val="2"/>
        </w:numPr>
        <w:spacing w:after="40" w:before="40"/>
      </w:pPr>
      <w:r>
        <w:rPr>
          <w:rFonts w:ascii="Arial" w:cs="Arial" w:eastAsia="Arial" w:hAnsi="Arial"/>
          <w:sz w:val="20"/>
          <w:szCs w:val="20"/>
        </w:rPr>
        <w:t xml:space="preserve">Content area margin: 16px all sides from sidebar edge</w:t>
      </w:r>
    </w:p>
    <w:p>
      <w:pPr>
        <w:pStyle w:val="ListParagraph"/>
        <w:numPr>
          <w:ilvl w:val="0"/>
          <w:numId w:val="2"/>
        </w:numPr>
        <w:spacing w:after="40" w:before="40"/>
      </w:pPr>
      <w:r>
        <w:rPr>
          <w:rFonts w:ascii="Arial" w:cs="Arial" w:eastAsia="Arial" w:hAnsi="Arial"/>
          <w:sz w:val="20"/>
          <w:szCs w:val="20"/>
        </w:rPr>
        <w:t xml:space="preserve">KPI card row: 4 cards at equal width, 8px gap between cards</w:t>
      </w:r>
    </w:p>
    <w:p>
      <w:pPr>
        <w:pStyle w:val="ListParagraph"/>
        <w:numPr>
          <w:ilvl w:val="0"/>
          <w:numId w:val="2"/>
        </w:numPr>
        <w:spacing w:after="40" w:before="40"/>
      </w:pPr>
      <w:r>
        <w:rPr>
          <w:rFonts w:ascii="Arial" w:cs="Arial" w:eastAsia="Arial" w:hAnsi="Arial"/>
          <w:sz w:val="20"/>
          <w:szCs w:val="20"/>
        </w:rPr>
        <w:t xml:space="preserve">Visual padding: 12px internal padding on all chart containers</w:t>
      </w:r>
    </w:p>
    <w:p>
      <w:pPr>
        <w:pStyle w:val="ListParagraph"/>
        <w:numPr>
          <w:ilvl w:val="0"/>
          <w:numId w:val="2"/>
        </w:numPr>
        <w:spacing w:after="40" w:before="40"/>
      </w:pPr>
      <w:r>
        <w:rPr>
          <w:rFonts w:ascii="Arial" w:cs="Arial" w:eastAsia="Arial" w:hAnsi="Arial"/>
          <w:sz w:val="20"/>
          <w:szCs w:val="20"/>
        </w:rPr>
        <w:t xml:space="preserve">Minimum visual height: 180px (ensures readability of at least 6 data points on chart)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8" w:space="2"/>
      </w:pBdr>
      <w:tabs>
        <w:tab w:val="center" w:pos="4680"/>
        <w:tab w:val="right" w:pos="9026"/>
      </w:tabs>
      <w:spacing w:after="0" w:before="80"/>
    </w:pPr>
    <w:r>
      <w:rPr>
        <w:rFonts w:ascii="Arial" w:cs="Arial" w:eastAsia="Arial" w:hAnsi="Arial"/>
        <w:i/>
        <w:iCs/>
        <w:color w:val="595959"/>
        <w:sz w:val="16"/>
        <w:szCs w:val="16"/>
      </w:rPr>
      <w:t xml:space="preserve">CONFIDENTIAL — SalesView Pro Design Documentation</w:t>
    </w:r>
    <w:r>
      <w:rPr>
        <w:rFonts w:ascii="Arial" w:cs="Arial" w:eastAsia="Arial" w:hAnsi="Arial"/>
      </w:rPr>
      <w:t xml:space="preserve">	</w:t>
    </w:r>
    <w:r>
      <w:rPr>
        <w:rFonts w:ascii="Arial" w:cs="Arial" w:eastAsia="Arial" w:hAnsi="Arial"/>
        <w:color w:val="595959"/>
        <w:sz w:val="16"/>
        <w:szCs w:val="16"/>
      </w:rPr>
      <w:t xml:space="preserve">Page </w:t>
    </w:r>
    <w:fldSimple w:instr="PAGE"/>
    <w:r>
      <w:rPr>
        <w:rFonts w:ascii="Arial" w:cs="Arial" w:eastAsia="Arial" w:hAnsi="Arial"/>
      </w:rPr>
      <w:t xml:space="preserve">	</w:t>
    </w:r>
    <w:r>
      <w:rPr>
        <w:rFonts w:ascii="Arial" w:cs="Arial" w:eastAsia="Arial" w:hAnsi="Arial"/>
        <w:color w:val="595959"/>
        <w:sz w:val="16"/>
        <w:szCs w:val="16"/>
      </w:rPr>
      <w:t xml:space="preserve">© 2024 SalesView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2"/>
      </w:pBdr>
      <w:tabs>
        <w:tab w:val="right" w:pos="9026"/>
      </w:tabs>
      <w:spacing w:after="80" w:before="0"/>
    </w:pPr>
    <w:r>
      <w:rPr>
        <w:rFonts w:ascii="Arial" w:cs="Arial" w:eastAsia="Arial" w:hAnsi="Arial"/>
        <w:b/>
        <w:bCs/>
        <w:color w:val="1E3A5F"/>
        <w:sz w:val="18"/>
        <w:szCs w:val="18"/>
      </w:rPr>
      <w:t xml:space="preserve">SalesView Pro  |  Comprehensive Design Documentation</w:t>
    </w:r>
    <w:r>
      <w:rPr>
        <w:rFonts w:ascii="Arial" w:cs="Arial" w:eastAsia="Arial" w:hAnsi="Arial"/>
      </w:rPr>
      <w:t xml:space="preserve">	</w:t>
    </w:r>
    <w:r>
      <w:rPr>
        <w:rFonts w:ascii="Arial" w:cs="Arial" w:eastAsia="Arial" w:hAnsi="Arial"/>
        <w:i/>
        <w:iCs/>
        <w:color w:val="595959"/>
        <w:sz w:val="18"/>
        <w:szCs w:val="18"/>
      </w:rPr>
      <w:t xml:space="preserve">Final Integration — Question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2026-05-02T00:36:18.254Z</dcterms:created>
  <dcterms:modified xsi:type="dcterms:W3CDTF">2026-05-02T00:36:18.280Z</dcterms:modified>
</cp:coreProperties>
</file>

<file path=docProps/custom.xml><?xml version="1.0" encoding="utf-8"?>
<Properties xmlns="http://schemas.openxmlformats.org/officeDocument/2006/custom-properties" xmlns:vt="http://schemas.openxmlformats.org/officeDocument/2006/docPropsVTypes"/>
</file>