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F80" w:rsidRPr="004F4F80" w:rsidRDefault="004F4F80" w:rsidP="004F4F80">
      <w:pPr>
        <w:rPr>
          <w:sz w:val="24"/>
          <w:szCs w:val="24"/>
        </w:rPr>
      </w:pPr>
      <w:r w:rsidRPr="004F4F80">
        <w:rPr>
          <w:sz w:val="24"/>
          <w:szCs w:val="24"/>
        </w:rPr>
        <w:pict>
          <v:rect id="_x0000_i1031" style="width:0;height:1.5pt" o:hralign="center" o:hrstd="t" o:hr="t" fillcolor="#a0a0a0" stroked="f"/>
        </w:pict>
      </w:r>
    </w:p>
    <w:p w:rsidR="004F4F80" w:rsidRPr="004F4F80" w:rsidRDefault="004F4F80" w:rsidP="004F4F80">
      <w:pPr>
        <w:rPr>
          <w:b/>
          <w:bCs/>
          <w:sz w:val="24"/>
          <w:szCs w:val="24"/>
        </w:rPr>
      </w:pPr>
      <w:r w:rsidRPr="004F4F80">
        <w:rPr>
          <w:b/>
          <w:bCs/>
          <w:sz w:val="24"/>
          <w:szCs w:val="24"/>
        </w:rPr>
        <w:t>Tab Breakdown</w:t>
      </w:r>
    </w:p>
    <w:p w:rsidR="004F4F80" w:rsidRPr="004F4F80" w:rsidRDefault="004F4F80" w:rsidP="004F4F80">
      <w:pPr>
        <w:rPr>
          <w:sz w:val="24"/>
          <w:szCs w:val="24"/>
        </w:rPr>
      </w:pPr>
      <w:r w:rsidRPr="004F4F80">
        <w:rPr>
          <w:b/>
          <w:bCs/>
          <w:sz w:val="24"/>
          <w:szCs w:val="24"/>
        </w:rPr>
        <w:t>① Cover</w:t>
      </w:r>
      <w:r w:rsidRPr="004F4F80">
        <w:rPr>
          <w:sz w:val="24"/>
          <w:szCs w:val="24"/>
        </w:rPr>
        <w:t xml:space="preserve"> — Document index, project scope checklist confirming all 4 key submission requirements </w:t>
      </w:r>
      <w:proofErr w:type="gramStart"/>
      <w:r w:rsidRPr="004F4F80">
        <w:rPr>
          <w:sz w:val="24"/>
          <w:szCs w:val="24"/>
        </w:rPr>
        <w:t>are met</w:t>
      </w:r>
      <w:proofErr w:type="gramEnd"/>
      <w:r w:rsidRPr="004F4F80">
        <w:rPr>
          <w:sz w:val="24"/>
          <w:szCs w:val="24"/>
        </w:rPr>
        <w:t>, and a deliverable navigator.</w:t>
      </w:r>
    </w:p>
    <w:p w:rsidR="004F4F80" w:rsidRPr="004F4F80" w:rsidRDefault="004F4F80" w:rsidP="004F4F80">
      <w:pPr>
        <w:rPr>
          <w:sz w:val="24"/>
          <w:szCs w:val="24"/>
        </w:rPr>
      </w:pPr>
      <w:r w:rsidRPr="004F4F80">
        <w:rPr>
          <w:b/>
          <w:bCs/>
          <w:sz w:val="24"/>
          <w:szCs w:val="24"/>
        </w:rPr>
        <w:t xml:space="preserve">② </w:t>
      </w:r>
      <w:proofErr w:type="spellStart"/>
      <w:r w:rsidRPr="004F4F80">
        <w:rPr>
          <w:b/>
          <w:bCs/>
          <w:sz w:val="24"/>
          <w:szCs w:val="24"/>
        </w:rPr>
        <w:t>Table_Catalog</w:t>
      </w:r>
      <w:proofErr w:type="spellEnd"/>
      <w:r w:rsidRPr="004F4F80">
        <w:rPr>
          <w:sz w:val="24"/>
          <w:szCs w:val="24"/>
        </w:rPr>
        <w:t xml:space="preserve"> — All 13 tables documented in full: row counts, column-level data types, PK/FK roles, business definitions, and key design notes (SCD Type 2, security, bridge pattern).</w:t>
      </w:r>
    </w:p>
    <w:p w:rsidR="004F4F80" w:rsidRPr="004F4F80" w:rsidRDefault="004F4F80" w:rsidP="004F4F80">
      <w:pPr>
        <w:rPr>
          <w:sz w:val="24"/>
          <w:szCs w:val="24"/>
        </w:rPr>
      </w:pPr>
      <w:r w:rsidRPr="004F4F80">
        <w:rPr>
          <w:b/>
          <w:bCs/>
          <w:sz w:val="24"/>
          <w:szCs w:val="24"/>
        </w:rPr>
        <w:t xml:space="preserve">③ </w:t>
      </w:r>
      <w:proofErr w:type="spellStart"/>
      <w:r w:rsidRPr="004F4F80">
        <w:rPr>
          <w:b/>
          <w:bCs/>
          <w:sz w:val="24"/>
          <w:szCs w:val="24"/>
        </w:rPr>
        <w:t>Relationship_Architecture</w:t>
      </w:r>
      <w:proofErr w:type="spellEnd"/>
      <w:r w:rsidRPr="004F4F80">
        <w:rPr>
          <w:sz w:val="24"/>
          <w:szCs w:val="24"/>
        </w:rPr>
        <w:t xml:space="preserve"> — All 20 relationships mapped with cardinality (1</w:t>
      </w:r>
      <w:proofErr w:type="gramStart"/>
      <w:r w:rsidRPr="004F4F80">
        <w:rPr>
          <w:sz w:val="24"/>
          <w:szCs w:val="24"/>
        </w:rPr>
        <w:t>:Many</w:t>
      </w:r>
      <w:proofErr w:type="gramEnd"/>
      <w:r w:rsidRPr="004F4F80">
        <w:rPr>
          <w:sz w:val="24"/>
          <w:szCs w:val="24"/>
        </w:rPr>
        <w:t>), cross-filter direction (Single vs Both), active/inactive status, and a plain-English business justification for every relationship. Color-coded by status.</w:t>
      </w:r>
    </w:p>
    <w:p w:rsidR="004F4F80" w:rsidRPr="004F4F80" w:rsidRDefault="004F4F80" w:rsidP="004F4F80">
      <w:pPr>
        <w:rPr>
          <w:sz w:val="24"/>
          <w:szCs w:val="24"/>
        </w:rPr>
      </w:pPr>
      <w:r w:rsidRPr="004F4F80">
        <w:rPr>
          <w:b/>
          <w:bCs/>
          <w:sz w:val="24"/>
          <w:szCs w:val="24"/>
        </w:rPr>
        <w:t xml:space="preserve">④ </w:t>
      </w:r>
      <w:proofErr w:type="spellStart"/>
      <w:r w:rsidRPr="004F4F80">
        <w:rPr>
          <w:b/>
          <w:bCs/>
          <w:sz w:val="24"/>
          <w:szCs w:val="24"/>
        </w:rPr>
        <w:t>ManyToMany_Design</w:t>
      </w:r>
      <w:proofErr w:type="spellEnd"/>
      <w:r w:rsidRPr="004F4F80">
        <w:rPr>
          <w:sz w:val="24"/>
          <w:szCs w:val="24"/>
        </w:rPr>
        <w:t xml:space="preserve"> — Deep-dive on both M</w:t>
      </w:r>
      <w:proofErr w:type="gramStart"/>
      <w:r w:rsidRPr="004F4F80">
        <w:rPr>
          <w:sz w:val="24"/>
          <w:szCs w:val="24"/>
        </w:rPr>
        <w:t>:M</w:t>
      </w:r>
      <w:proofErr w:type="gramEnd"/>
      <w:r w:rsidRPr="004F4F80">
        <w:rPr>
          <w:sz w:val="24"/>
          <w:szCs w:val="24"/>
        </w:rPr>
        <w:t xml:space="preserve"> scenarios:</w:t>
      </w:r>
    </w:p>
    <w:p w:rsidR="004F4F80" w:rsidRPr="004F4F80" w:rsidRDefault="004F4F80" w:rsidP="004F4F80">
      <w:pPr>
        <w:numPr>
          <w:ilvl w:val="0"/>
          <w:numId w:val="1"/>
        </w:numPr>
        <w:rPr>
          <w:sz w:val="24"/>
          <w:szCs w:val="24"/>
        </w:rPr>
      </w:pPr>
      <w:r w:rsidRPr="004F4F80">
        <w:rPr>
          <w:b/>
          <w:bCs/>
          <w:sz w:val="24"/>
          <w:szCs w:val="24"/>
        </w:rPr>
        <w:t>M:M #1</w:t>
      </w:r>
      <w:r w:rsidRPr="004F4F80">
        <w:rPr>
          <w:sz w:val="24"/>
          <w:szCs w:val="24"/>
        </w:rPr>
        <w:t xml:space="preserve">: Employee ↔ Project via </w:t>
      </w:r>
      <w:proofErr w:type="spellStart"/>
      <w:r w:rsidRPr="004F4F80">
        <w:rPr>
          <w:sz w:val="24"/>
          <w:szCs w:val="24"/>
        </w:rPr>
        <w:t>BridgeEmployeeProject</w:t>
      </w:r>
      <w:proofErr w:type="spellEnd"/>
      <w:r w:rsidRPr="004F4F80">
        <w:rPr>
          <w:sz w:val="24"/>
          <w:szCs w:val="24"/>
        </w:rPr>
        <w:t xml:space="preserve"> (explicit bridge, weighted allocation DAX)</w:t>
      </w:r>
    </w:p>
    <w:p w:rsidR="004F4F80" w:rsidRPr="004F4F80" w:rsidRDefault="004F4F80" w:rsidP="004F4F80">
      <w:pPr>
        <w:numPr>
          <w:ilvl w:val="0"/>
          <w:numId w:val="1"/>
        </w:numPr>
        <w:rPr>
          <w:sz w:val="24"/>
          <w:szCs w:val="24"/>
        </w:rPr>
      </w:pPr>
      <w:r w:rsidRPr="004F4F80">
        <w:rPr>
          <w:b/>
          <w:bCs/>
          <w:sz w:val="24"/>
          <w:szCs w:val="24"/>
        </w:rPr>
        <w:t>M:M #2</w:t>
      </w:r>
      <w:r w:rsidRPr="004F4F80">
        <w:rPr>
          <w:sz w:val="24"/>
          <w:szCs w:val="24"/>
        </w:rPr>
        <w:t>: Customer ↔ Business Line via fact tables as implicit bridge (disconnected slicer + TREATAS pattern)</w:t>
      </w:r>
    </w:p>
    <w:p w:rsidR="004F4F80" w:rsidRPr="004F4F80" w:rsidRDefault="004F4F80" w:rsidP="004F4F80">
      <w:pPr>
        <w:rPr>
          <w:sz w:val="24"/>
          <w:szCs w:val="24"/>
        </w:rPr>
      </w:pPr>
      <w:r w:rsidRPr="004F4F80">
        <w:rPr>
          <w:b/>
          <w:bCs/>
          <w:sz w:val="24"/>
          <w:szCs w:val="24"/>
        </w:rPr>
        <w:t xml:space="preserve">⑤ </w:t>
      </w:r>
      <w:proofErr w:type="spellStart"/>
      <w:r w:rsidRPr="004F4F80">
        <w:rPr>
          <w:b/>
          <w:bCs/>
          <w:sz w:val="24"/>
          <w:szCs w:val="24"/>
        </w:rPr>
        <w:t>RolePlaying_Dimensions</w:t>
      </w:r>
      <w:proofErr w:type="spellEnd"/>
      <w:r w:rsidRPr="004F4F80">
        <w:rPr>
          <w:sz w:val="24"/>
          <w:szCs w:val="24"/>
        </w:rPr>
        <w:t xml:space="preserve"> — </w:t>
      </w:r>
      <w:proofErr w:type="spellStart"/>
      <w:r w:rsidRPr="004F4F80">
        <w:rPr>
          <w:sz w:val="24"/>
          <w:szCs w:val="24"/>
        </w:rPr>
        <w:t>DimDate</w:t>
      </w:r>
      <w:proofErr w:type="spellEnd"/>
      <w:r w:rsidRPr="004F4F80">
        <w:rPr>
          <w:sz w:val="24"/>
          <w:szCs w:val="24"/>
        </w:rPr>
        <w:t xml:space="preserve"> playing 5 roles across 3 tables, with the full </w:t>
      </w:r>
      <w:proofErr w:type="gramStart"/>
      <w:r w:rsidRPr="004F4F80">
        <w:rPr>
          <w:sz w:val="24"/>
          <w:szCs w:val="24"/>
        </w:rPr>
        <w:t>USERELATIONSHIP(</w:t>
      </w:r>
      <w:proofErr w:type="gramEnd"/>
      <w:r w:rsidRPr="004F4F80">
        <w:rPr>
          <w:sz w:val="24"/>
          <w:szCs w:val="24"/>
        </w:rPr>
        <w:t>) DAX pattern for each inactive role (Project Start, Project End, Contract Inception).</w:t>
      </w:r>
    </w:p>
    <w:p w:rsidR="004F4F80" w:rsidRPr="004F4F80" w:rsidRDefault="004F4F80" w:rsidP="004F4F80">
      <w:pPr>
        <w:rPr>
          <w:sz w:val="24"/>
          <w:szCs w:val="24"/>
        </w:rPr>
      </w:pPr>
      <w:r w:rsidRPr="004F4F80">
        <w:rPr>
          <w:b/>
          <w:bCs/>
          <w:sz w:val="24"/>
          <w:szCs w:val="24"/>
        </w:rPr>
        <w:t xml:space="preserve">⑥ </w:t>
      </w:r>
      <w:proofErr w:type="spellStart"/>
      <w:r w:rsidRPr="004F4F80">
        <w:rPr>
          <w:b/>
          <w:bCs/>
          <w:sz w:val="24"/>
          <w:szCs w:val="24"/>
        </w:rPr>
        <w:t>Data_Quality_Validation</w:t>
      </w:r>
      <w:proofErr w:type="spellEnd"/>
      <w:r w:rsidRPr="004F4F80">
        <w:rPr>
          <w:sz w:val="24"/>
          <w:szCs w:val="24"/>
        </w:rPr>
        <w:t xml:space="preserve"> — 18 automated tests covering referential integrity, PK uniqueness, business rule validation (Profit = Revenue – Cost), and date coverage. </w:t>
      </w:r>
      <w:proofErr w:type="gramStart"/>
      <w:r w:rsidRPr="004F4F80">
        <w:rPr>
          <w:sz w:val="24"/>
          <w:szCs w:val="24"/>
        </w:rPr>
        <w:t>15</w:t>
      </w:r>
      <w:proofErr w:type="gramEnd"/>
      <w:r w:rsidRPr="004F4F80">
        <w:rPr>
          <w:sz w:val="24"/>
          <w:szCs w:val="24"/>
        </w:rPr>
        <w:t xml:space="preserve"> PASS / 2 WARNING / 1 remediated. Includes re-runnable DAX and M code procedures.</w:t>
      </w:r>
    </w:p>
    <w:p w:rsidR="004F4F80" w:rsidRPr="004F4F80" w:rsidRDefault="004F4F80" w:rsidP="004F4F80">
      <w:pPr>
        <w:rPr>
          <w:sz w:val="24"/>
          <w:szCs w:val="24"/>
        </w:rPr>
      </w:pPr>
      <w:r w:rsidRPr="004F4F80">
        <w:rPr>
          <w:b/>
          <w:bCs/>
          <w:sz w:val="24"/>
          <w:szCs w:val="24"/>
        </w:rPr>
        <w:t xml:space="preserve">⑦ </w:t>
      </w:r>
      <w:proofErr w:type="spellStart"/>
      <w:r w:rsidRPr="004F4F80">
        <w:rPr>
          <w:b/>
          <w:bCs/>
          <w:sz w:val="24"/>
          <w:szCs w:val="24"/>
        </w:rPr>
        <w:t>Performance_Baseline</w:t>
      </w:r>
      <w:proofErr w:type="spellEnd"/>
      <w:r w:rsidRPr="004F4F80">
        <w:rPr>
          <w:sz w:val="24"/>
          <w:szCs w:val="24"/>
        </w:rPr>
        <w:t xml:space="preserve"> — 12 ranked optimization strategies (P1–P4) with impact ratings, plus model organization standards: display folder structure, naming conventions, and measure description guidelines.</w:t>
      </w:r>
    </w:p>
    <w:p w:rsidR="00CB7E04" w:rsidRDefault="00CB7E04">
      <w:pPr>
        <w:rPr>
          <w:sz w:val="24"/>
          <w:szCs w:val="24"/>
        </w:rPr>
      </w:pPr>
    </w:p>
    <w:p w:rsidR="00730EC0" w:rsidRPr="00730EC0" w:rsidRDefault="00730EC0" w:rsidP="00730EC0">
      <w:pPr>
        <w:rPr>
          <w:sz w:val="24"/>
          <w:szCs w:val="24"/>
        </w:rPr>
      </w:pPr>
      <w:proofErr w:type="gramStart"/>
      <w:r w:rsidRPr="00730EC0">
        <w:rPr>
          <w:sz w:val="24"/>
          <w:szCs w:val="24"/>
        </w:rPr>
        <w:t>Here's</w:t>
      </w:r>
      <w:proofErr w:type="gramEnd"/>
      <w:r w:rsidRPr="00730EC0">
        <w:rPr>
          <w:sz w:val="24"/>
          <w:szCs w:val="24"/>
        </w:rPr>
        <w:t xml:space="preserve"> the </w:t>
      </w:r>
      <w:r w:rsidRPr="00730EC0">
        <w:rPr>
          <w:b/>
          <w:bCs/>
          <w:sz w:val="24"/>
          <w:szCs w:val="24"/>
        </w:rPr>
        <w:t>Question 2 – Hierarchy &amp; Organization Implementation</w:t>
      </w:r>
      <w:r w:rsidRPr="00730EC0">
        <w:rPr>
          <w:sz w:val="24"/>
          <w:szCs w:val="24"/>
        </w:rPr>
        <w:t xml:space="preserve"> Tab breakdown:</w:t>
      </w:r>
    </w:p>
    <w:p w:rsidR="00730EC0" w:rsidRPr="00730EC0" w:rsidRDefault="00730EC0" w:rsidP="00730EC0">
      <w:pPr>
        <w:rPr>
          <w:sz w:val="24"/>
          <w:szCs w:val="24"/>
        </w:rPr>
      </w:pPr>
      <w:r w:rsidRPr="00730EC0">
        <w:rPr>
          <w:sz w:val="24"/>
          <w:szCs w:val="24"/>
        </w:rPr>
        <w:pict>
          <v:rect id="_x0000_i1039" style="width:0;height:1.5pt" o:hralign="center" o:hrstd="t" o:hr="t" fillcolor="#a0a0a0" stroked="f"/>
        </w:pict>
      </w:r>
    </w:p>
    <w:p w:rsidR="00730EC0" w:rsidRPr="00730EC0" w:rsidRDefault="00730EC0" w:rsidP="00730EC0">
      <w:pPr>
        <w:rPr>
          <w:sz w:val="24"/>
          <w:szCs w:val="24"/>
        </w:rPr>
      </w:pPr>
      <w:r w:rsidRPr="00730EC0">
        <w:rPr>
          <w:b/>
          <w:bCs/>
          <w:sz w:val="24"/>
          <w:szCs w:val="24"/>
        </w:rPr>
        <w:t>① Cover</w:t>
      </w:r>
      <w:r w:rsidRPr="00730EC0">
        <w:rPr>
          <w:sz w:val="24"/>
          <w:szCs w:val="24"/>
        </w:rPr>
        <w:t xml:space="preserve"> — Document index, navigation guide, and a scope checklist confirming all </w:t>
      </w:r>
      <w:proofErr w:type="gramStart"/>
      <w:r w:rsidRPr="00730EC0">
        <w:rPr>
          <w:sz w:val="24"/>
          <w:szCs w:val="24"/>
        </w:rPr>
        <w:t>4</w:t>
      </w:r>
      <w:proofErr w:type="gramEnd"/>
      <w:r w:rsidRPr="00730EC0">
        <w:rPr>
          <w:sz w:val="24"/>
          <w:szCs w:val="24"/>
        </w:rPr>
        <w:t xml:space="preserve"> submission requirements are met (6 hierarchies implemented, display folder taxonomy, 50+ descriptions, 3 persona scenarios).</w:t>
      </w:r>
    </w:p>
    <w:p w:rsidR="00730EC0" w:rsidRPr="00730EC0" w:rsidRDefault="00730EC0" w:rsidP="00730EC0">
      <w:pPr>
        <w:rPr>
          <w:sz w:val="24"/>
          <w:szCs w:val="24"/>
        </w:rPr>
      </w:pPr>
      <w:r w:rsidRPr="00730EC0">
        <w:rPr>
          <w:b/>
          <w:bCs/>
          <w:sz w:val="24"/>
          <w:szCs w:val="24"/>
        </w:rPr>
        <w:t xml:space="preserve">② </w:t>
      </w:r>
      <w:proofErr w:type="spellStart"/>
      <w:r w:rsidRPr="00730EC0">
        <w:rPr>
          <w:b/>
          <w:bCs/>
          <w:sz w:val="24"/>
          <w:szCs w:val="24"/>
        </w:rPr>
        <w:t>Hierarchy_Architecture</w:t>
      </w:r>
      <w:proofErr w:type="spellEnd"/>
      <w:r w:rsidRPr="00730EC0">
        <w:rPr>
          <w:sz w:val="24"/>
          <w:szCs w:val="24"/>
        </w:rPr>
        <w:t xml:space="preserve"> — All 6 hierarchies fully designed with level-by-level detail tables (column, data type, unique values, sort order, hide flag, business purpose), Power BI configuration steps, key DAX patterns, and business rules for each. Covers: Date Intelligence, Global Territory, Employee Organization, Product &amp; Service </w:t>
      </w:r>
      <w:proofErr w:type="spellStart"/>
      <w:r w:rsidRPr="00730EC0">
        <w:rPr>
          <w:sz w:val="24"/>
          <w:szCs w:val="24"/>
        </w:rPr>
        <w:t>Catalog</w:t>
      </w:r>
      <w:proofErr w:type="spellEnd"/>
      <w:r w:rsidRPr="00730EC0">
        <w:rPr>
          <w:sz w:val="24"/>
          <w:szCs w:val="24"/>
        </w:rPr>
        <w:t>, Customer Segmentation, and Support Priority &amp; Type.</w:t>
      </w:r>
    </w:p>
    <w:p w:rsidR="00730EC0" w:rsidRPr="00730EC0" w:rsidRDefault="00730EC0" w:rsidP="00730EC0">
      <w:pPr>
        <w:rPr>
          <w:sz w:val="24"/>
          <w:szCs w:val="24"/>
        </w:rPr>
      </w:pPr>
      <w:r w:rsidRPr="00730EC0">
        <w:rPr>
          <w:b/>
          <w:bCs/>
          <w:sz w:val="24"/>
          <w:szCs w:val="24"/>
        </w:rPr>
        <w:lastRenderedPageBreak/>
        <w:t xml:space="preserve">③ </w:t>
      </w:r>
      <w:proofErr w:type="spellStart"/>
      <w:r w:rsidRPr="00730EC0">
        <w:rPr>
          <w:b/>
          <w:bCs/>
          <w:sz w:val="24"/>
          <w:szCs w:val="24"/>
        </w:rPr>
        <w:t>Display_Folders</w:t>
      </w:r>
      <w:proofErr w:type="spellEnd"/>
      <w:r w:rsidRPr="00730EC0">
        <w:rPr>
          <w:sz w:val="24"/>
          <w:szCs w:val="24"/>
        </w:rPr>
        <w:t xml:space="preserve"> — Complete display folder taxonomy mapping every field and measure to its folder, sub-folder, visibility setting, and user-facing description. Organized by table and annotated for which user community each folder serves.</w:t>
      </w:r>
    </w:p>
    <w:p w:rsidR="00730EC0" w:rsidRPr="00730EC0" w:rsidRDefault="00730EC0" w:rsidP="00730EC0">
      <w:pPr>
        <w:rPr>
          <w:sz w:val="24"/>
          <w:szCs w:val="24"/>
        </w:rPr>
      </w:pPr>
      <w:r w:rsidRPr="00730EC0">
        <w:rPr>
          <w:b/>
          <w:bCs/>
          <w:sz w:val="24"/>
          <w:szCs w:val="24"/>
        </w:rPr>
        <w:t xml:space="preserve">④ </w:t>
      </w:r>
      <w:proofErr w:type="spellStart"/>
      <w:r w:rsidRPr="00730EC0">
        <w:rPr>
          <w:b/>
          <w:bCs/>
          <w:sz w:val="24"/>
          <w:szCs w:val="24"/>
        </w:rPr>
        <w:t>Naming_Conventions</w:t>
      </w:r>
      <w:proofErr w:type="spellEnd"/>
      <w:r w:rsidRPr="00730EC0">
        <w:rPr>
          <w:sz w:val="24"/>
          <w:szCs w:val="24"/>
        </w:rPr>
        <w:t xml:space="preserve"> — Professional naming standards across </w:t>
      </w:r>
      <w:proofErr w:type="gramStart"/>
      <w:r w:rsidRPr="00730EC0">
        <w:rPr>
          <w:sz w:val="24"/>
          <w:szCs w:val="24"/>
        </w:rPr>
        <w:t>4</w:t>
      </w:r>
      <w:proofErr w:type="gramEnd"/>
      <w:r w:rsidRPr="00730EC0">
        <w:rPr>
          <w:sz w:val="24"/>
          <w:szCs w:val="24"/>
        </w:rPr>
        <w:t xml:space="preserve"> categories: Table naming (Dim/Fact/Bridge prefixes and display overrides), Column naming (PK/FK/date/</w:t>
      </w:r>
      <w:proofErr w:type="spellStart"/>
      <w:r w:rsidRPr="00730EC0">
        <w:rPr>
          <w:sz w:val="24"/>
          <w:szCs w:val="24"/>
        </w:rPr>
        <w:t>boolean</w:t>
      </w:r>
      <w:proofErr w:type="spellEnd"/>
      <w:r w:rsidRPr="00730EC0">
        <w:rPr>
          <w:sz w:val="24"/>
          <w:szCs w:val="24"/>
        </w:rPr>
        <w:t>/SCD-2 rules), Measure naming (unit tags, YoY/YTD suffixes, ratio patterns), and Hierarchy naming (function-first labels).</w:t>
      </w:r>
    </w:p>
    <w:p w:rsidR="00730EC0" w:rsidRPr="00730EC0" w:rsidRDefault="00730EC0" w:rsidP="00730EC0">
      <w:pPr>
        <w:rPr>
          <w:sz w:val="24"/>
          <w:szCs w:val="24"/>
        </w:rPr>
      </w:pPr>
      <w:r w:rsidRPr="00730EC0">
        <w:rPr>
          <w:b/>
          <w:bCs/>
          <w:sz w:val="24"/>
          <w:szCs w:val="24"/>
        </w:rPr>
        <w:t xml:space="preserve">⑤ </w:t>
      </w:r>
      <w:proofErr w:type="spellStart"/>
      <w:r w:rsidRPr="00730EC0">
        <w:rPr>
          <w:b/>
          <w:bCs/>
          <w:sz w:val="24"/>
          <w:szCs w:val="24"/>
        </w:rPr>
        <w:t>Column_Descriptions</w:t>
      </w:r>
      <w:proofErr w:type="spellEnd"/>
      <w:r w:rsidRPr="00730EC0">
        <w:rPr>
          <w:sz w:val="24"/>
          <w:szCs w:val="24"/>
        </w:rPr>
        <w:t xml:space="preserve"> — </w:t>
      </w:r>
      <w:proofErr w:type="gramStart"/>
      <w:r w:rsidRPr="00730EC0">
        <w:rPr>
          <w:sz w:val="24"/>
          <w:szCs w:val="24"/>
        </w:rPr>
        <w:t>Every</w:t>
      </w:r>
      <w:proofErr w:type="gramEnd"/>
      <w:r w:rsidRPr="00730EC0">
        <w:rPr>
          <w:sz w:val="24"/>
          <w:szCs w:val="24"/>
        </w:rPr>
        <w:t xml:space="preserve"> user-facing column across all 13 tables documented with display name, data type, visibility flag (Yes / Hidden / Finance-only), usage context, and a full description ready to paste into Power BI's Description property field.</w:t>
      </w:r>
    </w:p>
    <w:p w:rsidR="00730EC0" w:rsidRPr="00730EC0" w:rsidRDefault="00730EC0" w:rsidP="00730EC0">
      <w:pPr>
        <w:rPr>
          <w:sz w:val="24"/>
          <w:szCs w:val="24"/>
        </w:rPr>
      </w:pPr>
      <w:r w:rsidRPr="00730EC0">
        <w:rPr>
          <w:b/>
          <w:bCs/>
          <w:sz w:val="24"/>
          <w:szCs w:val="24"/>
        </w:rPr>
        <w:t xml:space="preserve">⑥ </w:t>
      </w:r>
      <w:proofErr w:type="spellStart"/>
      <w:r w:rsidRPr="00730EC0">
        <w:rPr>
          <w:b/>
          <w:bCs/>
          <w:sz w:val="24"/>
          <w:szCs w:val="24"/>
        </w:rPr>
        <w:t>Measure_Library</w:t>
      </w:r>
      <w:proofErr w:type="spellEnd"/>
      <w:r w:rsidRPr="00730EC0">
        <w:rPr>
          <w:sz w:val="24"/>
          <w:szCs w:val="24"/>
        </w:rPr>
        <w:t xml:space="preserve"> — 50+ DAX measures organized by display folder with format string, data type, plain-English business description, and full DAX formula. Covers Revenue, Profitability, Subscription, Combined BU, Customer Analytics, People &amp; Org, Project Operations, and Service Operations.</w:t>
      </w:r>
    </w:p>
    <w:p w:rsidR="00730EC0" w:rsidRPr="00730EC0" w:rsidRDefault="00730EC0" w:rsidP="00730EC0">
      <w:pPr>
        <w:rPr>
          <w:sz w:val="24"/>
          <w:szCs w:val="24"/>
        </w:rPr>
      </w:pPr>
      <w:r w:rsidRPr="00730EC0">
        <w:rPr>
          <w:b/>
          <w:bCs/>
          <w:sz w:val="24"/>
          <w:szCs w:val="24"/>
        </w:rPr>
        <w:t xml:space="preserve">⑦ </w:t>
      </w:r>
      <w:proofErr w:type="spellStart"/>
      <w:r w:rsidRPr="00730EC0">
        <w:rPr>
          <w:b/>
          <w:bCs/>
          <w:sz w:val="24"/>
          <w:szCs w:val="24"/>
        </w:rPr>
        <w:t>UX_Personas</w:t>
      </w:r>
      <w:proofErr w:type="spellEnd"/>
      <w:r w:rsidRPr="00730EC0">
        <w:rPr>
          <w:sz w:val="24"/>
          <w:szCs w:val="24"/>
        </w:rPr>
        <w:t xml:space="preserve"> — 3 user persona profiles (CFO Sarah Chen, Regional Sales Manager Marcus Williams, Operations Analyst </w:t>
      </w:r>
      <w:proofErr w:type="spellStart"/>
      <w:r w:rsidRPr="00730EC0">
        <w:rPr>
          <w:sz w:val="24"/>
          <w:szCs w:val="24"/>
        </w:rPr>
        <w:t>Priya</w:t>
      </w:r>
      <w:proofErr w:type="spellEnd"/>
      <w:r w:rsidRPr="00730EC0">
        <w:rPr>
          <w:sz w:val="24"/>
          <w:szCs w:val="24"/>
        </w:rPr>
        <w:t xml:space="preserve"> Patel) each documenting role, primary goal, data literacy level, hierarchies used, key measures, display folders needed, UX requirements, pain points solved, and measurable success criteria.</w:t>
      </w:r>
    </w:p>
    <w:p w:rsidR="00730EC0" w:rsidRPr="00730EC0" w:rsidRDefault="00730EC0" w:rsidP="00730EC0">
      <w:pPr>
        <w:rPr>
          <w:sz w:val="24"/>
          <w:szCs w:val="24"/>
        </w:rPr>
      </w:pPr>
      <w:r w:rsidRPr="00730EC0">
        <w:rPr>
          <w:b/>
          <w:bCs/>
          <w:sz w:val="24"/>
          <w:szCs w:val="24"/>
        </w:rPr>
        <w:t xml:space="preserve">⑧ </w:t>
      </w:r>
      <w:proofErr w:type="spellStart"/>
      <w:r w:rsidRPr="00730EC0">
        <w:rPr>
          <w:b/>
          <w:bCs/>
          <w:sz w:val="24"/>
          <w:szCs w:val="24"/>
        </w:rPr>
        <w:t>UX_Scenario_Testing</w:t>
      </w:r>
      <w:proofErr w:type="spellEnd"/>
      <w:r w:rsidRPr="00730EC0">
        <w:rPr>
          <w:sz w:val="24"/>
          <w:szCs w:val="24"/>
        </w:rPr>
        <w:t xml:space="preserve"> — End-to-end workflow simulations for each persona: step-by-step click paths through the model, which hierarchies and slicers are engaged at each step, expected outputs, and pass/fail validation against the persona's success criteria.</w:t>
      </w:r>
    </w:p>
    <w:p w:rsidR="00730EC0" w:rsidRPr="00730EC0" w:rsidRDefault="00730EC0" w:rsidP="00730EC0">
      <w:pPr>
        <w:rPr>
          <w:sz w:val="24"/>
          <w:szCs w:val="24"/>
        </w:rPr>
      </w:pPr>
      <w:proofErr w:type="gramStart"/>
      <w:r w:rsidRPr="00730EC0">
        <w:rPr>
          <w:sz w:val="24"/>
          <w:szCs w:val="24"/>
        </w:rPr>
        <w:t>Here's</w:t>
      </w:r>
      <w:proofErr w:type="gramEnd"/>
      <w:r w:rsidRPr="00730EC0">
        <w:rPr>
          <w:sz w:val="24"/>
          <w:szCs w:val="24"/>
        </w:rPr>
        <w:t xml:space="preserve"> the </w:t>
      </w:r>
      <w:r w:rsidRPr="00730EC0">
        <w:rPr>
          <w:b/>
          <w:bCs/>
          <w:sz w:val="24"/>
          <w:szCs w:val="24"/>
        </w:rPr>
        <w:t>Question 3 – Advanced Analytics and Validation</w:t>
      </w:r>
      <w:r w:rsidRPr="00730EC0">
        <w:rPr>
          <w:sz w:val="24"/>
          <w:szCs w:val="24"/>
        </w:rPr>
        <w:t xml:space="preserve"> Tab breakdown:</w:t>
      </w:r>
    </w:p>
    <w:p w:rsidR="00730EC0" w:rsidRPr="00730EC0" w:rsidRDefault="00730EC0" w:rsidP="00730EC0">
      <w:pPr>
        <w:rPr>
          <w:sz w:val="24"/>
          <w:szCs w:val="24"/>
        </w:rPr>
      </w:pPr>
      <w:r w:rsidRPr="00730EC0">
        <w:rPr>
          <w:sz w:val="24"/>
          <w:szCs w:val="24"/>
        </w:rPr>
        <w:pict>
          <v:rect id="_x0000_i1047" style="width:0;height:1.5pt" o:hralign="center" o:hrstd="t" o:hr="t" fillcolor="#a0a0a0" stroked="f"/>
        </w:pict>
      </w:r>
    </w:p>
    <w:p w:rsidR="00730EC0" w:rsidRPr="00730EC0" w:rsidRDefault="00730EC0" w:rsidP="00730EC0">
      <w:pPr>
        <w:rPr>
          <w:sz w:val="24"/>
          <w:szCs w:val="24"/>
        </w:rPr>
      </w:pPr>
      <w:r w:rsidRPr="00730EC0">
        <w:rPr>
          <w:b/>
          <w:bCs/>
          <w:sz w:val="24"/>
          <w:szCs w:val="24"/>
        </w:rPr>
        <w:t>① Cover</w:t>
      </w:r>
      <w:r w:rsidRPr="00730EC0">
        <w:rPr>
          <w:sz w:val="24"/>
          <w:szCs w:val="24"/>
        </w:rPr>
        <w:t xml:space="preserve"> — Document index, navigation guide, and submission requirements checklist confirming all 4 criteria are met (25+ sophisticated measures, time intelligence implementation, accuracy validation, performance and concurrency testing).</w:t>
      </w:r>
    </w:p>
    <w:p w:rsidR="00730EC0" w:rsidRPr="00730EC0" w:rsidRDefault="00730EC0" w:rsidP="00730EC0">
      <w:pPr>
        <w:rPr>
          <w:sz w:val="24"/>
          <w:szCs w:val="24"/>
        </w:rPr>
      </w:pPr>
      <w:r w:rsidRPr="00730EC0">
        <w:rPr>
          <w:b/>
          <w:bCs/>
          <w:sz w:val="24"/>
          <w:szCs w:val="24"/>
        </w:rPr>
        <w:t xml:space="preserve">② </w:t>
      </w:r>
      <w:proofErr w:type="spellStart"/>
      <w:r w:rsidRPr="00730EC0">
        <w:rPr>
          <w:b/>
          <w:bCs/>
          <w:sz w:val="24"/>
          <w:szCs w:val="24"/>
        </w:rPr>
        <w:t>Advanced_Measure_Library</w:t>
      </w:r>
      <w:proofErr w:type="spellEnd"/>
      <w:r w:rsidRPr="00730EC0">
        <w:rPr>
          <w:sz w:val="24"/>
          <w:szCs w:val="24"/>
        </w:rPr>
        <w:t xml:space="preserve"> — 40+ DAX measures organized into 8 analytical categories: Revenue Intelligence, Subscription &amp; ARR Analytics, Profitability &amp; Cost, Customer Lifetime Value, Resource &amp; Utilization, Time Intelligence Suite, Operational Quality, and Executive KPIs. Each measure includes DAX formula, format string, display folder, complexity rating, and dependency chain.</w:t>
      </w:r>
    </w:p>
    <w:p w:rsidR="00730EC0" w:rsidRPr="00730EC0" w:rsidRDefault="00730EC0" w:rsidP="00730EC0">
      <w:pPr>
        <w:rPr>
          <w:sz w:val="24"/>
          <w:szCs w:val="24"/>
        </w:rPr>
      </w:pPr>
      <w:r w:rsidRPr="00730EC0">
        <w:rPr>
          <w:b/>
          <w:bCs/>
          <w:sz w:val="24"/>
          <w:szCs w:val="24"/>
        </w:rPr>
        <w:t xml:space="preserve">③ </w:t>
      </w:r>
      <w:proofErr w:type="spellStart"/>
      <w:r w:rsidRPr="00730EC0">
        <w:rPr>
          <w:b/>
          <w:bCs/>
          <w:sz w:val="24"/>
          <w:szCs w:val="24"/>
        </w:rPr>
        <w:t>Time_Intelligence_Suite</w:t>
      </w:r>
      <w:proofErr w:type="spellEnd"/>
      <w:r w:rsidRPr="00730EC0">
        <w:rPr>
          <w:sz w:val="24"/>
          <w:szCs w:val="24"/>
        </w:rPr>
        <w:t xml:space="preserve"> — Dedicated sheet for all time-based calculations: YTD/QTD/MTD variants, SAMEPERIODLASTYEAR, DATEADD rolling windows, period-over-period variance, running totals, and moving averages. Includes the USERELATIONSHIP activation matrix showing which inactive </w:t>
      </w:r>
      <w:proofErr w:type="spellStart"/>
      <w:r w:rsidRPr="00730EC0">
        <w:rPr>
          <w:sz w:val="24"/>
          <w:szCs w:val="24"/>
        </w:rPr>
        <w:t>DimDate</w:t>
      </w:r>
      <w:proofErr w:type="spellEnd"/>
      <w:r w:rsidRPr="00730EC0">
        <w:rPr>
          <w:sz w:val="24"/>
          <w:szCs w:val="24"/>
        </w:rPr>
        <w:t xml:space="preserve"> roles each measure requires, and a visual calendar of which date columns each calculation touches.</w:t>
      </w:r>
    </w:p>
    <w:p w:rsidR="00730EC0" w:rsidRPr="00730EC0" w:rsidRDefault="00730EC0" w:rsidP="00730EC0">
      <w:pPr>
        <w:rPr>
          <w:sz w:val="24"/>
          <w:szCs w:val="24"/>
        </w:rPr>
      </w:pPr>
      <w:r w:rsidRPr="00730EC0">
        <w:rPr>
          <w:b/>
          <w:bCs/>
          <w:sz w:val="24"/>
          <w:szCs w:val="24"/>
        </w:rPr>
        <w:t xml:space="preserve">④ </w:t>
      </w:r>
      <w:proofErr w:type="spellStart"/>
      <w:r w:rsidRPr="00730EC0">
        <w:rPr>
          <w:b/>
          <w:bCs/>
          <w:sz w:val="24"/>
          <w:szCs w:val="24"/>
        </w:rPr>
        <w:t>Business_Logic_Validation</w:t>
      </w:r>
      <w:proofErr w:type="spellEnd"/>
      <w:r w:rsidRPr="00730EC0">
        <w:rPr>
          <w:sz w:val="24"/>
          <w:szCs w:val="24"/>
        </w:rPr>
        <w:t xml:space="preserve"> — Systematic test framework with 35+ validation cases across </w:t>
      </w:r>
      <w:proofErr w:type="gramStart"/>
      <w:r w:rsidRPr="00730EC0">
        <w:rPr>
          <w:sz w:val="24"/>
          <w:szCs w:val="24"/>
        </w:rPr>
        <w:t>5</w:t>
      </w:r>
      <w:proofErr w:type="gramEnd"/>
      <w:r w:rsidRPr="00730EC0">
        <w:rPr>
          <w:sz w:val="24"/>
          <w:szCs w:val="24"/>
        </w:rPr>
        <w:t xml:space="preserve"> categories: mathematical accuracy (Profit = Revenue − Cost), referential integrity </w:t>
      </w:r>
      <w:r w:rsidRPr="00730EC0">
        <w:rPr>
          <w:sz w:val="24"/>
          <w:szCs w:val="24"/>
        </w:rPr>
        <w:lastRenderedPageBreak/>
        <w:t>cross-checks, aggregation consistency (measure total = sum of parts), filter context verification (measures respond correctly to each hierarchy slicer), and edge case handling (blanks, zeros, single-row filters). Each test shows expected result, actual DAX output, pass/fail status, and remediation note.</w:t>
      </w:r>
    </w:p>
    <w:p w:rsidR="00730EC0" w:rsidRPr="00730EC0" w:rsidRDefault="00730EC0" w:rsidP="00730EC0">
      <w:pPr>
        <w:rPr>
          <w:sz w:val="24"/>
          <w:szCs w:val="24"/>
        </w:rPr>
      </w:pPr>
      <w:r w:rsidRPr="00730EC0">
        <w:rPr>
          <w:b/>
          <w:bCs/>
          <w:sz w:val="24"/>
          <w:szCs w:val="24"/>
        </w:rPr>
        <w:t xml:space="preserve">⑤ </w:t>
      </w:r>
      <w:proofErr w:type="spellStart"/>
      <w:r w:rsidRPr="00730EC0">
        <w:rPr>
          <w:b/>
          <w:bCs/>
          <w:sz w:val="24"/>
          <w:szCs w:val="24"/>
        </w:rPr>
        <w:t>Independent_Verification</w:t>
      </w:r>
      <w:proofErr w:type="spellEnd"/>
      <w:r w:rsidRPr="00730EC0">
        <w:rPr>
          <w:sz w:val="24"/>
          <w:szCs w:val="24"/>
        </w:rPr>
        <w:t xml:space="preserve"> — Side-by-side verification of every critical measure calculated two independent ways: once via the primary DAX measure and once via an alternative DAX approach or manual Excel pivot </w:t>
      </w:r>
      <w:proofErr w:type="gramStart"/>
      <w:r w:rsidRPr="00730EC0">
        <w:rPr>
          <w:sz w:val="24"/>
          <w:szCs w:val="24"/>
        </w:rPr>
        <w:t>cross-check</w:t>
      </w:r>
      <w:proofErr w:type="gramEnd"/>
      <w:r w:rsidRPr="00730EC0">
        <w:rPr>
          <w:sz w:val="24"/>
          <w:szCs w:val="24"/>
        </w:rPr>
        <w:t>. Discrepancies flagged with root cause analysis. Covers revenue reconciliation, margin validation, ARR/MRR arithmetic, and headcount integrity.</w:t>
      </w:r>
    </w:p>
    <w:p w:rsidR="00730EC0" w:rsidRPr="00730EC0" w:rsidRDefault="00730EC0" w:rsidP="00730EC0">
      <w:pPr>
        <w:rPr>
          <w:sz w:val="24"/>
          <w:szCs w:val="24"/>
        </w:rPr>
      </w:pPr>
      <w:r w:rsidRPr="00730EC0">
        <w:rPr>
          <w:b/>
          <w:bCs/>
          <w:sz w:val="24"/>
          <w:szCs w:val="24"/>
        </w:rPr>
        <w:t xml:space="preserve">⑥ </w:t>
      </w:r>
      <w:proofErr w:type="spellStart"/>
      <w:r w:rsidRPr="00730EC0">
        <w:rPr>
          <w:b/>
          <w:bCs/>
          <w:sz w:val="24"/>
          <w:szCs w:val="24"/>
        </w:rPr>
        <w:t>Performance_Optimization</w:t>
      </w:r>
      <w:proofErr w:type="spellEnd"/>
      <w:r w:rsidRPr="00730EC0">
        <w:rPr>
          <w:sz w:val="24"/>
          <w:szCs w:val="24"/>
        </w:rPr>
        <w:t xml:space="preserve"> — Query performance analysis with </w:t>
      </w:r>
      <w:proofErr w:type="spellStart"/>
      <w:r w:rsidRPr="00730EC0">
        <w:rPr>
          <w:sz w:val="24"/>
          <w:szCs w:val="24"/>
        </w:rPr>
        <w:t>VertiPaq</w:t>
      </w:r>
      <w:proofErr w:type="spellEnd"/>
      <w:r w:rsidRPr="00730EC0">
        <w:rPr>
          <w:sz w:val="24"/>
          <w:szCs w:val="24"/>
        </w:rPr>
        <w:t xml:space="preserve"> </w:t>
      </w:r>
      <w:proofErr w:type="spellStart"/>
      <w:r w:rsidRPr="00730EC0">
        <w:rPr>
          <w:sz w:val="24"/>
          <w:szCs w:val="24"/>
        </w:rPr>
        <w:t>Analyzer</w:t>
      </w:r>
      <w:proofErr w:type="spellEnd"/>
      <w:r w:rsidRPr="00730EC0">
        <w:rPr>
          <w:sz w:val="24"/>
          <w:szCs w:val="24"/>
        </w:rPr>
        <w:t>-style metrics: table compression ratios, column cardinality impact, measure evaluation cost estimates, and query plan recommendations. Includes a before/after optimization log for each strategy applied (variable reuse, SUMMARIZECOLUMNS vs SUMMARIZE, CALCULATE filter argument efficiency, avoiding iterator overuse).</w:t>
      </w:r>
    </w:p>
    <w:p w:rsidR="00730EC0" w:rsidRPr="00730EC0" w:rsidRDefault="00730EC0" w:rsidP="00730EC0">
      <w:pPr>
        <w:rPr>
          <w:sz w:val="24"/>
          <w:szCs w:val="24"/>
        </w:rPr>
      </w:pPr>
      <w:r w:rsidRPr="00730EC0">
        <w:rPr>
          <w:b/>
          <w:bCs/>
          <w:sz w:val="24"/>
          <w:szCs w:val="24"/>
        </w:rPr>
        <w:t xml:space="preserve">⑦ </w:t>
      </w:r>
      <w:proofErr w:type="spellStart"/>
      <w:r w:rsidRPr="00730EC0">
        <w:rPr>
          <w:b/>
          <w:bCs/>
          <w:sz w:val="24"/>
          <w:szCs w:val="24"/>
        </w:rPr>
        <w:t>Concurrency_Scenarios</w:t>
      </w:r>
      <w:proofErr w:type="spellEnd"/>
      <w:r w:rsidRPr="00730EC0">
        <w:rPr>
          <w:sz w:val="24"/>
          <w:szCs w:val="24"/>
        </w:rPr>
        <w:t xml:space="preserve"> — Simulated multi-user load testing framework: </w:t>
      </w:r>
      <w:proofErr w:type="gramStart"/>
      <w:r w:rsidRPr="00730EC0">
        <w:rPr>
          <w:sz w:val="24"/>
          <w:szCs w:val="24"/>
        </w:rPr>
        <w:t>5</w:t>
      </w:r>
      <w:proofErr w:type="gramEnd"/>
      <w:r w:rsidRPr="00730EC0">
        <w:rPr>
          <w:sz w:val="24"/>
          <w:szCs w:val="24"/>
        </w:rPr>
        <w:t xml:space="preserve"> concurrency scenarios (1, 5, 15, 25, and 50 simultaneous users) with expected query response times, memory footprint estimates, refresh window impact, and Premium vs Pro capacity recommendations. Includes a decision matrix for when to implement aggregation tables or partitioning.</w:t>
      </w:r>
    </w:p>
    <w:p w:rsidR="00730EC0" w:rsidRPr="00730EC0" w:rsidRDefault="00730EC0" w:rsidP="00730EC0">
      <w:pPr>
        <w:rPr>
          <w:sz w:val="24"/>
          <w:szCs w:val="24"/>
        </w:rPr>
      </w:pPr>
      <w:r w:rsidRPr="00730EC0">
        <w:rPr>
          <w:b/>
          <w:bCs/>
          <w:sz w:val="24"/>
          <w:szCs w:val="24"/>
        </w:rPr>
        <w:t xml:space="preserve">⑧ </w:t>
      </w:r>
      <w:proofErr w:type="spellStart"/>
      <w:r w:rsidRPr="00730EC0">
        <w:rPr>
          <w:b/>
          <w:bCs/>
          <w:sz w:val="24"/>
          <w:szCs w:val="24"/>
        </w:rPr>
        <w:t>Cross_Functional_Integration</w:t>
      </w:r>
      <w:proofErr w:type="spellEnd"/>
      <w:r w:rsidRPr="00730EC0">
        <w:rPr>
          <w:sz w:val="24"/>
          <w:szCs w:val="24"/>
        </w:rPr>
        <w:t xml:space="preserve"> — Business unit alignment matrix mapping every measure to the persona/BU that owns it (Finance, Sales, Operations, Executive), the source table(s) it draws from, and the hierarchy context it requires. Validates that each of the </w:t>
      </w:r>
      <w:proofErr w:type="gramStart"/>
      <w:r w:rsidRPr="00730EC0">
        <w:rPr>
          <w:sz w:val="24"/>
          <w:szCs w:val="24"/>
        </w:rPr>
        <w:t>3</w:t>
      </w:r>
      <w:proofErr w:type="gramEnd"/>
      <w:r w:rsidRPr="00730EC0">
        <w:rPr>
          <w:sz w:val="24"/>
          <w:szCs w:val="24"/>
        </w:rPr>
        <w:t xml:space="preserve"> business lines (Technology Consulting, Cloud Infrastructure, Cybersecurity Solutions) has full analytical coverage with no measurement gaps or inconsistent KPI definitions across units.</w:t>
      </w:r>
    </w:p>
    <w:p w:rsidR="00730EC0" w:rsidRPr="00730EC0" w:rsidRDefault="00730EC0" w:rsidP="00730EC0">
      <w:pPr>
        <w:rPr>
          <w:sz w:val="24"/>
          <w:szCs w:val="24"/>
        </w:rPr>
      </w:pPr>
      <w:proofErr w:type="gramStart"/>
      <w:r w:rsidRPr="00730EC0">
        <w:rPr>
          <w:sz w:val="24"/>
          <w:szCs w:val="24"/>
        </w:rPr>
        <w:t>Here's</w:t>
      </w:r>
      <w:proofErr w:type="gramEnd"/>
      <w:r w:rsidRPr="00730EC0">
        <w:rPr>
          <w:sz w:val="24"/>
          <w:szCs w:val="24"/>
        </w:rPr>
        <w:t xml:space="preserve"> the </w:t>
      </w:r>
      <w:r w:rsidRPr="00730EC0">
        <w:rPr>
          <w:b/>
          <w:bCs/>
          <w:sz w:val="24"/>
          <w:szCs w:val="24"/>
        </w:rPr>
        <w:t>Question 4 – Final Integration and Presentation</w:t>
      </w:r>
      <w:r w:rsidRPr="00730EC0">
        <w:rPr>
          <w:sz w:val="24"/>
          <w:szCs w:val="24"/>
        </w:rPr>
        <w:t xml:space="preserve"> Tab breakdown:</w:t>
      </w:r>
    </w:p>
    <w:p w:rsidR="00730EC0" w:rsidRPr="00730EC0" w:rsidRDefault="00730EC0" w:rsidP="00730EC0">
      <w:pPr>
        <w:rPr>
          <w:sz w:val="24"/>
          <w:szCs w:val="24"/>
        </w:rPr>
      </w:pPr>
      <w:r w:rsidRPr="00730EC0">
        <w:rPr>
          <w:sz w:val="24"/>
          <w:szCs w:val="24"/>
        </w:rPr>
        <w:pict>
          <v:rect id="_x0000_i1055" style="width:0;height:1.5pt" o:hralign="center" o:hrstd="t" o:hr="t" fillcolor="#a0a0a0" stroked="f"/>
        </w:pict>
      </w:r>
    </w:p>
    <w:p w:rsidR="00730EC0" w:rsidRPr="00730EC0" w:rsidRDefault="00730EC0" w:rsidP="00730EC0">
      <w:pPr>
        <w:rPr>
          <w:sz w:val="24"/>
          <w:szCs w:val="24"/>
        </w:rPr>
      </w:pPr>
      <w:r w:rsidRPr="00730EC0">
        <w:rPr>
          <w:b/>
          <w:bCs/>
          <w:sz w:val="24"/>
          <w:szCs w:val="24"/>
        </w:rPr>
        <w:t>① Cover</w:t>
      </w:r>
      <w:r w:rsidRPr="00730EC0">
        <w:rPr>
          <w:sz w:val="24"/>
          <w:szCs w:val="24"/>
        </w:rPr>
        <w:t xml:space="preserve"> — Executive-grade document index with project summary, final scope confirmation checklist, and a one-page solution overview positioning the </w:t>
      </w:r>
      <w:proofErr w:type="spellStart"/>
      <w:r w:rsidRPr="00730EC0">
        <w:rPr>
          <w:sz w:val="24"/>
          <w:szCs w:val="24"/>
        </w:rPr>
        <w:t>TechForward</w:t>
      </w:r>
      <w:proofErr w:type="spellEnd"/>
      <w:r w:rsidRPr="00730EC0">
        <w:rPr>
          <w:sz w:val="24"/>
          <w:szCs w:val="24"/>
        </w:rPr>
        <w:t xml:space="preserve"> Power BI model as a production-ready enterprise analytical platform serving 3 business lines, 12 countries, and 4 user communities.</w:t>
      </w:r>
    </w:p>
    <w:p w:rsidR="00730EC0" w:rsidRPr="00730EC0" w:rsidRDefault="00730EC0" w:rsidP="00730EC0">
      <w:pPr>
        <w:rPr>
          <w:sz w:val="24"/>
          <w:szCs w:val="24"/>
        </w:rPr>
      </w:pPr>
      <w:r w:rsidRPr="00730EC0">
        <w:rPr>
          <w:b/>
          <w:bCs/>
          <w:sz w:val="24"/>
          <w:szCs w:val="24"/>
        </w:rPr>
        <w:t xml:space="preserve">② </w:t>
      </w:r>
      <w:proofErr w:type="spellStart"/>
      <w:r w:rsidRPr="00730EC0">
        <w:rPr>
          <w:b/>
          <w:bCs/>
          <w:sz w:val="24"/>
          <w:szCs w:val="24"/>
        </w:rPr>
        <w:t>Solution_Architecture</w:t>
      </w:r>
      <w:proofErr w:type="spellEnd"/>
      <w:r w:rsidRPr="00730EC0">
        <w:rPr>
          <w:sz w:val="24"/>
          <w:szCs w:val="24"/>
        </w:rPr>
        <w:t xml:space="preserve"> — Complete end-to-end model blueprint consolidating all Q1–Q3 deliverables into a single integrated view: the full 13-table schema, all 20 relationships, 6 hierarchies, 50+ measures, RLS security design, and refresh architecture shown as a cohesive system. Includes a deployment readiness checklist with sign-off fields for each </w:t>
      </w:r>
      <w:proofErr w:type="spellStart"/>
      <w:r w:rsidRPr="00730EC0">
        <w:rPr>
          <w:sz w:val="24"/>
          <w:szCs w:val="24"/>
        </w:rPr>
        <w:t>workstream</w:t>
      </w:r>
      <w:proofErr w:type="spellEnd"/>
      <w:r w:rsidRPr="00730EC0">
        <w:rPr>
          <w:sz w:val="24"/>
          <w:szCs w:val="24"/>
        </w:rPr>
        <w:t>.</w:t>
      </w:r>
    </w:p>
    <w:p w:rsidR="00730EC0" w:rsidRPr="00730EC0" w:rsidRDefault="00730EC0" w:rsidP="00730EC0">
      <w:pPr>
        <w:rPr>
          <w:sz w:val="24"/>
          <w:szCs w:val="24"/>
        </w:rPr>
      </w:pPr>
      <w:r w:rsidRPr="00730EC0">
        <w:rPr>
          <w:b/>
          <w:bCs/>
          <w:sz w:val="24"/>
          <w:szCs w:val="24"/>
        </w:rPr>
        <w:t xml:space="preserve">③ </w:t>
      </w:r>
      <w:proofErr w:type="spellStart"/>
      <w:r w:rsidRPr="00730EC0">
        <w:rPr>
          <w:b/>
          <w:bCs/>
          <w:sz w:val="24"/>
          <w:szCs w:val="24"/>
        </w:rPr>
        <w:t>Executive_Summary</w:t>
      </w:r>
      <w:proofErr w:type="spellEnd"/>
      <w:r w:rsidRPr="00730EC0">
        <w:rPr>
          <w:sz w:val="24"/>
          <w:szCs w:val="24"/>
        </w:rPr>
        <w:t xml:space="preserve"> — Board-ready one-pager capturing the business case: problem statement (40+ hours/month manual reporting, data silos, inconsistent metrics), solution delivered, quantified benefits by business unit, and a before/after comparison </w:t>
      </w:r>
      <w:proofErr w:type="gramStart"/>
      <w:r w:rsidRPr="00730EC0">
        <w:rPr>
          <w:sz w:val="24"/>
          <w:szCs w:val="24"/>
        </w:rPr>
        <w:t>table</w:t>
      </w:r>
      <w:proofErr w:type="gramEnd"/>
      <w:r w:rsidRPr="00730EC0">
        <w:rPr>
          <w:sz w:val="24"/>
          <w:szCs w:val="24"/>
        </w:rPr>
        <w:t xml:space="preserve"> </w:t>
      </w:r>
      <w:r w:rsidRPr="00730EC0">
        <w:rPr>
          <w:sz w:val="24"/>
          <w:szCs w:val="24"/>
        </w:rPr>
        <w:lastRenderedPageBreak/>
        <w:t>showing analytical capability gaps closed. Written for non-technical stakeholders with no DAX or schema language.</w:t>
      </w:r>
    </w:p>
    <w:p w:rsidR="00730EC0" w:rsidRPr="00730EC0" w:rsidRDefault="00730EC0" w:rsidP="00730EC0">
      <w:pPr>
        <w:rPr>
          <w:sz w:val="24"/>
          <w:szCs w:val="24"/>
        </w:rPr>
      </w:pPr>
      <w:r w:rsidRPr="00730EC0">
        <w:rPr>
          <w:b/>
          <w:bCs/>
          <w:sz w:val="24"/>
          <w:szCs w:val="24"/>
        </w:rPr>
        <w:t xml:space="preserve">④ </w:t>
      </w:r>
      <w:proofErr w:type="spellStart"/>
      <w:r w:rsidRPr="00730EC0">
        <w:rPr>
          <w:b/>
          <w:bCs/>
          <w:sz w:val="24"/>
          <w:szCs w:val="24"/>
        </w:rPr>
        <w:t>Testing_Validation_Report</w:t>
      </w:r>
      <w:proofErr w:type="spellEnd"/>
      <w:r w:rsidRPr="00730EC0">
        <w:rPr>
          <w:sz w:val="24"/>
          <w:szCs w:val="24"/>
        </w:rPr>
        <w:t xml:space="preserve"> — Consolidated test results across all four questions: data quality tests (Q1), hierarchy navigation tests (Q2), measure accuracy and performance tests (Q3), and end-to-end integration tests (Q4). Summary scorecard by category with total pass rate, outstanding risks, and sign-off status. Includes regression test log confirming no existing functionality broke during Q3–Q4 enhancements.</w:t>
      </w:r>
    </w:p>
    <w:p w:rsidR="00730EC0" w:rsidRPr="00730EC0" w:rsidRDefault="00730EC0" w:rsidP="00730EC0">
      <w:pPr>
        <w:rPr>
          <w:sz w:val="24"/>
          <w:szCs w:val="24"/>
        </w:rPr>
      </w:pPr>
      <w:proofErr w:type="gramStart"/>
      <w:r w:rsidRPr="00730EC0">
        <w:rPr>
          <w:b/>
          <w:bCs/>
          <w:sz w:val="24"/>
          <w:szCs w:val="24"/>
        </w:rPr>
        <w:t xml:space="preserve">⑤ </w:t>
      </w:r>
      <w:proofErr w:type="spellStart"/>
      <w:r w:rsidRPr="00730EC0">
        <w:rPr>
          <w:b/>
          <w:bCs/>
          <w:sz w:val="24"/>
          <w:szCs w:val="24"/>
        </w:rPr>
        <w:t>User_Training_Guide</w:t>
      </w:r>
      <w:proofErr w:type="spellEnd"/>
      <w:r w:rsidRPr="00730EC0">
        <w:rPr>
          <w:sz w:val="24"/>
          <w:szCs w:val="24"/>
        </w:rPr>
        <w:t xml:space="preserve"> — Role-based training materials for each of the 3 personas: quick-start card (5-minute orientation), step-by-step workflow walkthroughs for the top 3 analytical tasks per persona, visual annotated screenshots of report layouts, a glossary of business terms mapped to measure names, and an FAQ addressing the most common misinterpretations (delivery region vs. billing region, SCD-2 current record filter, MRR vs. ARR distinction).</w:t>
      </w:r>
      <w:proofErr w:type="gramEnd"/>
    </w:p>
    <w:p w:rsidR="00730EC0" w:rsidRPr="00730EC0" w:rsidRDefault="00730EC0" w:rsidP="00730EC0">
      <w:pPr>
        <w:rPr>
          <w:sz w:val="24"/>
          <w:szCs w:val="24"/>
        </w:rPr>
      </w:pPr>
      <w:r w:rsidRPr="00730EC0">
        <w:rPr>
          <w:b/>
          <w:bCs/>
          <w:sz w:val="24"/>
          <w:szCs w:val="24"/>
        </w:rPr>
        <w:t xml:space="preserve">⑥ </w:t>
      </w:r>
      <w:proofErr w:type="spellStart"/>
      <w:r w:rsidRPr="00730EC0">
        <w:rPr>
          <w:b/>
          <w:bCs/>
          <w:sz w:val="24"/>
          <w:szCs w:val="24"/>
        </w:rPr>
        <w:t>Self_Service_Playbook</w:t>
      </w:r>
      <w:proofErr w:type="spellEnd"/>
      <w:r w:rsidRPr="00730EC0">
        <w:rPr>
          <w:sz w:val="24"/>
          <w:szCs w:val="24"/>
        </w:rPr>
        <w:t xml:space="preserve"> — Enablement guide for business users building their own reports: which tables and fields to use vs. avoid, safe slicer combinations that won't break filter context, recommended visual types per measure category, cross-filter direction warnings, and a "common mistakes" reference sheet covering the 10 most frequent errors seen in Power BI self-service environments.</w:t>
      </w:r>
    </w:p>
    <w:p w:rsidR="00730EC0" w:rsidRPr="00730EC0" w:rsidRDefault="00730EC0" w:rsidP="00730EC0">
      <w:pPr>
        <w:rPr>
          <w:sz w:val="24"/>
          <w:szCs w:val="24"/>
        </w:rPr>
      </w:pPr>
      <w:proofErr w:type="gramStart"/>
      <w:r w:rsidRPr="00730EC0">
        <w:rPr>
          <w:b/>
          <w:bCs/>
          <w:sz w:val="24"/>
          <w:szCs w:val="24"/>
        </w:rPr>
        <w:t xml:space="preserve">⑦ </w:t>
      </w:r>
      <w:proofErr w:type="spellStart"/>
      <w:r w:rsidRPr="00730EC0">
        <w:rPr>
          <w:b/>
          <w:bCs/>
          <w:sz w:val="24"/>
          <w:szCs w:val="24"/>
        </w:rPr>
        <w:t>Governance_Framework</w:t>
      </w:r>
      <w:proofErr w:type="spellEnd"/>
      <w:r w:rsidRPr="00730EC0">
        <w:rPr>
          <w:sz w:val="24"/>
          <w:szCs w:val="24"/>
        </w:rPr>
        <w:t xml:space="preserve"> — Ongoing model stewardship processes covering 5 governance pillars: Change Control (how new measures and tables are requested, reviewed, and approved), Data Quality Monitoring (scheduled validation DAX queries and alert thresholds), Refresh Management (incremental refresh schedule by table, failure escalation path), Access Management (RLS role assignment workflow and quarterly access review), and Version Control (naming convention for model versions, rollback procedure, and change log template).</w:t>
      </w:r>
      <w:proofErr w:type="gramEnd"/>
    </w:p>
    <w:p w:rsidR="00730EC0" w:rsidRPr="00730EC0" w:rsidRDefault="00730EC0" w:rsidP="00730EC0">
      <w:pPr>
        <w:rPr>
          <w:sz w:val="24"/>
          <w:szCs w:val="24"/>
        </w:rPr>
      </w:pPr>
      <w:r w:rsidRPr="00730EC0">
        <w:rPr>
          <w:b/>
          <w:bCs/>
          <w:sz w:val="24"/>
          <w:szCs w:val="24"/>
        </w:rPr>
        <w:t xml:space="preserve">⑧ </w:t>
      </w:r>
      <w:proofErr w:type="spellStart"/>
      <w:r w:rsidRPr="00730EC0">
        <w:rPr>
          <w:b/>
          <w:bCs/>
          <w:sz w:val="24"/>
          <w:szCs w:val="24"/>
        </w:rPr>
        <w:t>Maintenance_Runbook</w:t>
      </w:r>
      <w:proofErr w:type="spellEnd"/>
      <w:r w:rsidRPr="00730EC0">
        <w:rPr>
          <w:sz w:val="24"/>
          <w:szCs w:val="24"/>
        </w:rPr>
        <w:t xml:space="preserve"> — Technical operations guide for the model administrator: monthly maintenance checklist, how to add a new product or territory without breaking existing relationships, SCD-2 update procedure for employee org changes, </w:t>
      </w:r>
      <w:proofErr w:type="spellStart"/>
      <w:r w:rsidRPr="00730EC0">
        <w:rPr>
          <w:sz w:val="24"/>
          <w:szCs w:val="24"/>
        </w:rPr>
        <w:t>DimDate</w:t>
      </w:r>
      <w:proofErr w:type="spellEnd"/>
      <w:r w:rsidRPr="00730EC0">
        <w:rPr>
          <w:sz w:val="24"/>
          <w:szCs w:val="24"/>
        </w:rPr>
        <w:t xml:space="preserve"> extension process when the calendar year rolls over, performance degradation diagnostic steps, and a contact matrix for escalation by issue type.</w:t>
      </w:r>
    </w:p>
    <w:p w:rsidR="00730EC0" w:rsidRPr="00730EC0" w:rsidRDefault="00730EC0" w:rsidP="00730EC0">
      <w:pPr>
        <w:rPr>
          <w:sz w:val="24"/>
          <w:szCs w:val="24"/>
        </w:rPr>
      </w:pPr>
      <w:r w:rsidRPr="00730EC0">
        <w:rPr>
          <w:b/>
          <w:bCs/>
          <w:sz w:val="24"/>
          <w:szCs w:val="24"/>
        </w:rPr>
        <w:t xml:space="preserve">⑨ </w:t>
      </w:r>
      <w:proofErr w:type="spellStart"/>
      <w:r w:rsidRPr="00730EC0">
        <w:rPr>
          <w:b/>
          <w:bCs/>
          <w:sz w:val="24"/>
          <w:szCs w:val="24"/>
        </w:rPr>
        <w:t>KPI_Glossary</w:t>
      </w:r>
      <w:proofErr w:type="spellEnd"/>
      <w:r w:rsidRPr="00730EC0">
        <w:rPr>
          <w:sz w:val="24"/>
          <w:szCs w:val="24"/>
        </w:rPr>
        <w:t xml:space="preserve"> — Single source of truth for all 50+ measures: business definition written in plain English, calculation logic in business terms (not DAX), data source lineage, owning business unit, refresh frequency, known limitations, and the name of the measure owner accountable for its accuracy. Designed to be printed and </w:t>
      </w:r>
      <w:proofErr w:type="gramStart"/>
      <w:r w:rsidRPr="00730EC0">
        <w:rPr>
          <w:sz w:val="24"/>
          <w:szCs w:val="24"/>
        </w:rPr>
        <w:t>distributed</w:t>
      </w:r>
      <w:proofErr w:type="gramEnd"/>
      <w:r w:rsidRPr="00730EC0">
        <w:rPr>
          <w:sz w:val="24"/>
          <w:szCs w:val="24"/>
        </w:rPr>
        <w:t xml:space="preserve"> as a laminated reference card for business stakeholders.</w:t>
      </w:r>
    </w:p>
    <w:p w:rsidR="00730EC0" w:rsidRPr="00730EC0" w:rsidRDefault="00730EC0" w:rsidP="00730EC0">
      <w:pPr>
        <w:rPr>
          <w:sz w:val="24"/>
          <w:szCs w:val="24"/>
        </w:rPr>
      </w:pPr>
      <w:r w:rsidRPr="00730EC0">
        <w:rPr>
          <w:b/>
          <w:bCs/>
          <w:sz w:val="24"/>
          <w:szCs w:val="24"/>
        </w:rPr>
        <w:t xml:space="preserve">⑩ </w:t>
      </w:r>
      <w:proofErr w:type="spellStart"/>
      <w:r w:rsidRPr="00730EC0">
        <w:rPr>
          <w:b/>
          <w:bCs/>
          <w:sz w:val="24"/>
          <w:szCs w:val="24"/>
        </w:rPr>
        <w:t>Stakeholder_Signoff</w:t>
      </w:r>
      <w:proofErr w:type="spellEnd"/>
      <w:r w:rsidRPr="00730EC0">
        <w:rPr>
          <w:sz w:val="24"/>
          <w:szCs w:val="24"/>
        </w:rPr>
        <w:t xml:space="preserve"> — Formal acceptance and deployment authorization document: scope confirmation matrix (each requirement mapped to the deliverable that satisfies it), test completion attestation, identified risks and mitigations, go-live readiness declaration with fields for sign-off by the technical lead, business owner, and executive sponsor, and a post-deployment 30/60/90-day review schedule.</w:t>
      </w:r>
    </w:p>
    <w:p w:rsidR="004F4F80" w:rsidRPr="00DF039E" w:rsidRDefault="004F4F80">
      <w:pPr>
        <w:rPr>
          <w:sz w:val="24"/>
          <w:szCs w:val="24"/>
        </w:rPr>
      </w:pPr>
      <w:bookmarkStart w:id="0" w:name="_GoBack"/>
      <w:bookmarkEnd w:id="0"/>
    </w:p>
    <w:sectPr w:rsidR="004F4F80" w:rsidRPr="00DF0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D5741C"/>
    <w:multiLevelType w:val="multilevel"/>
    <w:tmpl w:val="2C2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4E9"/>
    <w:rsid w:val="004F4F80"/>
    <w:rsid w:val="005E04E9"/>
    <w:rsid w:val="00730EC0"/>
    <w:rsid w:val="00CB7E04"/>
    <w:rsid w:val="00DF03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425D"/>
  <w15:chartTrackingRefBased/>
  <w15:docId w15:val="{8A366883-C631-4B2B-8AAB-339EC23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13191">
      <w:bodyDiv w:val="1"/>
      <w:marLeft w:val="0"/>
      <w:marRight w:val="0"/>
      <w:marTop w:val="0"/>
      <w:marBottom w:val="0"/>
      <w:divBdr>
        <w:top w:val="none" w:sz="0" w:space="0" w:color="auto"/>
        <w:left w:val="none" w:sz="0" w:space="0" w:color="auto"/>
        <w:bottom w:val="none" w:sz="0" w:space="0" w:color="auto"/>
        <w:right w:val="none" w:sz="0" w:space="0" w:color="auto"/>
      </w:divBdr>
    </w:div>
    <w:div w:id="704986572">
      <w:bodyDiv w:val="1"/>
      <w:marLeft w:val="0"/>
      <w:marRight w:val="0"/>
      <w:marTop w:val="0"/>
      <w:marBottom w:val="0"/>
      <w:divBdr>
        <w:top w:val="none" w:sz="0" w:space="0" w:color="auto"/>
        <w:left w:val="none" w:sz="0" w:space="0" w:color="auto"/>
        <w:bottom w:val="none" w:sz="0" w:space="0" w:color="auto"/>
        <w:right w:val="none" w:sz="0" w:space="0" w:color="auto"/>
      </w:divBdr>
    </w:div>
    <w:div w:id="723025420">
      <w:bodyDiv w:val="1"/>
      <w:marLeft w:val="0"/>
      <w:marRight w:val="0"/>
      <w:marTop w:val="0"/>
      <w:marBottom w:val="0"/>
      <w:divBdr>
        <w:top w:val="none" w:sz="0" w:space="0" w:color="auto"/>
        <w:left w:val="none" w:sz="0" w:space="0" w:color="auto"/>
        <w:bottom w:val="none" w:sz="0" w:space="0" w:color="auto"/>
        <w:right w:val="none" w:sz="0" w:space="0" w:color="auto"/>
      </w:divBdr>
    </w:div>
    <w:div w:id="908612986">
      <w:bodyDiv w:val="1"/>
      <w:marLeft w:val="0"/>
      <w:marRight w:val="0"/>
      <w:marTop w:val="0"/>
      <w:marBottom w:val="0"/>
      <w:divBdr>
        <w:top w:val="none" w:sz="0" w:space="0" w:color="auto"/>
        <w:left w:val="none" w:sz="0" w:space="0" w:color="auto"/>
        <w:bottom w:val="none" w:sz="0" w:space="0" w:color="auto"/>
        <w:right w:val="none" w:sz="0" w:space="0" w:color="auto"/>
      </w:divBdr>
    </w:div>
    <w:div w:id="1106728802">
      <w:bodyDiv w:val="1"/>
      <w:marLeft w:val="0"/>
      <w:marRight w:val="0"/>
      <w:marTop w:val="0"/>
      <w:marBottom w:val="0"/>
      <w:divBdr>
        <w:top w:val="none" w:sz="0" w:space="0" w:color="auto"/>
        <w:left w:val="none" w:sz="0" w:space="0" w:color="auto"/>
        <w:bottom w:val="none" w:sz="0" w:space="0" w:color="auto"/>
        <w:right w:val="none" w:sz="0" w:space="0" w:color="auto"/>
      </w:divBdr>
    </w:div>
    <w:div w:id="1338849108">
      <w:bodyDiv w:val="1"/>
      <w:marLeft w:val="0"/>
      <w:marRight w:val="0"/>
      <w:marTop w:val="0"/>
      <w:marBottom w:val="0"/>
      <w:divBdr>
        <w:top w:val="none" w:sz="0" w:space="0" w:color="auto"/>
        <w:left w:val="none" w:sz="0" w:space="0" w:color="auto"/>
        <w:bottom w:val="none" w:sz="0" w:space="0" w:color="auto"/>
        <w:right w:val="none" w:sz="0" w:space="0" w:color="auto"/>
      </w:divBdr>
    </w:div>
    <w:div w:id="1429885251">
      <w:bodyDiv w:val="1"/>
      <w:marLeft w:val="0"/>
      <w:marRight w:val="0"/>
      <w:marTop w:val="0"/>
      <w:marBottom w:val="0"/>
      <w:divBdr>
        <w:top w:val="none" w:sz="0" w:space="0" w:color="auto"/>
        <w:left w:val="none" w:sz="0" w:space="0" w:color="auto"/>
        <w:bottom w:val="none" w:sz="0" w:space="0" w:color="auto"/>
        <w:right w:val="none" w:sz="0" w:space="0" w:color="auto"/>
      </w:divBdr>
    </w:div>
    <w:div w:id="181051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1642</Words>
  <Characters>9365</Characters>
  <Application>Microsoft Office Word</Application>
  <DocSecurity>0</DocSecurity>
  <Lines>78</Lines>
  <Paragraphs>21</Paragraphs>
  <ScaleCrop>false</ScaleCrop>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4</cp:revision>
  <dcterms:created xsi:type="dcterms:W3CDTF">2026-04-12T03:08:00Z</dcterms:created>
  <dcterms:modified xsi:type="dcterms:W3CDTF">2026-04-12T21:54:00Z</dcterms:modified>
</cp:coreProperties>
</file>