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Project Performance Domains</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Scenario:</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You are the project manager of a software development team tasked with creating a new mobile app for a large retail company. The project has a tight deadline, numerous stakeholders, and involves multiple phases, including design, development, testing, and launch.</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During the project, you encounter the following situations:</w:t>
      </w:r>
    </w:p>
    <w:p w:rsidR="00000000" w:rsidDel="00000000" w:rsidP="00000000" w:rsidRDefault="00000000" w:rsidRPr="00000000" w14:paraId="00000005">
      <w:pPr>
        <w:numPr>
          <w:ilvl w:val="0"/>
          <w:numId w:val="2"/>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Situation 1</w:t>
      </w:r>
      <w:r w:rsidDel="00000000" w:rsidR="00000000" w:rsidRPr="00000000">
        <w:rPr>
          <w:rFonts w:ascii="Calibri" w:cs="Calibri" w:eastAsia="Calibri" w:hAnsi="Calibri"/>
          <w:rtl w:val="0"/>
        </w:rPr>
        <w:t xml:space="preserve">: Several stakeholders have different expectations regarding the app’s features, and some request changes halfway through the design phase. To avoid scope creep, ensure everyone is aligned with the project’s objectives.</w:t>
      </w:r>
    </w:p>
    <w:p w:rsidR="00000000" w:rsidDel="00000000" w:rsidP="00000000" w:rsidRDefault="00000000" w:rsidRPr="00000000" w14:paraId="00000006">
      <w:pPr>
        <w:numPr>
          <w:ilvl w:val="0"/>
          <w:numId w:val="2"/>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Situation 2</w:t>
      </w:r>
      <w:r w:rsidDel="00000000" w:rsidR="00000000" w:rsidRPr="00000000">
        <w:rPr>
          <w:rFonts w:ascii="Calibri" w:cs="Calibri" w:eastAsia="Calibri" w:hAnsi="Calibri"/>
          <w:rtl w:val="0"/>
        </w:rPr>
        <w:t xml:space="preserve">: During the development phase, your team discovers that a third-party tool you rely on for payment processing is incompatible with your current architecture. You need to address this issue without delaying the project.</w:t>
      </w:r>
    </w:p>
    <w:p w:rsidR="00000000" w:rsidDel="00000000" w:rsidP="00000000" w:rsidRDefault="00000000" w:rsidRPr="00000000" w14:paraId="00000007">
      <w:pPr>
        <w:numPr>
          <w:ilvl w:val="0"/>
          <w:numId w:val="2"/>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Situation 3</w:t>
      </w:r>
      <w:r w:rsidDel="00000000" w:rsidR="00000000" w:rsidRPr="00000000">
        <w:rPr>
          <w:rFonts w:ascii="Calibri" w:cs="Calibri" w:eastAsia="Calibri" w:hAnsi="Calibri"/>
          <w:rtl w:val="0"/>
        </w:rPr>
        <w:t xml:space="preserve">: As the project moves into the testing phase, your project sponsor requests a report on its progress and adherence to the timeline and budget.</w:t>
      </w:r>
    </w:p>
    <w:p w:rsidR="00000000" w:rsidDel="00000000" w:rsidP="00000000" w:rsidRDefault="00000000" w:rsidRPr="00000000" w14:paraId="0000000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Situation 4</w:t>
      </w:r>
      <w:r w:rsidDel="00000000" w:rsidR="00000000" w:rsidRPr="00000000">
        <w:rPr>
          <w:rFonts w:ascii="Calibri" w:cs="Calibri" w:eastAsia="Calibri" w:hAnsi="Calibri"/>
          <w:rtl w:val="0"/>
        </w:rPr>
        <w:t xml:space="preserve">: Halfway through the project, new compliance regulations are introduced that may affect the app’s functionality. You need to adjust the project’s direction to comply with these regulations.</w:t>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 Analyze the four situations</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Read through each situation and identify whether it primarily involves a Project Management Principle or a Project Performance Domain. Write down your initial thoughts for each situation in 2-3 sentences.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As a reminder, below is a brief definition of a project principle and domain: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Project Management Principle</w:t>
      </w:r>
      <w:r w:rsidDel="00000000" w:rsidR="00000000" w:rsidRPr="00000000">
        <w:rPr>
          <w:rFonts w:ascii="Calibri" w:cs="Calibri" w:eastAsia="Calibri" w:hAnsi="Calibri"/>
          <w:rtl w:val="0"/>
        </w:rPr>
        <w:t xml:space="preserve">: A fundamental truth or guideline that shapes decision-making and behaviors across all aspects of the project.</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Project Performance Domain</w:t>
      </w:r>
      <w:r w:rsidDel="00000000" w:rsidR="00000000" w:rsidRPr="00000000">
        <w:rPr>
          <w:rFonts w:ascii="Calibri" w:cs="Calibri" w:eastAsia="Calibri" w:hAnsi="Calibri"/>
          <w:rtl w:val="0"/>
        </w:rPr>
        <w:t xml:space="preserve">: A grouping of related activities or functions that support achieving project goals.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rPr>
          <w:cantSplit w:val="0"/>
          <w:tblHeader w:val="0"/>
        </w:trPr>
        <w:tc>
          <w:tcPr/>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Situation 1</w:t>
            </w:r>
          </w:p>
        </w:tc>
        <w:tc>
          <w:tcPr/>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This situation affects how a project is driven toward success. It involves several stakeholders with different expectations regarding the app’s features, and some are requesting changes halfway through the design phase. To avoid scope creep, all stakeholders must be aligned with the project’s objectives, requiring an action-oriented approach that aligns with performance domains.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Situation 2</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During the development phase, your team discovers that a third-party tool you rely on for payment processing is incompatible with your current architecture. You need to address this issue without delaying the project, which involves taking action to mitigate this risk.</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Situation 3</w:t>
            </w:r>
          </w:p>
        </w:tc>
        <w:tc>
          <w:tcPr/>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As the project moves into the testing phase, your project sponsor requests a report on the project’s progress and how well the project is adhering to the timeline and budget. </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Situation 4</w:t>
            </w:r>
          </w:p>
        </w:tc>
        <w:tc>
          <w:tcPr/>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Halfway through the project, new compliance regulations are introduced that may affect the app’s functionality. You need to adjust the project’s direction to comply with these regulations.</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 Identify the specific principle/domain for each situation</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After analyzing each situation, identify the appropriate </w:t>
      </w:r>
      <w:r w:rsidDel="00000000" w:rsidR="00000000" w:rsidRPr="00000000">
        <w:rPr>
          <w:rFonts w:ascii="Calibri" w:cs="Calibri" w:eastAsia="Calibri" w:hAnsi="Calibri"/>
          <w:b w:val="1"/>
          <w:rtl w:val="0"/>
        </w:rPr>
        <w:t xml:space="preserve">Project Management Principle</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Project Performance Domain </w:t>
      </w:r>
      <w:r w:rsidDel="00000000" w:rsidR="00000000" w:rsidRPr="00000000">
        <w:rPr>
          <w:rFonts w:ascii="Calibri" w:cs="Calibri" w:eastAsia="Calibri" w:hAnsi="Calibri"/>
          <w:rtl w:val="0"/>
        </w:rPr>
        <w:t xml:space="preserve">to which each situation belongs.</w:t>
      </w:r>
    </w:p>
    <w:p w:rsidR="00000000" w:rsidDel="00000000" w:rsidP="00000000" w:rsidRDefault="00000000" w:rsidRPr="00000000" w14:paraId="000000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To help you think through each situation:</w:t>
      </w:r>
    </w:p>
    <w:p w:rsidR="00000000" w:rsidDel="00000000" w:rsidP="00000000" w:rsidRDefault="00000000" w:rsidRPr="00000000" w14:paraId="00000030">
      <w:pPr>
        <w:numPr>
          <w:ilvl w:val="0"/>
          <w:numId w:val="1"/>
        </w:numPr>
        <w:spacing w:after="240" w:before="240" w:lineRule="auto"/>
        <w:ind w:left="720" w:hanging="360"/>
      </w:pPr>
      <w:r w:rsidDel="00000000" w:rsidR="00000000" w:rsidRPr="00000000">
        <w:rPr>
          <w:rFonts w:ascii="Calibri" w:cs="Calibri" w:eastAsia="Calibri" w:hAnsi="Calibri"/>
          <w:b w:val="1"/>
          <w:rtl w:val="0"/>
        </w:rPr>
        <w:t xml:space="preserve">Ask yourself what the core issue or challenge is: </w:t>
      </w:r>
      <w:r w:rsidDel="00000000" w:rsidR="00000000" w:rsidRPr="00000000">
        <w:rPr>
          <w:rFonts w:ascii="Calibri" w:cs="Calibri" w:eastAsia="Calibri" w:hAnsi="Calibri"/>
          <w:rtl w:val="0"/>
        </w:rPr>
        <w:t xml:space="preserve">Is it more about guiding decision-making and aligning behaviors (which would indicate a Project Management Principle) or about executing specific project-related functions or tasks (which would indicate a Project Performance Domain</w:t>
      </w:r>
    </w:p>
    <w:p w:rsidR="00000000" w:rsidDel="00000000" w:rsidP="00000000" w:rsidRDefault="00000000" w:rsidRPr="00000000" w14:paraId="000000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Then, briefly explain your reasoning for each identification in 2-3 sentences.</w:t>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rPr>
          <w:cantSplit w:val="0"/>
          <w:tblHeader w:val="0"/>
        </w:trPr>
        <w:tc>
          <w:tcPr/>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Situation 1</w:t>
            </w:r>
          </w:p>
        </w:tc>
        <w:tc>
          <w:tcPr/>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b w:val="1"/>
                <w:rtl w:val="0"/>
              </w:rPr>
              <w:t xml:space="preserve">Stakeholder Engagement (Domain)</w:t>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rtl w:val="0"/>
              </w:rPr>
              <w:t xml:space="preserve">This situation involves managing and aligning stakeholder expectations to ensure the project stays on track and avoids scope creep. It falls under the Stakeholder Engagement performance domain because it focuses on effectively interacting and communicating with stakeholders.</w:t>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Situation 2</w:t>
            </w:r>
          </w:p>
        </w:tc>
        <w:tc>
          <w:tcPr/>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b w:val="1"/>
                <w:rtl w:val="0"/>
              </w:rPr>
              <w:t xml:space="preserve">Risk (Domain)</w:t>
            </w: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Discovering an incompatible tool introduces a potential risk to the project. This falls under the Risk domain, which deals with identifying, assessing, and mitigating uncertainties that could affect project success.</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Situation 3</w:t>
            </w:r>
          </w:p>
        </w:tc>
        <w:tc>
          <w:tcPr/>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b w:val="1"/>
                <w:rtl w:val="0"/>
              </w:rPr>
              <w:t xml:space="preserve">Measurement (Domain)</w:t>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The sponsor’s request for a progress report involves tracking the project’s performance against the timeline and budget. This belongs to the Measurement domain, which focuses on monitoring and measuring progress to ensure the project meets its goals.</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Situation 4</w:t>
            </w:r>
          </w:p>
        </w:tc>
        <w:tc>
          <w:tcPr/>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b w:val="1"/>
                <w:rtl w:val="0"/>
              </w:rPr>
              <w:t xml:space="preserve">Adaptability and Resilience (Principle)</w:t>
            </w: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Adapting to new compliance regulations requires flexibility in project execution. This reflects the Adaptability and Resilience principle, emphasizing the need for project managers to adjust and respond to unforeseen challenges or changes.</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54">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a8b4364d-85fd-430f-a77c-eaa8fb9a573e</vt:lpwstr>
  </property>
</Properties>
</file>