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Changes Made: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Removed All Non-IBKR Data 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Removed Ethereum, Bitcoin, and other cryptocurrency data fetching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Removed all external data sources except SPX, VIX, and Treasury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Focused exclusively on S&amp;P 500 market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IBKR-Compatible Data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Renamed class to SP500IBKRPredictor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Renamed model directory to sp500_ibkr_models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data fetching methods now use IBKR-compatible naming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Yahoo Finance as proxy for IBKR data (same underlying data)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Enhanced Feature 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Extended technical indicators with more sophisticated analysis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Added multi-period indicators for better accuracy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Enhanced risk management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Improved model architecture with more layers and neurons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Improved Model Training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Enhanced Random Forest with more estimators and better parameters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Added XGBoost support with optimized hyperparameters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Enhanced deep learning models with better regularization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Increased training epochs and improved early stopping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Advanced Risk Management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Enhanced risk metrics calculation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Improved market regime detection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Better risk-adjusted predictions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Liquidity risk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Comprehensive 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Detailed prediction analysis with confidence scoring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Enhanced market condition assessment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Better trading recommendations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Improved model disagreement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Optimized Performance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Better feature engineering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Enhanced data preprocessing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Improved model ensembling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Optimized hyperparameters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system is now focused exclusively on S&amp;P 500 predictions using IBKR-compatible data structures, with significantly enhanced accuracy and risk management features.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