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D03F" w14:textId="2BE14BFF" w:rsidR="0018125D" w:rsidRDefault="004A7BEE" w:rsidP="004A7BEE">
      <w:pPr>
        <w:rPr>
          <w:b/>
          <w:sz w:val="32"/>
          <w:szCs w:val="32"/>
        </w:rPr>
      </w:pPr>
      <w:proofErr w:type="spellStart"/>
      <w:r w:rsidRPr="004A7BEE">
        <w:rPr>
          <w:b/>
          <w:sz w:val="32"/>
          <w:szCs w:val="32"/>
        </w:rPr>
        <w:t>Discussion</w:t>
      </w:r>
      <w:proofErr w:type="spellEnd"/>
      <w:r w:rsidRPr="004A7BEE">
        <w:rPr>
          <w:b/>
          <w:sz w:val="32"/>
          <w:szCs w:val="32"/>
        </w:rPr>
        <w:t xml:space="preserve"> and </w:t>
      </w:r>
      <w:proofErr w:type="spellStart"/>
      <w:r w:rsidRPr="004A7BEE">
        <w:rPr>
          <w:b/>
          <w:sz w:val="32"/>
          <w:szCs w:val="32"/>
        </w:rPr>
        <w:t>results</w:t>
      </w:r>
      <w:proofErr w:type="spellEnd"/>
    </w:p>
    <w:p w14:paraId="4BBB9CD7" w14:textId="63301BB9" w:rsidR="004A7BEE" w:rsidRDefault="004A7BEE" w:rsidP="002A4248">
      <w:pPr>
        <w:jc w:val="both"/>
        <w:rPr>
          <w:sz w:val="24"/>
          <w:szCs w:val="24"/>
          <w:lang w:val="en-GB"/>
        </w:rPr>
      </w:pPr>
      <w:r w:rsidRPr="004A7BEE">
        <w:rPr>
          <w:sz w:val="24"/>
          <w:szCs w:val="24"/>
          <w:lang w:val="en-GB"/>
        </w:rPr>
        <w:t xml:space="preserve">In this section we compare </w:t>
      </w:r>
      <w:r>
        <w:rPr>
          <w:sz w:val="24"/>
          <w:szCs w:val="24"/>
          <w:lang w:val="en-GB"/>
        </w:rPr>
        <w:t>the performance of our Reinforcement Learning Ordering Mechanism to two other models.</w:t>
      </w:r>
      <w:r w:rsidR="00FE076E">
        <w:rPr>
          <w:lang w:val="en-GB"/>
        </w:rPr>
        <w:t xml:space="preserve"> </w:t>
      </w:r>
      <w:r w:rsidR="00FE076E" w:rsidRPr="00FE076E">
        <w:rPr>
          <w:sz w:val="24"/>
          <w:szCs w:val="24"/>
          <w:lang w:val="en-GB"/>
        </w:rPr>
        <w:t xml:space="preserve">There are different policies for the benchmarks. Benchmark 1 always orders exactly the quantity of demand x, making y equal to zero. Benchmark 2, on the other hand, adds a random value between 0 and </w:t>
      </w:r>
      <w:r w:rsidR="00FE076E">
        <w:rPr>
          <w:sz w:val="24"/>
          <w:szCs w:val="24"/>
          <w:lang w:val="en-GB"/>
        </w:rPr>
        <w:t>3</w:t>
      </w:r>
      <w:r w:rsidR="00FE076E" w:rsidRPr="00FE076E">
        <w:rPr>
          <w:sz w:val="24"/>
          <w:szCs w:val="24"/>
          <w:lang w:val="en-GB"/>
        </w:rPr>
        <w:t xml:space="preserve"> to the demand.</w:t>
      </w:r>
      <w:r>
        <w:rPr>
          <w:sz w:val="24"/>
          <w:szCs w:val="24"/>
          <w:lang w:val="en-GB"/>
        </w:rPr>
        <w:t xml:space="preserve"> </w:t>
      </w:r>
      <w:r w:rsidR="002A4248">
        <w:rPr>
          <w:sz w:val="24"/>
          <w:szCs w:val="24"/>
          <w:lang w:val="en-GB"/>
        </w:rPr>
        <w:t xml:space="preserve">As already mentioned, all models are facing stochastic demand </w:t>
      </w:r>
      <w:r w:rsidR="002A4248">
        <w:rPr>
          <w:sz w:val="24"/>
          <w:szCs w:val="24"/>
          <w:lang w:val="en-GB"/>
        </w:rPr>
        <w:t>during the T=35 weeks</w:t>
      </w:r>
      <w:r w:rsidR="002A4248">
        <w:rPr>
          <w:sz w:val="24"/>
          <w:szCs w:val="24"/>
          <w:lang w:val="en-GB"/>
        </w:rPr>
        <w:t xml:space="preserve">. We measured the performance of each model on the </w:t>
      </w:r>
      <w:r w:rsidR="00FE076E">
        <w:rPr>
          <w:sz w:val="24"/>
          <w:szCs w:val="24"/>
          <w:lang w:val="en-GB"/>
        </w:rPr>
        <w:t>three</w:t>
      </w:r>
      <w:r w:rsidR="002A4248">
        <w:rPr>
          <w:sz w:val="24"/>
          <w:szCs w:val="24"/>
          <w:lang w:val="en-GB"/>
        </w:rPr>
        <w:t xml:space="preserve"> given</w:t>
      </w:r>
      <w:r w:rsidR="00D464FC">
        <w:rPr>
          <w:sz w:val="24"/>
          <w:szCs w:val="24"/>
          <w:lang w:val="en-GB"/>
        </w:rPr>
        <w:t xml:space="preserve"> sets f</w:t>
      </w:r>
      <w:r w:rsidR="00FE076E">
        <w:rPr>
          <w:sz w:val="24"/>
          <w:szCs w:val="24"/>
          <w:lang w:val="en-GB"/>
        </w:rPr>
        <w:t>ro</w:t>
      </w:r>
      <w:r w:rsidR="00D464FC">
        <w:rPr>
          <w:sz w:val="24"/>
          <w:szCs w:val="24"/>
          <w:lang w:val="en-GB"/>
        </w:rPr>
        <w:t xml:space="preserve">m the paper by </w:t>
      </w:r>
      <w:r w:rsidR="00D464FC" w:rsidRPr="00D464FC">
        <w:rPr>
          <w:sz w:val="24"/>
          <w:szCs w:val="24"/>
          <w:lang w:val="en-GB"/>
        </w:rPr>
        <w:t>Chaharsooghi</w:t>
      </w:r>
      <w:r w:rsidR="00D464FC">
        <w:rPr>
          <w:sz w:val="24"/>
          <w:szCs w:val="24"/>
          <w:lang w:val="en-GB"/>
        </w:rPr>
        <w:t xml:space="preserve"> et al.</w:t>
      </w:r>
      <w:r w:rsidR="002A4248">
        <w:rPr>
          <w:sz w:val="24"/>
          <w:szCs w:val="24"/>
          <w:lang w:val="en-GB"/>
        </w:rPr>
        <w:t xml:space="preserve"> </w:t>
      </w:r>
      <w:r w:rsidR="00D464FC">
        <w:rPr>
          <w:sz w:val="24"/>
          <w:szCs w:val="24"/>
          <w:lang w:val="en-GB"/>
        </w:rPr>
        <w:t xml:space="preserve">(2008). </w:t>
      </w:r>
      <w:r w:rsidR="00FE076E">
        <w:rPr>
          <w:sz w:val="24"/>
          <w:szCs w:val="24"/>
          <w:lang w:val="en-GB"/>
        </w:rPr>
        <w:t xml:space="preserve">The other models </w:t>
      </w:r>
      <w:r w:rsidR="00D464FC">
        <w:rPr>
          <w:sz w:val="24"/>
          <w:szCs w:val="24"/>
          <w:lang w:val="en-GB"/>
        </w:rPr>
        <w:t>The r</w:t>
      </w:r>
      <w:r w:rsidR="002A4248">
        <w:rPr>
          <w:sz w:val="24"/>
          <w:szCs w:val="24"/>
          <w:lang w:val="en-GB"/>
        </w:rPr>
        <w:t>esults</w:t>
      </w:r>
      <w:r>
        <w:rPr>
          <w:sz w:val="24"/>
          <w:szCs w:val="24"/>
          <w:lang w:val="en-GB"/>
        </w:rPr>
        <w:t xml:space="preserve"> </w:t>
      </w:r>
      <w:r w:rsidR="00D464FC">
        <w:rPr>
          <w:sz w:val="24"/>
          <w:szCs w:val="24"/>
          <w:lang w:val="en-GB"/>
        </w:rPr>
        <w:t xml:space="preserve">are displayed </w:t>
      </w:r>
      <w:r>
        <w:rPr>
          <w:sz w:val="24"/>
          <w:szCs w:val="24"/>
          <w:lang w:val="en-GB"/>
        </w:rPr>
        <w:t xml:space="preserve">in </w:t>
      </w:r>
      <w:r w:rsidR="002D3618">
        <w:rPr>
          <w:sz w:val="24"/>
          <w:szCs w:val="24"/>
          <w:lang w:val="en-GB"/>
        </w:rPr>
        <w:t xml:space="preserve">the following </w:t>
      </w:r>
      <w:r>
        <w:rPr>
          <w:sz w:val="24"/>
          <w:szCs w:val="24"/>
          <w:lang w:val="en-GB"/>
        </w:rPr>
        <w:t>table</w:t>
      </w:r>
      <w:r w:rsidR="002D3618">
        <w:rPr>
          <w:sz w:val="24"/>
          <w:szCs w:val="24"/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41"/>
        <w:gridCol w:w="1271"/>
        <w:gridCol w:w="1268"/>
        <w:gridCol w:w="1269"/>
        <w:gridCol w:w="1269"/>
        <w:gridCol w:w="1275"/>
      </w:tblGrid>
      <w:tr w:rsidR="00D52B81" w14:paraId="0728B65B" w14:textId="77777777" w:rsidTr="00D52B81">
        <w:tc>
          <w:tcPr>
            <w:tcW w:w="1441" w:type="dxa"/>
          </w:tcPr>
          <w:p w14:paraId="6A1515E3" w14:textId="77777777" w:rsidR="00D52B81" w:rsidRDefault="00D52B81" w:rsidP="004A7BE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271" w:type="dxa"/>
          </w:tcPr>
          <w:p w14:paraId="45F5994E" w14:textId="4E6E7979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Main Set</w:t>
            </w:r>
          </w:p>
        </w:tc>
        <w:tc>
          <w:tcPr>
            <w:tcW w:w="1268" w:type="dxa"/>
          </w:tcPr>
          <w:p w14:paraId="7A071821" w14:textId="410CF873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Set 1</w:t>
            </w:r>
          </w:p>
        </w:tc>
        <w:tc>
          <w:tcPr>
            <w:tcW w:w="1269" w:type="dxa"/>
          </w:tcPr>
          <w:p w14:paraId="7D359F2C" w14:textId="4B20A178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Set 2</w:t>
            </w:r>
          </w:p>
        </w:tc>
        <w:tc>
          <w:tcPr>
            <w:tcW w:w="1269" w:type="dxa"/>
          </w:tcPr>
          <w:p w14:paraId="0D285E7D" w14:textId="32DAC039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Set 3</w:t>
            </w:r>
          </w:p>
        </w:tc>
        <w:tc>
          <w:tcPr>
            <w:tcW w:w="1275" w:type="dxa"/>
          </w:tcPr>
          <w:p w14:paraId="62C3A89F" w14:textId="25037BAE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Mean</w:t>
            </w:r>
          </w:p>
        </w:tc>
      </w:tr>
      <w:tr w:rsidR="00D52B81" w14:paraId="0409E442" w14:textId="77777777" w:rsidTr="00D52B81">
        <w:tc>
          <w:tcPr>
            <w:tcW w:w="1441" w:type="dxa"/>
          </w:tcPr>
          <w:p w14:paraId="3FE86553" w14:textId="4EE969B1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RLOM</w:t>
            </w:r>
          </w:p>
        </w:tc>
        <w:tc>
          <w:tcPr>
            <w:tcW w:w="1271" w:type="dxa"/>
          </w:tcPr>
          <w:p w14:paraId="5183F7B2" w14:textId="2C944AA3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1590</w:t>
            </w:r>
          </w:p>
        </w:tc>
        <w:tc>
          <w:tcPr>
            <w:tcW w:w="1268" w:type="dxa"/>
          </w:tcPr>
          <w:p w14:paraId="4EC239A3" w14:textId="7AE60843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1688</w:t>
            </w:r>
          </w:p>
        </w:tc>
        <w:tc>
          <w:tcPr>
            <w:tcW w:w="1269" w:type="dxa"/>
          </w:tcPr>
          <w:p w14:paraId="0C29F11E" w14:textId="38351F1D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1650</w:t>
            </w:r>
          </w:p>
        </w:tc>
        <w:tc>
          <w:tcPr>
            <w:tcW w:w="1269" w:type="dxa"/>
          </w:tcPr>
          <w:p w14:paraId="4013C9A4" w14:textId="26D48130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1853</w:t>
            </w:r>
          </w:p>
        </w:tc>
        <w:tc>
          <w:tcPr>
            <w:tcW w:w="1275" w:type="dxa"/>
          </w:tcPr>
          <w:p w14:paraId="65EE5A45" w14:textId="6E8A7C1E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1695</w:t>
            </w:r>
          </w:p>
        </w:tc>
      </w:tr>
      <w:tr w:rsidR="00D52B81" w14:paraId="00E660B3" w14:textId="77777777" w:rsidTr="00D52B81">
        <w:tc>
          <w:tcPr>
            <w:tcW w:w="1441" w:type="dxa"/>
          </w:tcPr>
          <w:p w14:paraId="0A866DA1" w14:textId="00BD3FDA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Benchmark1</w:t>
            </w:r>
          </w:p>
        </w:tc>
        <w:tc>
          <w:tcPr>
            <w:tcW w:w="1271" w:type="dxa"/>
          </w:tcPr>
          <w:p w14:paraId="62286F0F" w14:textId="7951DE35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2665</w:t>
            </w:r>
          </w:p>
        </w:tc>
        <w:tc>
          <w:tcPr>
            <w:tcW w:w="1268" w:type="dxa"/>
          </w:tcPr>
          <w:p w14:paraId="44398DC8" w14:textId="47BDDBD9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2665</w:t>
            </w:r>
          </w:p>
        </w:tc>
        <w:tc>
          <w:tcPr>
            <w:tcW w:w="1269" w:type="dxa"/>
          </w:tcPr>
          <w:p w14:paraId="6F010ABE" w14:textId="057D22B9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2742</w:t>
            </w:r>
          </w:p>
        </w:tc>
        <w:tc>
          <w:tcPr>
            <w:tcW w:w="1269" w:type="dxa"/>
          </w:tcPr>
          <w:p w14:paraId="16061A1B" w14:textId="4698E84E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2859</w:t>
            </w:r>
          </w:p>
        </w:tc>
        <w:tc>
          <w:tcPr>
            <w:tcW w:w="1275" w:type="dxa"/>
          </w:tcPr>
          <w:p w14:paraId="1EDF8B0E" w14:textId="525E0E14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2733</w:t>
            </w:r>
          </w:p>
        </w:tc>
      </w:tr>
      <w:tr w:rsidR="00D52B81" w14:paraId="4DE74E7D" w14:textId="77777777" w:rsidTr="00D52B81">
        <w:tc>
          <w:tcPr>
            <w:tcW w:w="1441" w:type="dxa"/>
          </w:tcPr>
          <w:p w14:paraId="21185785" w14:textId="6D75BF69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Benchmark2</w:t>
            </w:r>
          </w:p>
        </w:tc>
        <w:tc>
          <w:tcPr>
            <w:tcW w:w="1271" w:type="dxa"/>
          </w:tcPr>
          <w:p w14:paraId="3DE24E67" w14:textId="44D5C94D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2356</w:t>
            </w:r>
          </w:p>
        </w:tc>
        <w:tc>
          <w:tcPr>
            <w:tcW w:w="1268" w:type="dxa"/>
          </w:tcPr>
          <w:p w14:paraId="2DE69687" w14:textId="7CD918AB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2354</w:t>
            </w:r>
          </w:p>
        </w:tc>
        <w:tc>
          <w:tcPr>
            <w:tcW w:w="1269" w:type="dxa"/>
          </w:tcPr>
          <w:p w14:paraId="022997C2" w14:textId="3ED46D5C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2103</w:t>
            </w:r>
          </w:p>
        </w:tc>
        <w:tc>
          <w:tcPr>
            <w:tcW w:w="1269" w:type="dxa"/>
          </w:tcPr>
          <w:p w14:paraId="10AF915F" w14:textId="4A9BEA3E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2313</w:t>
            </w:r>
          </w:p>
        </w:tc>
        <w:tc>
          <w:tcPr>
            <w:tcW w:w="1275" w:type="dxa"/>
          </w:tcPr>
          <w:p w14:paraId="5A641E32" w14:textId="0B70439B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2282</w:t>
            </w:r>
          </w:p>
        </w:tc>
      </w:tr>
    </w:tbl>
    <w:p w14:paraId="274955F3" w14:textId="77777777" w:rsidR="00D52B81" w:rsidRDefault="00D52B81" w:rsidP="002D3618">
      <w:pPr>
        <w:jc w:val="both"/>
        <w:rPr>
          <w:sz w:val="24"/>
          <w:szCs w:val="24"/>
          <w:lang w:val="en-GB"/>
        </w:rPr>
      </w:pPr>
    </w:p>
    <w:p w14:paraId="5EB84FFB" w14:textId="48AE5B02" w:rsidR="00FE076E" w:rsidRDefault="00D464FC" w:rsidP="002D361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outcome shows that</w:t>
      </w:r>
      <w:r w:rsidR="00D52B81">
        <w:rPr>
          <w:sz w:val="24"/>
          <w:szCs w:val="24"/>
          <w:lang w:val="en-GB"/>
        </w:rPr>
        <w:t xml:space="preserve"> the RLOM outperforms both benchmarks in all given problem sets and underlines the</w:t>
      </w:r>
      <w:r w:rsidR="00FE076E">
        <w:rPr>
          <w:sz w:val="24"/>
          <w:szCs w:val="24"/>
          <w:lang w:val="en-GB"/>
        </w:rPr>
        <w:t xml:space="preserve"> usefulness of the calculated policy. This outlines</w:t>
      </w:r>
      <w:r w:rsidR="00FE076E" w:rsidRPr="00FE076E">
        <w:rPr>
          <w:sz w:val="24"/>
          <w:szCs w:val="24"/>
          <w:lang w:val="en-GB"/>
        </w:rPr>
        <w:t xml:space="preserve"> that</w:t>
      </w:r>
      <w:r w:rsidR="00FE076E">
        <w:rPr>
          <w:sz w:val="24"/>
          <w:szCs w:val="24"/>
          <w:lang w:val="en-GB"/>
        </w:rPr>
        <w:t xml:space="preserve"> the </w:t>
      </w:r>
      <w:r w:rsidR="00FE076E" w:rsidRPr="00FE076E">
        <w:rPr>
          <w:sz w:val="24"/>
          <w:szCs w:val="24"/>
          <w:lang w:val="en-GB"/>
        </w:rPr>
        <w:t>proposed model (RLOM) is efficient and can find good policies</w:t>
      </w:r>
      <w:r w:rsidR="00FE076E">
        <w:rPr>
          <w:sz w:val="24"/>
          <w:szCs w:val="24"/>
          <w:lang w:val="en-GB"/>
        </w:rPr>
        <w:t xml:space="preserve"> </w:t>
      </w:r>
      <w:r w:rsidR="00FE076E" w:rsidRPr="00FE076E">
        <w:rPr>
          <w:sz w:val="24"/>
          <w:szCs w:val="24"/>
          <w:lang w:val="en-GB"/>
        </w:rPr>
        <w:t>under complex scenarios where analytical solutions are not</w:t>
      </w:r>
      <w:r w:rsidR="00FE076E">
        <w:rPr>
          <w:sz w:val="24"/>
          <w:szCs w:val="24"/>
          <w:lang w:val="en-GB"/>
        </w:rPr>
        <w:t xml:space="preserve"> </w:t>
      </w:r>
      <w:r w:rsidR="00FE076E" w:rsidRPr="00FE076E">
        <w:rPr>
          <w:sz w:val="24"/>
          <w:szCs w:val="24"/>
          <w:lang w:val="en-GB"/>
        </w:rPr>
        <w:t>available</w:t>
      </w:r>
      <w:r w:rsidR="00FE076E">
        <w:rPr>
          <w:sz w:val="24"/>
          <w:szCs w:val="24"/>
          <w:lang w:val="en-GB"/>
        </w:rPr>
        <w:t>.</w:t>
      </w:r>
    </w:p>
    <w:p w14:paraId="2B56DADD" w14:textId="6C119275" w:rsidR="002D3618" w:rsidRPr="002D3618" w:rsidRDefault="002D3618" w:rsidP="002D3618">
      <w:pPr>
        <w:jc w:val="both"/>
        <w:rPr>
          <w:sz w:val="24"/>
          <w:szCs w:val="24"/>
          <w:lang w:val="en-GB"/>
        </w:rPr>
      </w:pPr>
      <w:r w:rsidRPr="002D3618">
        <w:rPr>
          <w:sz w:val="24"/>
          <w:szCs w:val="24"/>
          <w:lang w:val="en-GB"/>
        </w:rPr>
        <w:t xml:space="preserve">As can be seen in the following plot, the percentage reduction per iteration of the Q-values (initially at 1000) decreases very quickly to a value just above </w:t>
      </w:r>
      <w:r>
        <w:rPr>
          <w:sz w:val="24"/>
          <w:szCs w:val="24"/>
          <w:lang w:val="en-GB"/>
        </w:rPr>
        <w:t>zero</w:t>
      </w:r>
      <w:r w:rsidRPr="002D3618">
        <w:rPr>
          <w:sz w:val="24"/>
          <w:szCs w:val="24"/>
          <w:lang w:val="en-GB"/>
        </w:rPr>
        <w:t>. Therefore, a similar result can be achieved with a smaller number of iterati</w:t>
      </w:r>
      <w:r>
        <w:rPr>
          <w:sz w:val="24"/>
          <w:szCs w:val="24"/>
          <w:lang w:val="en-GB"/>
        </w:rPr>
        <w:t>on</w:t>
      </w:r>
      <w:r w:rsidRPr="002D3618">
        <w:rPr>
          <w:sz w:val="24"/>
          <w:szCs w:val="24"/>
          <w:lang w:val="en-GB"/>
        </w:rPr>
        <w:t xml:space="preserve">s. Here, the high variance is worth mentioning, which is due to the learning rate alpha of 0.17. Thus, the more recent observations acquire a higher </w:t>
      </w:r>
      <w:proofErr w:type="gramStart"/>
      <w:r w:rsidRPr="002D3618">
        <w:rPr>
          <w:sz w:val="24"/>
          <w:szCs w:val="24"/>
          <w:lang w:val="en-GB"/>
        </w:rPr>
        <w:t>weighting</w:t>
      </w:r>
      <w:proofErr w:type="gramEnd"/>
      <w:r w:rsidRPr="002D3618">
        <w:rPr>
          <w:sz w:val="24"/>
          <w:szCs w:val="24"/>
          <w:lang w:val="en-GB"/>
        </w:rPr>
        <w:t xml:space="preserve"> and the values converge only very slowly.</w:t>
      </w:r>
      <w:r w:rsidR="00FE076E" w:rsidRPr="00FE076E">
        <w:rPr>
          <w:sz w:val="24"/>
          <w:szCs w:val="24"/>
          <w:lang w:val="en-GB"/>
        </w:rPr>
        <w:t xml:space="preserve"> </w:t>
      </w:r>
      <w:r w:rsidR="00FE076E" w:rsidRPr="00FE076E">
        <w:rPr>
          <w:sz w:val="24"/>
          <w:szCs w:val="24"/>
          <w:lang w:val="en-GB"/>
        </w:rPr>
        <w:drawing>
          <wp:inline distT="0" distB="0" distL="0" distR="0" wp14:anchorId="2A48DA84" wp14:editId="27D24503">
            <wp:extent cx="5760720" cy="2240915"/>
            <wp:effectExtent l="0" t="0" r="0" b="6985"/>
            <wp:docPr id="1339055673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55673" name="Grafik 1" descr="Ein Bild, das Text, Screenshot, Reihe, Diagramm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391A" w14:textId="5579F94B" w:rsidR="002D3618" w:rsidRPr="004A7BEE" w:rsidRDefault="009D5FBA" w:rsidP="004A7BEE">
      <w:pPr>
        <w:rPr>
          <w:sz w:val="24"/>
          <w:szCs w:val="24"/>
          <w:lang w:val="en-GB"/>
        </w:rPr>
      </w:pPr>
      <w:r w:rsidRPr="009D5FBA">
        <w:rPr>
          <w:sz w:val="24"/>
          <w:szCs w:val="24"/>
          <w:lang w:val="en-GB"/>
        </w:rPr>
        <w:t>Our model could be further improved by adding lead times as in the original paper to create a more realistic environment.</w:t>
      </w:r>
      <w:r w:rsidR="00DE3024">
        <w:rPr>
          <w:sz w:val="24"/>
          <w:szCs w:val="24"/>
          <w:lang w:val="en-GB"/>
        </w:rPr>
        <w:t xml:space="preserve"> Also, we could think about adding manufacturer and supplier to the supply chain, but that would increase the size of the Q-values table (number of state action pairs) very largely. This leads to the fact that very much computational power is required.</w:t>
      </w:r>
    </w:p>
    <w:sectPr w:rsidR="002D3618" w:rsidRPr="004A7B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EE"/>
    <w:rsid w:val="0018125D"/>
    <w:rsid w:val="002A4248"/>
    <w:rsid w:val="002D3618"/>
    <w:rsid w:val="004A7BEE"/>
    <w:rsid w:val="009D5FBA"/>
    <w:rsid w:val="00D464FC"/>
    <w:rsid w:val="00D52B81"/>
    <w:rsid w:val="00DE3024"/>
    <w:rsid w:val="00FE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1BEEB"/>
  <w15:chartTrackingRefBased/>
  <w15:docId w15:val="{BF5124F2-4D4C-4932-AC6A-46A473A2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6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Götz</dc:creator>
  <cp:keywords/>
  <dc:description/>
  <cp:lastModifiedBy>Dennis Götz</cp:lastModifiedBy>
  <cp:revision>1</cp:revision>
  <dcterms:created xsi:type="dcterms:W3CDTF">2023-08-18T20:21:00Z</dcterms:created>
  <dcterms:modified xsi:type="dcterms:W3CDTF">2023-08-18T22:45:00Z</dcterms:modified>
</cp:coreProperties>
</file>