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line="360" w:lineRule="auto"/>
        <w:ind w:firstLine="0"/>
        <w:jc w:val="center"/>
      </w:pPr>
      <w:r>
        <w:rPr>
          <w:rFonts w:ascii="Times New Roman" w:hAnsi="Times New Roman"/>
          <w:b/>
          <w:i w:val="0"/>
          <w:color w:val="000000"/>
          <w:sz w:val="28"/>
        </w:rPr>
        <w:t>UNIVERSIDAD ________________________________________</w:t>
      </w:r>
    </w:p>
    <w:p>
      <w:pPr>
        <w:spacing w:line="360" w:lineRule="auto"/>
        <w:ind w:firstLine="0"/>
        <w:jc w:val="center"/>
      </w:pPr>
      <w:r>
        <w:rPr>
          <w:rFonts w:ascii="Times New Roman" w:hAnsi="Times New Roman"/>
          <w:b/>
          <w:i w:val="0"/>
          <w:color w:val="000000"/>
          <w:sz w:val="24"/>
        </w:rPr>
        <w:t>FACULTAD __________________________________________</w:t>
      </w:r>
    </w:p>
    <w:p>
      <w:pPr>
        <w:spacing w:line="360" w:lineRule="auto"/>
        <w:ind w:firstLine="0"/>
        <w:jc w:val="center"/>
      </w:pPr>
      <w:r>
        <w:rPr>
          <w:rFonts w:ascii="Times New Roman" w:hAnsi="Times New Roman"/>
          <w:b/>
          <w:i w:val="0"/>
          <w:color w:val="000000"/>
          <w:sz w:val="24"/>
        </w:rPr>
        <w:t>CARRERA ___________________________________________</w:t>
      </w:r>
    </w:p>
    <w:p/>
    <w:p>
      <w:pPr>
        <w:pStyle w:val="Title"/>
      </w:pPr>
      <w:r>
        <w:t>Diseño de un simulador web para el análisis conceptual de atenuación pasiva de señales celulares en centros penitenciarios</w:t>
      </w:r>
    </w:p>
    <w:p/>
    <w:p>
      <w:pPr>
        <w:spacing w:line="360" w:lineRule="auto"/>
        <w:ind w:firstLine="0"/>
        <w:jc w:val="center"/>
      </w:pPr>
      <w:r>
        <w:rPr>
          <w:rFonts w:ascii="Times New Roman" w:hAnsi="Times New Roman"/>
          <w:b/>
          <w:i w:val="0"/>
          <w:color w:val="000000"/>
          <w:sz w:val="24"/>
        </w:rPr>
        <w:t>PROYECTO DE GRADUACIÓN</w:t>
      </w:r>
    </w:p>
    <w:p>
      <w:pPr>
        <w:spacing w:line="360" w:lineRule="auto"/>
        <w:ind w:firstLine="0"/>
        <w:jc w:val="center"/>
      </w:pPr>
      <w:r>
        <w:rPr>
          <w:rFonts w:ascii="Times New Roman" w:hAnsi="Times New Roman"/>
          <w:b w:val="0"/>
          <w:i w:val="0"/>
          <w:color w:val="000000"/>
          <w:sz w:val="24"/>
        </w:rPr>
        <w:t>Presentado por</w:t>
      </w:r>
    </w:p>
    <w:p>
      <w:pPr>
        <w:spacing w:line="360" w:lineRule="auto"/>
        <w:ind w:firstLine="0"/>
        <w:jc w:val="center"/>
      </w:pPr>
      <w:r>
        <w:rPr>
          <w:rFonts w:ascii="Times New Roman" w:hAnsi="Times New Roman"/>
          <w:b/>
          <w:i w:val="0"/>
          <w:color w:val="000000"/>
          <w:sz w:val="24"/>
        </w:rPr>
        <w:t>________________________________________</w:t>
      </w:r>
    </w:p>
    <w:p>
      <w:pPr>
        <w:spacing w:line="360" w:lineRule="auto"/>
        <w:ind w:firstLine="0"/>
        <w:jc w:val="center"/>
      </w:pPr>
      <w:r>
        <w:rPr>
          <w:rFonts w:ascii="Times New Roman" w:hAnsi="Times New Roman"/>
          <w:b w:val="0"/>
          <w:i w:val="0"/>
          <w:color w:val="000000"/>
          <w:sz w:val="24"/>
        </w:rPr>
        <w:t>Carné __________________________________</w:t>
      </w:r>
    </w:p>
    <w:p/>
    <w:p>
      <w:pPr>
        <w:spacing w:line="360" w:lineRule="auto"/>
        <w:ind w:firstLine="0"/>
        <w:jc w:val="center"/>
      </w:pPr>
      <w:r>
        <w:rPr>
          <w:rFonts w:ascii="Times New Roman" w:hAnsi="Times New Roman"/>
          <w:b w:val="0"/>
          <w:i w:val="0"/>
          <w:color w:val="000000"/>
          <w:sz w:val="24"/>
        </w:rPr>
        <w:t>Asesor __________________________________</w:t>
      </w:r>
    </w:p>
    <w:p/>
    <w:p>
      <w:pPr>
        <w:spacing w:line="360" w:lineRule="auto"/>
        <w:ind w:firstLine="0"/>
        <w:jc w:val="center"/>
      </w:pPr>
      <w:r>
        <w:rPr>
          <w:rFonts w:ascii="Times New Roman" w:hAnsi="Times New Roman"/>
          <w:b w:val="0"/>
          <w:i w:val="0"/>
          <w:color w:val="000000"/>
          <w:sz w:val="24"/>
        </w:rPr>
        <w:t>Guatemala, ______________________________</w:t>
      </w:r>
    </w:p>
    <w:p>
      <w:r>
        <w:br w:type="page"/>
      </w:r>
    </w:p>
    <w:p>
      <w:pPr>
        <w:spacing w:line="360" w:lineRule="auto"/>
        <w:ind w:firstLine="0"/>
        <w:jc w:val="center"/>
      </w:pPr>
      <w:r>
        <w:rPr>
          <w:rFonts w:ascii="Times New Roman" w:hAnsi="Times New Roman"/>
          <w:b/>
          <w:i w:val="0"/>
          <w:color w:val="000000"/>
          <w:sz w:val="28"/>
        </w:rPr>
        <w:t>Datos del proyecto</w:t>
      </w:r>
    </w:p>
    <w:tbl>
      <w:tblPr>
        <w:tblW w:type="auto" w:w="0"/>
        <w:jc w:val="center"/>
        <w:tblLayout w:type="fixed"/>
        <w:tblLook w:firstColumn="1" w:firstRow="1" w:lastColumn="0" w:lastRow="0" w:noHBand="0" w:noVBand="1" w:val="04A0"/>
      </w:tblPr>
      <w:tblGrid>
        <w:gridCol w:w="4320"/>
        <w:gridCol w:w="4320"/>
      </w:tblGrid>
      <w:tr>
        <w:trPr>
          <w:tblHeader w:val="true"/>
        </w:trPr>
        <w:tc>
          <w:tcPr>
            <w:tcW w:type="dxa" w:w="2520"/>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ind w:firstLine="0"/>
              <w:jc w:val="center"/>
            </w:pPr>
            <w:r>
              <w:rPr>
                <w:rFonts w:ascii="Times New Roman" w:hAnsi="Times New Roman"/>
                <w:b/>
                <w:i w:val="0"/>
                <w:color w:val="FFFFFF"/>
                <w:sz w:val="19"/>
              </w:rPr>
              <w:t>Campo</w:t>
            </w:r>
          </w:p>
        </w:tc>
        <w:tc>
          <w:tcPr>
            <w:tcW w:type="dxa" w:w="6840"/>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ind w:firstLine="0"/>
              <w:jc w:val="center"/>
            </w:pPr>
            <w:r>
              <w:rPr>
                <w:rFonts w:ascii="Times New Roman" w:hAnsi="Times New Roman"/>
                <w:b/>
                <w:i w:val="0"/>
                <w:color w:val="FFFFFF"/>
                <w:sz w:val="19"/>
              </w:rPr>
              <w:t>Información</w:t>
            </w:r>
          </w:p>
        </w:tc>
      </w:tr>
      <w:t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left"/>
            </w:pPr>
            <w:r>
              <w:rPr>
                <w:rFonts w:ascii="Times New Roman" w:hAnsi="Times New Roman"/>
                <w:b w:val="0"/>
                <w:i w:val="0"/>
                <w:color w:val="000000"/>
                <w:sz w:val="18"/>
              </w:rPr>
              <w:t>Título</w:t>
            </w:r>
          </w:p>
        </w:tc>
        <w:tc>
          <w:tcPr>
            <w:tcW w:type="dxa" w:w="68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center"/>
            </w:pPr>
            <w:r>
              <w:rPr>
                <w:rFonts w:ascii="Times New Roman" w:hAnsi="Times New Roman"/>
                <w:b w:val="0"/>
                <w:i w:val="0"/>
                <w:color w:val="000000"/>
                <w:sz w:val="18"/>
              </w:rPr>
              <w:t>Diseño de un simulador web para el análisis conceptual de atenuación pasiva de señales celulares en centros penitenciarios</w:t>
            </w:r>
          </w:p>
        </w:tc>
      </w:tr>
      <w:t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line="240" w:lineRule="auto" w:after="0"/>
              <w:ind w:firstLine="0"/>
              <w:jc w:val="left"/>
            </w:pPr>
            <w:r>
              <w:rPr>
                <w:rFonts w:ascii="Times New Roman" w:hAnsi="Times New Roman"/>
                <w:b w:val="0"/>
                <w:i w:val="0"/>
                <w:color w:val="000000"/>
                <w:sz w:val="18"/>
              </w:rPr>
              <w:t>Autor</w:t>
            </w:r>
          </w:p>
        </w:tc>
        <w:tc>
          <w:tcPr>
            <w:tcW w:type="dxa" w:w="68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line="240" w:lineRule="auto" w:after="0"/>
              <w:ind w:firstLine="0"/>
              <w:jc w:val="center"/>
            </w:pPr>
            <w:r>
              <w:rPr>
                <w:rFonts w:ascii="Times New Roman" w:hAnsi="Times New Roman"/>
                <w:b w:val="0"/>
                <w:i w:val="0"/>
                <w:color w:val="000000"/>
                <w:sz w:val="18"/>
              </w:rPr>
              <w:t>________________________________________</w:t>
            </w:r>
          </w:p>
        </w:tc>
      </w:tr>
      <w:t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left"/>
            </w:pPr>
            <w:r>
              <w:rPr>
                <w:rFonts w:ascii="Times New Roman" w:hAnsi="Times New Roman"/>
                <w:b w:val="0"/>
                <w:i w:val="0"/>
                <w:color w:val="000000"/>
                <w:sz w:val="18"/>
              </w:rPr>
              <w:t>Carné</w:t>
            </w:r>
          </w:p>
        </w:tc>
        <w:tc>
          <w:tcPr>
            <w:tcW w:type="dxa" w:w="68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center"/>
            </w:pPr>
            <w:r>
              <w:rPr>
                <w:rFonts w:ascii="Times New Roman" w:hAnsi="Times New Roman"/>
                <w:b w:val="0"/>
                <w:i w:val="0"/>
                <w:color w:val="000000"/>
                <w:sz w:val="18"/>
              </w:rPr>
              <w:t>________________________________________</w:t>
            </w:r>
          </w:p>
        </w:tc>
      </w:tr>
      <w:t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line="240" w:lineRule="auto" w:after="0"/>
              <w:ind w:firstLine="0"/>
              <w:jc w:val="left"/>
            </w:pPr>
            <w:r>
              <w:rPr>
                <w:rFonts w:ascii="Times New Roman" w:hAnsi="Times New Roman"/>
                <w:b w:val="0"/>
                <w:i w:val="0"/>
                <w:color w:val="000000"/>
                <w:sz w:val="18"/>
              </w:rPr>
              <w:t>Curso</w:t>
            </w:r>
          </w:p>
        </w:tc>
        <w:tc>
          <w:tcPr>
            <w:tcW w:type="dxa" w:w="68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line="240" w:lineRule="auto" w:after="0"/>
              <w:ind w:firstLine="0"/>
              <w:jc w:val="center"/>
            </w:pPr>
            <w:r>
              <w:rPr>
                <w:rFonts w:ascii="Times New Roman" w:hAnsi="Times New Roman"/>
                <w:b w:val="0"/>
                <w:i w:val="0"/>
                <w:color w:val="000000"/>
                <w:sz w:val="18"/>
              </w:rPr>
              <w:t>Telecomunicaciones</w:t>
            </w:r>
          </w:p>
        </w:tc>
      </w:tr>
      <w:t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left"/>
            </w:pPr>
            <w:r>
              <w:rPr>
                <w:rFonts w:ascii="Times New Roman" w:hAnsi="Times New Roman"/>
                <w:b w:val="0"/>
                <w:i w:val="0"/>
                <w:color w:val="000000"/>
                <w:sz w:val="18"/>
              </w:rPr>
              <w:t>Docente o asesor</w:t>
            </w:r>
          </w:p>
        </w:tc>
        <w:tc>
          <w:tcPr>
            <w:tcW w:type="dxa" w:w="68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center"/>
            </w:pPr>
            <w:r>
              <w:rPr>
                <w:rFonts w:ascii="Times New Roman" w:hAnsi="Times New Roman"/>
                <w:b w:val="0"/>
                <w:i w:val="0"/>
                <w:color w:val="000000"/>
                <w:sz w:val="18"/>
              </w:rPr>
              <w:t>________________________________________</w:t>
            </w:r>
          </w:p>
        </w:tc>
      </w:tr>
      <w:t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line="240" w:lineRule="auto" w:after="0"/>
              <w:ind w:firstLine="0"/>
              <w:jc w:val="left"/>
            </w:pPr>
            <w:r>
              <w:rPr>
                <w:rFonts w:ascii="Times New Roman" w:hAnsi="Times New Roman"/>
                <w:b w:val="0"/>
                <w:i w:val="0"/>
                <w:color w:val="000000"/>
                <w:sz w:val="18"/>
              </w:rPr>
              <w:t>Línea de investigación</w:t>
            </w:r>
          </w:p>
        </w:tc>
        <w:tc>
          <w:tcPr>
            <w:tcW w:type="dxa" w:w="68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line="240" w:lineRule="auto" w:after="0"/>
              <w:ind w:firstLine="0"/>
              <w:jc w:val="center"/>
            </w:pPr>
            <w:r>
              <w:rPr>
                <w:rFonts w:ascii="Times New Roman" w:hAnsi="Times New Roman"/>
                <w:b w:val="0"/>
                <w:i w:val="0"/>
                <w:color w:val="000000"/>
                <w:sz w:val="18"/>
              </w:rPr>
              <w:t>Propagación radioeléctrica y protección pasiva del espectro</w:t>
            </w:r>
          </w:p>
        </w:tc>
      </w:tr>
      <w:t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left"/>
            </w:pPr>
            <w:r>
              <w:rPr>
                <w:rFonts w:ascii="Times New Roman" w:hAnsi="Times New Roman"/>
                <w:b w:val="0"/>
                <w:i w:val="0"/>
                <w:color w:val="000000"/>
                <w:sz w:val="18"/>
              </w:rPr>
              <w:t>Modalidad</w:t>
            </w:r>
          </w:p>
        </w:tc>
        <w:tc>
          <w:tcPr>
            <w:tcW w:type="dxa" w:w="68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center"/>
            </w:pPr>
            <w:r>
              <w:rPr>
                <w:rFonts w:ascii="Times New Roman" w:hAnsi="Times New Roman"/>
                <w:b w:val="0"/>
                <w:i w:val="0"/>
                <w:color w:val="000000"/>
                <w:sz w:val="18"/>
              </w:rPr>
              <w:t>Proyecto tecnológico con simulación web</w:t>
            </w:r>
          </w:p>
        </w:tc>
      </w:tr>
    </w:tbl>
    <w:p>
      <w:pPr>
        <w:spacing w:after="0"/>
      </w:pPr>
    </w:p>
    <w:p>
      <w:pPr/>
      <w:r>
        <w:rPr>
          <w:rFonts w:ascii="Times New Roman" w:hAnsi="Times New Roman"/>
          <w:b/>
          <w:i w:val="0"/>
          <w:color w:val="000000"/>
          <w:sz w:val="24"/>
        </w:rPr>
        <w:t>El documento presenta</w:t>
      </w:r>
      <w:r>
        <w:rPr>
          <w:rFonts w:ascii="Times New Roman" w:hAnsi="Times New Roman"/>
          <w:b w:val="0"/>
          <w:i w:val="0"/>
          <w:color w:val="000000"/>
          <w:sz w:val="24"/>
        </w:rPr>
        <w:t xml:space="preserve"> una propuesta académica y conceptual. No describe la construcción ni el uso de inhibidores activos de señal. Cualquier aplicación física requerirá mediciones, autorización institucional y coordinación con la Superintendencia de Telecomunicaciones y los operadores involucrados.</w:t>
      </w:r>
    </w:p>
    <w:p>
      <w:r>
        <w:br w:type="page"/>
      </w:r>
    </w:p>
    <w:p>
      <w:pPr>
        <w:pStyle w:val="Heading1"/>
        <w:jc w:val="left"/>
      </w:pPr>
      <w:r>
        <w:t>Resumen</w:t>
      </w:r>
    </w:p>
    <w:p>
      <w:pPr/>
      <w:r>
        <w:rPr>
          <w:rFonts w:ascii="Times New Roman" w:hAnsi="Times New Roman"/>
          <w:b w:val="0"/>
          <w:i w:val="0"/>
          <w:color w:val="000000"/>
          <w:sz w:val="24"/>
        </w:rPr>
        <w:t>La conectividad celular no autorizada dentro de centros penitenciarios representa un problema de seguridad que no puede abordarse responsablemente mediante interferencia indiscriminada. Esta investigación desarrolla RF Shield Planner, un simulador web que permite dibujar un plano bidimensional y estimar la potencia recibida después de aplicar pérdida de espacio libre y atenuación por materiales constructivos. El sistema separa una interfaz desarrollada con HTML, CSS, JavaScript y Canvas de un backend en Node.js y Express encargado de los cálculos radioeléctricos.</w:t>
      </w:r>
    </w:p>
    <w:p>
      <w:pPr/>
      <w:r>
        <w:rPr>
          <w:rFonts w:ascii="Times New Roman" w:hAnsi="Times New Roman"/>
          <w:b w:val="0"/>
          <w:i w:val="0"/>
          <w:color w:val="000000"/>
          <w:sz w:val="24"/>
        </w:rPr>
        <w:t>La metodología utiliza escenarios comparables con potencia transmitida de 43 dBm, distancia base de un kilómetro y umbral conceptual de -95 dBm. Los resultados muestran que un cerramiento convencional mantiene la señal de 850 MHz por encima del umbral, mientras que el mismo plano produce confinamiento total a 28 GHz dentro de los parámetros del modelo. Un refuerzo metálico conceptual aplicado a 1900 MHz aumenta el área confinada de 0 % a aproximadamente 94.4 %. Se concluye que las frecuencias bajas requieren mayor masa, varias capas y control estricto de aberturas, mientras las ondas milimétricas presentan un presupuesto de enlace más sensible a la penetración. Los coeficientes del prototipo son didácticos y deben calibrarse con mediciones.</w:t>
      </w:r>
    </w:p>
    <w:p>
      <w:pPr>
        <w:spacing w:line="360" w:lineRule="auto"/>
        <w:ind w:firstLine="0"/>
        <w:jc w:val="left"/>
      </w:pPr>
      <w:r>
        <w:rPr>
          <w:rFonts w:ascii="Times New Roman" w:hAnsi="Times New Roman"/>
          <w:b/>
          <w:i w:val="0"/>
          <w:color w:val="000000"/>
          <w:sz w:val="24"/>
        </w:rPr>
        <w:t>Palabras clave: FSPL, atenuación pasiva, radiofrecuencia, blindaje electromagnético, centros penitenciarios.</w:t>
      </w:r>
    </w:p>
    <w:p>
      <w:pPr>
        <w:pStyle w:val="Heading1"/>
        <w:jc w:val="left"/>
      </w:pPr>
      <w:r>
        <w:t>Abstract</w:t>
      </w:r>
    </w:p>
    <w:p>
      <w:pPr/>
      <w:r>
        <w:rPr>
          <w:rFonts w:ascii="Times New Roman" w:hAnsi="Times New Roman"/>
          <w:b w:val="0"/>
          <w:i w:val="0"/>
          <w:color w:val="000000"/>
          <w:sz w:val="24"/>
        </w:rPr>
        <w:t>This project develops RF Shield Planner, a web simulator that estimates received power in a two-dimensional correctional-facility plan by combining free-space path loss and material attenuation. Controlled scenarios show that 850 MHz is harder to contain than 28 GHz. The prototype supports conceptual planning and requires field calibration before any real implementation.</w:t>
      </w:r>
    </w:p>
    <w:p>
      <w:pPr>
        <w:spacing w:line="360" w:lineRule="auto"/>
        <w:ind w:firstLine="0"/>
        <w:jc w:val="left"/>
      </w:pPr>
      <w:r>
        <w:rPr>
          <w:rFonts w:ascii="Times New Roman" w:hAnsi="Times New Roman"/>
          <w:b/>
          <w:i w:val="0"/>
          <w:color w:val="000000"/>
          <w:sz w:val="24"/>
        </w:rPr>
        <w:t>Keywords: FSPL, passive attenuation, radio frequency, electromagnetic shielding, correctional facilities.</w:t>
      </w:r>
    </w:p>
    <w:p>
      <w:r>
        <w:br w:type="page"/>
      </w:r>
    </w:p>
    <w:p>
      <w:pPr>
        <w:pStyle w:val="Heading1"/>
        <w:jc w:val="left"/>
      </w:pPr>
      <w:r>
        <w:t>Índice general</w:t>
      </w:r>
    </w:p>
    <w:p>
      <w:pPr>
        <w:tabs>
          <w:tab w:pos="8784" w:val="left"/>
        </w:tabs>
        <w:spacing w:line="360" w:lineRule="auto"/>
        <w:ind w:firstLine="0"/>
      </w:pPr>
      <w:r>
        <w:rPr>
          <w:rFonts w:ascii="Times New Roman" w:hAnsi="Times New Roman"/>
          <w:b w:val="0"/>
          <w:i w:val="0"/>
          <w:color w:val="000000"/>
          <w:sz w:val="24"/>
        </w:rPr>
        <w:t>Resumen</w:t>
        <w:tab/>
        <w:t>3</w:t>
      </w:r>
    </w:p>
    <w:p>
      <w:pPr>
        <w:tabs>
          <w:tab w:pos="8784" w:val="left"/>
        </w:tabs>
        <w:spacing w:line="360" w:lineRule="auto"/>
        <w:ind w:firstLine="0"/>
      </w:pPr>
      <w:r>
        <w:rPr>
          <w:rFonts w:ascii="Times New Roman" w:hAnsi="Times New Roman"/>
          <w:b w:val="0"/>
          <w:i w:val="0"/>
          <w:color w:val="000000"/>
          <w:sz w:val="24"/>
        </w:rPr>
        <w:t>Introducción</w:t>
        <w:tab/>
        <w:t>5</w:t>
      </w:r>
    </w:p>
    <w:p>
      <w:pPr>
        <w:tabs>
          <w:tab w:pos="8784" w:val="left"/>
        </w:tabs>
        <w:spacing w:line="360" w:lineRule="auto"/>
        <w:ind w:firstLine="0"/>
      </w:pPr>
      <w:r>
        <w:rPr>
          <w:rFonts w:ascii="Times New Roman" w:hAnsi="Times New Roman"/>
          <w:b w:val="0"/>
          <w:i w:val="0"/>
          <w:color w:val="000000"/>
          <w:sz w:val="24"/>
        </w:rPr>
        <w:t>Capítulo I Planteamiento del problema</w:t>
        <w:tab/>
        <w:t>6</w:t>
      </w:r>
    </w:p>
    <w:p>
      <w:pPr>
        <w:tabs>
          <w:tab w:pos="8784" w:val="left"/>
        </w:tabs>
        <w:spacing w:line="360" w:lineRule="auto"/>
        <w:ind w:firstLine="0"/>
      </w:pPr>
      <w:r>
        <w:rPr>
          <w:rFonts w:ascii="Times New Roman" w:hAnsi="Times New Roman"/>
          <w:b w:val="0"/>
          <w:i w:val="0"/>
          <w:color w:val="000000"/>
          <w:sz w:val="24"/>
        </w:rPr>
        <w:t>Capítulo II Marco teórico</w:t>
        <w:tab/>
        <w:t>8</w:t>
      </w:r>
    </w:p>
    <w:p>
      <w:pPr>
        <w:tabs>
          <w:tab w:pos="8784" w:val="left"/>
        </w:tabs>
        <w:spacing w:line="360" w:lineRule="auto"/>
        <w:ind w:firstLine="0"/>
      </w:pPr>
      <w:r>
        <w:rPr>
          <w:rFonts w:ascii="Times New Roman" w:hAnsi="Times New Roman"/>
          <w:b w:val="0"/>
          <w:i w:val="0"/>
          <w:color w:val="000000"/>
          <w:sz w:val="24"/>
        </w:rPr>
        <w:t>Capítulo III Marco metodológico</w:t>
        <w:tab/>
        <w:t>11</w:t>
      </w:r>
    </w:p>
    <w:p>
      <w:pPr>
        <w:tabs>
          <w:tab w:pos="8784" w:val="left"/>
        </w:tabs>
        <w:spacing w:line="360" w:lineRule="auto"/>
        <w:ind w:firstLine="0"/>
      </w:pPr>
      <w:r>
        <w:rPr>
          <w:rFonts w:ascii="Times New Roman" w:hAnsi="Times New Roman"/>
          <w:b w:val="0"/>
          <w:i w:val="0"/>
          <w:color w:val="000000"/>
          <w:sz w:val="24"/>
        </w:rPr>
        <w:t>Capítulo IV Presentación y análisis de resultados</w:t>
        <w:tab/>
        <w:t>14</w:t>
      </w:r>
    </w:p>
    <w:p>
      <w:pPr>
        <w:tabs>
          <w:tab w:pos="8784" w:val="left"/>
        </w:tabs>
        <w:spacing w:line="360" w:lineRule="auto"/>
        <w:ind w:firstLine="0"/>
      </w:pPr>
      <w:r>
        <w:rPr>
          <w:rFonts w:ascii="Times New Roman" w:hAnsi="Times New Roman"/>
          <w:b w:val="0"/>
          <w:i w:val="0"/>
          <w:color w:val="000000"/>
          <w:sz w:val="24"/>
        </w:rPr>
        <w:t>Conclusiones</w:t>
        <w:tab/>
        <w:t>16</w:t>
      </w:r>
    </w:p>
    <w:p>
      <w:pPr>
        <w:tabs>
          <w:tab w:pos="8784" w:val="left"/>
        </w:tabs>
        <w:spacing w:line="360" w:lineRule="auto"/>
        <w:ind w:firstLine="0"/>
      </w:pPr>
      <w:r>
        <w:rPr>
          <w:rFonts w:ascii="Times New Roman" w:hAnsi="Times New Roman"/>
          <w:b w:val="0"/>
          <w:i w:val="0"/>
          <w:color w:val="000000"/>
          <w:sz w:val="24"/>
        </w:rPr>
        <w:t>Recomendaciones</w:t>
        <w:tab/>
        <w:t>17</w:t>
      </w:r>
    </w:p>
    <w:p>
      <w:pPr>
        <w:tabs>
          <w:tab w:pos="8784" w:val="left"/>
        </w:tabs>
        <w:spacing w:line="360" w:lineRule="auto"/>
        <w:ind w:firstLine="0"/>
      </w:pPr>
      <w:r>
        <w:rPr>
          <w:rFonts w:ascii="Times New Roman" w:hAnsi="Times New Roman"/>
          <w:b w:val="0"/>
          <w:i w:val="0"/>
          <w:color w:val="000000"/>
          <w:sz w:val="24"/>
        </w:rPr>
        <w:t>Referencias</w:t>
        <w:tab/>
        <w:t>18</w:t>
      </w:r>
    </w:p>
    <w:p>
      <w:pPr>
        <w:tabs>
          <w:tab w:pos="8784" w:val="left"/>
        </w:tabs>
        <w:spacing w:line="360" w:lineRule="auto"/>
        <w:ind w:firstLine="0"/>
      </w:pPr>
      <w:r>
        <w:rPr>
          <w:rFonts w:ascii="Times New Roman" w:hAnsi="Times New Roman"/>
          <w:b w:val="0"/>
          <w:i w:val="0"/>
          <w:color w:val="000000"/>
          <w:sz w:val="24"/>
        </w:rPr>
        <w:t>Anexos</w:t>
        <w:tab/>
        <w:t>19</w:t>
      </w:r>
    </w:p>
    <w:p>
      <w:pPr>
        <w:pStyle w:val="Heading1"/>
        <w:jc w:val="left"/>
      </w:pPr>
      <w:r>
        <w:t>Índice de tablas</w:t>
      </w:r>
    </w:p>
    <w:p>
      <w:pPr>
        <w:spacing w:line="360" w:lineRule="auto"/>
        <w:ind w:firstLine="0"/>
        <w:jc w:val="left"/>
      </w:pPr>
      <w:r>
        <w:rPr>
          <w:rFonts w:ascii="Times New Roman" w:hAnsi="Times New Roman"/>
          <w:b w:val="0"/>
          <w:i w:val="0"/>
          <w:color w:val="000000"/>
          <w:sz w:val="24"/>
        </w:rPr>
        <w:t>Tabla 1 Coeficientes efectivos del simulador</w:t>
      </w:r>
    </w:p>
    <w:p>
      <w:pPr>
        <w:spacing w:line="360" w:lineRule="auto"/>
        <w:ind w:firstLine="0"/>
        <w:jc w:val="left"/>
      </w:pPr>
      <w:r>
        <w:rPr>
          <w:rFonts w:ascii="Times New Roman" w:hAnsi="Times New Roman"/>
          <w:b w:val="0"/>
          <w:i w:val="0"/>
          <w:color w:val="000000"/>
          <w:sz w:val="24"/>
        </w:rPr>
        <w:t>Tabla 2 Variables de estudio</w:t>
      </w:r>
    </w:p>
    <w:p>
      <w:pPr>
        <w:spacing w:line="360" w:lineRule="auto"/>
        <w:ind w:firstLine="0"/>
        <w:jc w:val="left"/>
      </w:pPr>
      <w:r>
        <w:rPr>
          <w:rFonts w:ascii="Times New Roman" w:hAnsi="Times New Roman"/>
          <w:b w:val="0"/>
          <w:i w:val="0"/>
          <w:color w:val="000000"/>
          <w:sz w:val="24"/>
        </w:rPr>
        <w:t>Tabla 3 Escenarios de prueba</w:t>
      </w:r>
    </w:p>
    <w:p>
      <w:pPr>
        <w:spacing w:line="360" w:lineRule="auto"/>
        <w:ind w:firstLine="0"/>
        <w:jc w:val="left"/>
      </w:pPr>
      <w:r>
        <w:rPr>
          <w:rFonts w:ascii="Times New Roman" w:hAnsi="Times New Roman"/>
          <w:b w:val="0"/>
          <w:i w:val="0"/>
          <w:color w:val="000000"/>
          <w:sz w:val="24"/>
        </w:rPr>
        <w:t>Tabla 4 Resultados comparativos</w:t>
      </w:r>
    </w:p>
    <w:p>
      <w:pPr>
        <w:pStyle w:val="Heading1"/>
        <w:jc w:val="left"/>
      </w:pPr>
      <w:r>
        <w:t>Índice de figuras</w:t>
      </w:r>
    </w:p>
    <w:p>
      <w:pPr>
        <w:spacing w:line="360" w:lineRule="auto"/>
        <w:ind w:firstLine="0"/>
        <w:jc w:val="left"/>
      </w:pPr>
      <w:r>
        <w:rPr>
          <w:rFonts w:ascii="Times New Roman" w:hAnsi="Times New Roman"/>
          <w:b w:val="0"/>
          <w:i w:val="0"/>
          <w:color w:val="000000"/>
          <w:sz w:val="24"/>
        </w:rPr>
        <w:t>Figura 1 Porcentaje de área interior bajo -95 dBm</w:t>
      </w:r>
    </w:p>
    <w:p>
      <w:r>
        <w:br w:type="page"/>
      </w:r>
    </w:p>
    <w:p>
      <w:pPr>
        <w:pStyle w:val="Heading1"/>
        <w:jc w:val="left"/>
      </w:pPr>
      <w:r>
        <w:t>Introducción</w:t>
      </w:r>
    </w:p>
    <w:p>
      <w:pPr/>
      <w:r>
        <w:rPr>
          <w:rFonts w:ascii="Times New Roman" w:hAnsi="Times New Roman"/>
          <w:b w:val="0"/>
          <w:i w:val="0"/>
          <w:color w:val="000000"/>
          <w:sz w:val="24"/>
        </w:rPr>
        <w:t>Las redes móviles son infraestructura crítica para la actividad económica, la atención de emergencias y la comunicación cotidiana. Esa misma disponibilidad puede ser aprovechada de manera no autorizada desde centros penitenciarios. El problema exige una respuesta técnica que reduzca la conectividad dentro del objetivo sin interrumpir las comunicaciones legítimas del entorno.</w:t>
      </w:r>
    </w:p>
    <w:p>
      <w:pPr/>
      <w:r>
        <w:rPr>
          <w:rFonts w:ascii="Times New Roman" w:hAnsi="Times New Roman"/>
          <w:b w:val="0"/>
          <w:i w:val="0"/>
          <w:color w:val="000000"/>
          <w:sz w:val="24"/>
        </w:rPr>
        <w:t>Los inhibidores activos introducen energía en bandas utilizadas por terceros y pueden producir desborde fuera del perímetro previsto. Por esa razón, este trabajo estudia la atenuación pasiva: el uso de materiales, masa, capas y continuidad constructiva para reducir la potencia recibida. La propuesta se materializa en una aplicación web que permite dibujar escenarios y comparar bandas móviles con un mismo balance de potencia.</w:t>
      </w:r>
    </w:p>
    <w:p>
      <w:pPr/>
      <w:r>
        <w:rPr>
          <w:rFonts w:ascii="Times New Roman" w:hAnsi="Times New Roman"/>
          <w:b w:val="0"/>
          <w:i w:val="0"/>
          <w:color w:val="000000"/>
          <w:sz w:val="24"/>
        </w:rPr>
        <w:t>El documento se organiza en cuatro capítulos. El primero delimita el problema, los objetivos y la justificación. El segundo desarrolla los fundamentos de propagación, longitud de onda, FSPL, balance de potencia, materiales y marco legal. El tercero explica la metodología y la implementación del simulador. El cuarto presenta los resultados, la discusión y el análisis So What. Finalmente se formulan conclusiones, recomendaciones y anexos para reproducir la demostración.</w:t>
      </w:r>
    </w:p>
    <w:p>
      <w:r>
        <w:br w:type="page"/>
      </w:r>
    </w:p>
    <w:p>
      <w:pPr>
        <w:pStyle w:val="Heading1"/>
        <w:spacing w:before="0" w:after="360"/>
        <w:jc w:val="center"/>
      </w:pPr>
      <w:r>
        <w:rPr>
          <w:rFonts w:ascii="Times New Roman" w:hAnsi="Times New Roman"/>
          <w:b/>
          <w:i w:val="0"/>
          <w:color w:val="000000"/>
          <w:sz w:val="28"/>
        </w:rPr>
        <w:t>CAPÍTULO I</w:t>
        <w:br/>
        <w:t>PLANTEAMIENTO DEL PROBLEMA</w:t>
      </w:r>
    </w:p>
    <w:p>
      <w:pPr>
        <w:pStyle w:val="Heading2"/>
        <w:jc w:val="left"/>
      </w:pPr>
      <w:r>
        <w:t>1.1 Antecedentes</w:t>
      </w:r>
    </w:p>
    <w:p>
      <w:pPr/>
      <w:r>
        <w:rPr>
          <w:rFonts w:ascii="Times New Roman" w:hAnsi="Times New Roman"/>
          <w:b w:val="0"/>
          <w:i w:val="0"/>
          <w:color w:val="000000"/>
          <w:sz w:val="24"/>
        </w:rPr>
        <w:t>La expansión de las redes celulares incrementó la disponibilidad de servicios de voz y datos en prácticamente todo entorno urbano. Sin embargo, los límites administrativos de un centro penitenciario no coinciden con los límites físicos de cobertura. Una estación base exterior puede mantener servicio en patios, celdas y áreas de visita cuando la pérdida de propagación y penetración no supera el margen del enlace.</w:t>
      </w:r>
    </w:p>
    <w:p>
      <w:pPr/>
      <w:r>
        <w:rPr>
          <w:rFonts w:ascii="Times New Roman" w:hAnsi="Times New Roman"/>
          <w:b w:val="0"/>
          <w:i w:val="0"/>
          <w:color w:val="000000"/>
          <w:sz w:val="24"/>
        </w:rPr>
        <w:t>La respuesta tradicional basada en jamming busca elevar artificialmente el ruido o bloquear canales de control. Su principal dificultad es el confinamiento espacial. La radiación interferente puede atravesar el perímetro y afectar a residentes, comercios, operadores y servicios de emergencia. La alternativa estudiada consiste en reducir la potencia de señal mediante la propia envolvente del edificio.</w:t>
      </w:r>
    </w:p>
    <w:p>
      <w:pPr>
        <w:pStyle w:val="Heading2"/>
        <w:jc w:val="left"/>
      </w:pPr>
      <w:r>
        <w:t>1.2 Definición del problema</w:t>
      </w:r>
    </w:p>
    <w:p>
      <w:pPr/>
      <w:r>
        <w:rPr>
          <w:rFonts w:ascii="Times New Roman" w:hAnsi="Times New Roman"/>
          <w:b w:val="0"/>
          <w:i w:val="0"/>
          <w:color w:val="000000"/>
          <w:sz w:val="24"/>
        </w:rPr>
        <w:t>No existe una relación intuitiva única entre frecuencia, distancia, material y grosor que permita decidir si un cerramiento llevará una señal celular por debajo de un umbral de comunicación. Sin una herramienta comparativa, es fácil asumir que cualquier muro produce el mismo efecto en 850 MHz, 1900 MHz, 3.5 GHz y 28 GHz.</w:t>
      </w:r>
    </w:p>
    <w:p>
      <w:pPr>
        <w:pStyle w:val="Heading2"/>
        <w:jc w:val="left"/>
      </w:pPr>
      <w:r>
        <w:t>1.3 Pregunta de investigación</w:t>
      </w:r>
    </w:p>
    <w:p>
      <w:pPr/>
      <w:r>
        <w:rPr>
          <w:rFonts w:ascii="Times New Roman" w:hAnsi="Times New Roman"/>
          <w:b w:val="0"/>
          <w:i w:val="0"/>
          <w:color w:val="000000"/>
          <w:sz w:val="24"/>
        </w:rPr>
        <w:t>¿Cómo puede un simulador web conceptual demostrar el efecto combinado de FSPL, frecuencia, material y grosor sobre la potencia recibida dentro de un centro penitenciario, manteniendo como criterio un umbral de -95 dBm?</w:t>
      </w:r>
    </w:p>
    <w:p>
      <w:pPr>
        <w:pStyle w:val="Heading2"/>
        <w:jc w:val="left"/>
      </w:pPr>
      <w:r>
        <w:t>1.4 Objetivo general</w:t>
      </w:r>
    </w:p>
    <w:p>
      <w:pPr/>
      <w:r>
        <w:rPr>
          <w:rFonts w:ascii="Times New Roman" w:hAnsi="Times New Roman"/>
          <w:b w:val="0"/>
          <w:i w:val="0"/>
          <w:color w:val="000000"/>
          <w:sz w:val="24"/>
        </w:rPr>
        <w:t>Diseñar e implementar un simulador web que represente escenarios penitenciarios bidimensionales y estime el confinamiento pasivo de señales celulares mediante FSPL y pérdidas efectivas por materiales constructivos.</w:t>
      </w:r>
    </w:p>
    <w:p>
      <w:pPr>
        <w:pStyle w:val="Heading2"/>
        <w:jc w:val="left"/>
      </w:pPr>
      <w:r>
        <w:t>1.5 Objetivos específicos</w:t>
      </w:r>
    </w:p>
    <w:p>
      <w:pPr>
        <w:pStyle w:val="ListBullet"/>
        <w:spacing w:line="276" w:lineRule="auto" w:after="0"/>
        <w:ind w:left="709" w:hanging="357"/>
      </w:pPr>
      <w:r>
        <w:rPr>
          <w:rFonts w:ascii="Times New Roman" w:hAnsi="Times New Roman"/>
          <w:b w:val="0"/>
          <w:i w:val="0"/>
          <w:color w:val="000000"/>
          <w:sz w:val="24"/>
        </w:rPr>
        <w:t>Implementar el cálculo de FSPL según distancia y frecuencia.</w:t>
      </w:r>
    </w:p>
    <w:p>
      <w:pPr>
        <w:pStyle w:val="ListBullet"/>
        <w:spacing w:line="276" w:lineRule="auto" w:after="0"/>
        <w:ind w:left="709" w:hanging="357"/>
      </w:pPr>
      <w:r>
        <w:rPr>
          <w:rFonts w:ascii="Times New Roman" w:hAnsi="Times New Roman"/>
          <w:b w:val="0"/>
          <w:i w:val="0"/>
          <w:color w:val="000000"/>
          <w:sz w:val="24"/>
        </w:rPr>
        <w:t>Representar la relación inversa entre frecuencia y longitud de onda.</w:t>
      </w:r>
    </w:p>
    <w:p>
      <w:pPr>
        <w:pStyle w:val="ListBullet"/>
        <w:spacing w:line="276" w:lineRule="auto" w:after="0"/>
        <w:ind w:left="709" w:hanging="357"/>
      </w:pPr>
      <w:r>
        <w:rPr>
          <w:rFonts w:ascii="Times New Roman" w:hAnsi="Times New Roman"/>
          <w:b w:val="0"/>
          <w:i w:val="0"/>
          <w:color w:val="000000"/>
          <w:sz w:val="24"/>
        </w:rPr>
        <w:t>Permitir la creación de planos con muros, puertas, rejas y zonas interiores.</w:t>
      </w:r>
    </w:p>
    <w:p>
      <w:pPr>
        <w:pStyle w:val="ListBullet"/>
        <w:spacing w:line="276" w:lineRule="auto" w:after="0"/>
        <w:ind w:left="709" w:hanging="357"/>
      </w:pPr>
      <w:r>
        <w:rPr>
          <w:rFonts w:ascii="Times New Roman" w:hAnsi="Times New Roman"/>
          <w:b w:val="0"/>
          <w:i w:val="0"/>
          <w:color w:val="000000"/>
          <w:sz w:val="24"/>
        </w:rPr>
        <w:t>Calcular pérdidas acumuladas cuando el trayecto atraviesa uno o varios obstáculos.</w:t>
      </w:r>
    </w:p>
    <w:p>
      <w:pPr>
        <w:pStyle w:val="ListBullet"/>
        <w:spacing w:line="276" w:lineRule="auto" w:after="0"/>
        <w:ind w:left="709" w:hanging="357"/>
      </w:pPr>
      <w:r>
        <w:rPr>
          <w:rFonts w:ascii="Times New Roman" w:hAnsi="Times New Roman"/>
          <w:b w:val="0"/>
          <w:i w:val="0"/>
          <w:color w:val="000000"/>
          <w:sz w:val="24"/>
        </w:rPr>
        <w:t>Comparar 850 MHz, 1900 MHz, 2100 MHz, 3.5 GHz y 28 GHz.</w:t>
      </w:r>
    </w:p>
    <w:p>
      <w:pPr>
        <w:pStyle w:val="ListBullet"/>
        <w:spacing w:line="276" w:lineRule="auto" w:after="0"/>
        <w:ind w:left="709" w:hanging="357"/>
      </w:pPr>
      <w:r>
        <w:rPr>
          <w:rFonts w:ascii="Times New Roman" w:hAnsi="Times New Roman"/>
          <w:b w:val="0"/>
          <w:i w:val="0"/>
          <w:color w:val="000000"/>
          <w:sz w:val="24"/>
        </w:rPr>
        <w:t>Evaluar el porcentaje del área interior que queda bajo -95 dBm.</w:t>
      </w:r>
    </w:p>
    <w:p>
      <w:pPr>
        <w:pStyle w:val="ListBullet"/>
        <w:spacing w:line="276" w:lineRule="auto" w:after="0"/>
        <w:ind w:left="709" w:hanging="357"/>
      </w:pPr>
      <w:r>
        <w:rPr>
          <w:rFonts w:ascii="Times New Roman" w:hAnsi="Times New Roman"/>
          <w:b w:val="0"/>
          <w:i w:val="0"/>
          <w:color w:val="000000"/>
          <w:sz w:val="24"/>
        </w:rPr>
        <w:t>Justificar la atenuación pasiva desde una perspectiva ética y legal.</w:t>
      </w:r>
    </w:p>
    <w:p>
      <w:pPr>
        <w:pStyle w:val="Heading2"/>
        <w:jc w:val="left"/>
      </w:pPr>
      <w:r>
        <w:t>1.6 Justificación</w:t>
      </w:r>
    </w:p>
    <w:p>
      <w:pPr/>
      <w:r>
        <w:rPr>
          <w:rFonts w:ascii="Times New Roman" w:hAnsi="Times New Roman"/>
          <w:b w:val="0"/>
          <w:i w:val="0"/>
          <w:color w:val="000000"/>
          <w:sz w:val="24"/>
        </w:rPr>
        <w:t>El simulador facilita una comprensión cuantitativa del problema y convierte conceptos abstractos en decisiones observables. El usuario puede mantener fijo el plano y modificar una variable por vez, lo cual permite analizar la sensibilidad del resultado. Además, la separación entre frontend y backend favorece la claridad del código, la verificación de las fórmulas y un despliegue web posterior.</w:t>
      </w:r>
    </w:p>
    <w:p>
      <w:pPr>
        <w:pStyle w:val="Heading2"/>
        <w:jc w:val="left"/>
      </w:pPr>
      <w:r>
        <w:t>1.7 Alcances y delimitaciones</w:t>
      </w:r>
    </w:p>
    <w:p>
      <w:pPr/>
      <w:r>
        <w:rPr>
          <w:rFonts w:ascii="Times New Roman" w:hAnsi="Times New Roman"/>
          <w:b w:val="0"/>
          <w:i w:val="0"/>
          <w:color w:val="000000"/>
          <w:sz w:val="24"/>
        </w:rPr>
        <w:t>El alcance incluye una aplicación web local, un editor 2D, cinco bandas preconfiguradas, cuatro tipos de obstáculos, mapa de potencia y resultados numéricos. Se excluyen propagación tridimensional, multitrayectoria, difracción rigurosa, medición de campo, costos constructivos y emisión activa. El prototipo es una herramienta académica de prefactibilidad.</w:t>
      </w:r>
    </w:p>
    <w:p>
      <w:r>
        <w:br w:type="page"/>
      </w:r>
    </w:p>
    <w:p>
      <w:pPr>
        <w:pStyle w:val="Heading1"/>
        <w:spacing w:before="0" w:after="360"/>
        <w:jc w:val="center"/>
      </w:pPr>
      <w:r>
        <w:rPr>
          <w:rFonts w:ascii="Times New Roman" w:hAnsi="Times New Roman"/>
          <w:b/>
          <w:i w:val="0"/>
          <w:color w:val="000000"/>
          <w:sz w:val="28"/>
        </w:rPr>
        <w:t>CAPÍTULO II</w:t>
        <w:br/>
        <w:t>MARCO TEÓRICO</w:t>
      </w:r>
    </w:p>
    <w:p>
      <w:pPr>
        <w:pStyle w:val="Heading2"/>
        <w:jc w:val="left"/>
      </w:pPr>
      <w:r>
        <w:t>2.1 Espectro radioeléctrico y comunicaciones móviles</w:t>
      </w:r>
    </w:p>
    <w:p>
      <w:pPr/>
      <w:r>
        <w:rPr>
          <w:rFonts w:ascii="Times New Roman" w:hAnsi="Times New Roman"/>
          <w:b w:val="0"/>
          <w:i w:val="0"/>
          <w:color w:val="000000"/>
          <w:sz w:val="24"/>
        </w:rPr>
        <w:t>El espectro radioeléctrico es un recurso limitado administrado por el Estado. Las redes móviles utilizan bandas con características de propagación distintas. Una frecuencia no determina por sí sola la cobertura, pero interviene en la pérdida de espacio libre, la longitud de onda, la interacción con materiales y el tamaño de aberturas capaces de permitir fuga electromagnética.</w:t>
      </w:r>
    </w:p>
    <w:p>
      <w:pPr>
        <w:pStyle w:val="Heading2"/>
        <w:jc w:val="left"/>
      </w:pPr>
      <w:r>
        <w:t>2.2 Longitud de onda</w:t>
      </w:r>
    </w:p>
    <w:p>
      <w:pPr/>
      <w:r>
        <w:rPr>
          <w:rFonts w:ascii="Times New Roman" w:hAnsi="Times New Roman"/>
          <w:b w:val="0"/>
          <w:i w:val="0"/>
          <w:color w:val="000000"/>
          <w:sz w:val="24"/>
        </w:rPr>
        <w:t>La longitud de onda se calcula mediante la relación entre velocidad de propagación y frecuencia.</w:t>
      </w:r>
    </w:p>
    <w:p>
      <w:pPr>
        <w:spacing w:before="120" w:after="60"/>
        <w:ind w:firstLine="0"/>
        <w:jc w:val="center"/>
      </w:pPr>
      <m:oMathPara>
        <m:oMathParaPr>
          <m:jc m:val="center"/>
        </m:oMathParaPr>
        <m:oMath>
          <m:r>
            <m:t>λ = c / f</m:t>
          </m:r>
        </m:oMath>
      </m:oMathPara>
    </w:p>
    <w:p>
      <w:pPr>
        <w:spacing w:after="160"/>
        <w:ind w:firstLine="0"/>
        <w:jc w:val="center"/>
      </w:pPr>
      <w:r>
        <w:rPr>
          <w:rFonts w:ascii="Times New Roman" w:hAnsi="Times New Roman"/>
          <w:b w:val="0"/>
          <w:i/>
          <w:color w:val="000000"/>
          <w:sz w:val="20"/>
        </w:rPr>
        <w:t>Ecuación 1 Longitud de onda</w:t>
      </w:r>
    </w:p>
    <w:p>
      <w:pPr/>
      <w:r>
        <w:rPr>
          <w:rFonts w:ascii="Times New Roman" w:hAnsi="Times New Roman"/>
          <w:b w:val="0"/>
          <w:i w:val="0"/>
          <w:color w:val="000000"/>
          <w:sz w:val="24"/>
        </w:rPr>
        <w:t>Con una velocidad de la luz de 299 792 458 m/s, la longitud de onda es aproximadamente 35.27 cm a 850 MHz, 15.78 cm a 1900 MHz, 8.57 cm a 3.5 GHz y 1.07 cm a 28 GHz. Una longitud menor incrementa la sensibilidad a detalles geométricos, discontinuidades y materiales del entorno.</w:t>
      </w:r>
    </w:p>
    <w:p>
      <w:pPr>
        <w:pStyle w:val="Heading2"/>
        <w:jc w:val="left"/>
      </w:pPr>
      <w:r>
        <w:t>2.3 Pérdida de espacio libre</w:t>
      </w:r>
    </w:p>
    <w:p>
      <w:pPr/>
      <w:r>
        <w:rPr>
          <w:rFonts w:ascii="Times New Roman" w:hAnsi="Times New Roman"/>
          <w:b w:val="0"/>
          <w:i w:val="0"/>
          <w:color w:val="000000"/>
          <w:sz w:val="24"/>
        </w:rPr>
        <w:t>FSPL representa la reducción ideal de densidad de potencia entre transmisor y receptor sin obstáculos. Para distancia en kilómetros y frecuencia en megahercios se emplea la siguiente expresión:</w:t>
      </w:r>
    </w:p>
    <w:p>
      <w:pPr>
        <w:spacing w:before="120" w:after="60"/>
        <w:ind w:firstLine="0"/>
        <w:jc w:val="center"/>
      </w:pPr>
      <m:oMathPara>
        <m:oMathParaPr>
          <m:jc m:val="center"/>
        </m:oMathParaPr>
        <m:oMath>
          <m:r>
            <m:t>FSPL (dB) = 32.44 + 20 log₁₀(dₖₘ) + 20 log₁₀(fₘₕz)</m:t>
          </m:r>
        </m:oMath>
      </m:oMathPara>
    </w:p>
    <w:p>
      <w:pPr>
        <w:spacing w:after="160"/>
        <w:ind w:firstLine="0"/>
        <w:jc w:val="center"/>
      </w:pPr>
      <w:r>
        <w:rPr>
          <w:rFonts w:ascii="Times New Roman" w:hAnsi="Times New Roman"/>
          <w:b w:val="0"/>
          <w:i/>
          <w:color w:val="000000"/>
          <w:sz w:val="20"/>
        </w:rPr>
        <w:t>Ecuación 2 Pérdida de espacio libre</w:t>
      </w:r>
    </w:p>
    <w:p>
      <w:pPr/>
      <w:r>
        <w:rPr>
          <w:rFonts w:ascii="Times New Roman" w:hAnsi="Times New Roman"/>
          <w:b w:val="0"/>
          <w:i w:val="0"/>
          <w:color w:val="000000"/>
          <w:sz w:val="24"/>
        </w:rPr>
        <w:t>El término de frecuencia muestra que, a igual distancia y ganancias, 28 GHz presenta una pérdida de espacio libre mayor que 850 MHz. Esto no equivale a afirmar que toda banda alta tenga automáticamente menos cobertura, porque las redes pueden compensar con ganancia, densidad de estaciones, potencia y formación de haces.</w:t>
      </w:r>
    </w:p>
    <w:p>
      <w:pPr>
        <w:pStyle w:val="Heading2"/>
        <w:jc w:val="left"/>
      </w:pPr>
      <w:r>
        <w:t>2.4 Balance de potencia y relación señal a ruido</w:t>
      </w:r>
    </w:p>
    <w:p>
      <w:pPr>
        <w:spacing w:before="120" w:after="60"/>
        <w:ind w:firstLine="0"/>
        <w:jc w:val="center"/>
      </w:pPr>
      <m:oMathPara>
        <m:oMathParaPr>
          <m:jc m:val="center"/>
        </m:oMathParaPr>
        <m:oMath>
          <m:r>
            <m:t>Pᵣ = Pₜ + Gₜ + Gᵣ - FSPL - ∑ Lₘₐₜₑᵣᵢₐₗ</m:t>
          </m:r>
        </m:oMath>
      </m:oMathPara>
    </w:p>
    <w:p>
      <w:pPr>
        <w:spacing w:after="160"/>
        <w:ind w:firstLine="0"/>
        <w:jc w:val="center"/>
      </w:pPr>
      <w:r>
        <w:rPr>
          <w:rFonts w:ascii="Times New Roman" w:hAnsi="Times New Roman"/>
          <w:b w:val="0"/>
          <w:i/>
          <w:color w:val="000000"/>
          <w:sz w:val="20"/>
        </w:rPr>
        <w:t>Ecuación 3 Balance de potencia recibido</w:t>
      </w:r>
    </w:p>
    <w:p>
      <w:pPr/>
      <w:r>
        <w:rPr>
          <w:rFonts w:ascii="Times New Roman" w:hAnsi="Times New Roman"/>
          <w:b w:val="0"/>
          <w:i w:val="0"/>
          <w:color w:val="000000"/>
          <w:sz w:val="24"/>
        </w:rPr>
        <w:t>La potencia recibida se compara con -95 dBm como umbral conceptual. El simulador mantiene un piso de ruido de -110 dBm, por lo que la relación señal a ruido se obtiene restando el nivel de ruido a la potencia recibida. La atenuación pasiva reduce primero la señal; si el ruido permanece fijo, también disminuye la SNR.</w:t>
      </w:r>
    </w:p>
    <w:p>
      <w:pPr>
        <w:pStyle w:val="Heading2"/>
        <w:jc w:val="left"/>
      </w:pPr>
      <w:r>
        <w:t>2.5 Atenuación por materiales</w:t>
      </w:r>
    </w:p>
    <w:p>
      <w:pPr>
        <w:spacing w:before="120" w:after="60"/>
        <w:ind w:firstLine="0"/>
        <w:jc w:val="center"/>
      </w:pPr>
      <m:oMathPara>
        <m:oMathParaPr>
          <m:jc m:val="center"/>
        </m:oMathParaPr>
        <m:oMath>
          <m:r>
            <m:t>Lₘₐₜₑᵣᵢₐₗ = α(f, material) · t</m:t>
          </m:r>
        </m:oMath>
      </m:oMathPara>
    </w:p>
    <w:p>
      <w:pPr>
        <w:spacing w:after="160"/>
        <w:ind w:firstLine="0"/>
        <w:jc w:val="center"/>
      </w:pPr>
      <w:r>
        <w:rPr>
          <w:rFonts w:ascii="Times New Roman" w:hAnsi="Times New Roman"/>
          <w:b w:val="0"/>
          <w:i/>
          <w:color w:val="000000"/>
          <w:sz w:val="20"/>
        </w:rPr>
        <w:t>Ecuación 4 Pérdida efectiva por material</w:t>
      </w:r>
    </w:p>
    <w:p>
      <w:pPr/>
      <w:r>
        <w:rPr>
          <w:rFonts w:ascii="Times New Roman" w:hAnsi="Times New Roman"/>
          <w:b w:val="0"/>
          <w:i w:val="0"/>
          <w:color w:val="000000"/>
          <w:sz w:val="24"/>
        </w:rPr>
        <w:t>El coeficiente efectivo alpha depende de la frecuencia y del material, mientras t representa el grosor. Esta aproximación facilita la demostración, pero no es una constante física universal. La UIT-R P.2040 describe propiedades eléctricas, interfaces, losas y estructuras multicapa. NISTIR 6055 muestra mediante mediciones que la pérdida cambia con frecuencia, espesor, humedad, mezcla y refuerzo.</w:t>
      </w:r>
    </w:p>
    <w:p>
      <w:pPr>
        <w:pStyle w:val="TableCaption"/>
      </w:pPr>
      <w:r>
        <w:t>Tabla 1 Coeficientes efectivos utilizados por el prototipo</w:t>
      </w:r>
    </w:p>
    <w:tbl>
      <w:tblPr>
        <w:tblW w:type="auto" w:w="0"/>
        <w:jc w:val="center"/>
        <w:tblLayout w:type="fixed"/>
        <w:tblLook w:firstColumn="1" w:firstRow="1" w:lastColumn="0" w:lastRow="0" w:noHBand="0" w:noVBand="1" w:val="04A0"/>
      </w:tblPr>
      <w:tblGrid>
        <w:gridCol w:w="1440"/>
        <w:gridCol w:w="1440"/>
        <w:gridCol w:w="1440"/>
        <w:gridCol w:w="1440"/>
        <w:gridCol w:w="1440"/>
        <w:gridCol w:w="1440"/>
      </w:tblGrid>
      <w:tr>
        <w:trPr>
          <w:tblHeader w:val="true"/>
        </w:trPr>
        <w:tc>
          <w:tcPr>
            <w:tcW w:type="dxa" w:w="2232"/>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ind w:firstLine="0"/>
              <w:jc w:val="center"/>
            </w:pPr>
            <w:r>
              <w:rPr>
                <w:rFonts w:ascii="Times New Roman" w:hAnsi="Times New Roman"/>
                <w:b/>
                <w:i w:val="0"/>
                <w:color w:val="FFFFFF"/>
                <w:sz w:val="19"/>
              </w:rPr>
              <w:t>Material</w:t>
            </w:r>
          </w:p>
        </w:tc>
        <w:tc>
          <w:tcPr>
            <w:tcW w:type="dxa" w:w="1296"/>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ind w:firstLine="0"/>
              <w:jc w:val="center"/>
            </w:pPr>
            <w:r>
              <w:rPr>
                <w:rFonts w:ascii="Times New Roman" w:hAnsi="Times New Roman"/>
                <w:b/>
                <w:i w:val="0"/>
                <w:color w:val="FFFFFF"/>
                <w:sz w:val="19"/>
              </w:rPr>
              <w:t>850 MHz</w:t>
            </w:r>
          </w:p>
        </w:tc>
        <w:tc>
          <w:tcPr>
            <w:tcW w:type="dxa" w:w="1296"/>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ind w:firstLine="0"/>
              <w:jc w:val="center"/>
            </w:pPr>
            <w:r>
              <w:rPr>
                <w:rFonts w:ascii="Times New Roman" w:hAnsi="Times New Roman"/>
                <w:b/>
                <w:i w:val="0"/>
                <w:color w:val="FFFFFF"/>
                <w:sz w:val="19"/>
              </w:rPr>
              <w:t>1.9 GHz</w:t>
            </w:r>
          </w:p>
        </w:tc>
        <w:tc>
          <w:tcPr>
            <w:tcW w:type="dxa" w:w="1296"/>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ind w:firstLine="0"/>
              <w:jc w:val="center"/>
            </w:pPr>
            <w:r>
              <w:rPr>
                <w:rFonts w:ascii="Times New Roman" w:hAnsi="Times New Roman"/>
                <w:b/>
                <w:i w:val="0"/>
                <w:color w:val="FFFFFF"/>
                <w:sz w:val="19"/>
              </w:rPr>
              <w:t>2.1 GHz</w:t>
            </w:r>
          </w:p>
        </w:tc>
        <w:tc>
          <w:tcPr>
            <w:tcW w:type="dxa" w:w="1296"/>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ind w:firstLine="0"/>
              <w:jc w:val="center"/>
            </w:pPr>
            <w:r>
              <w:rPr>
                <w:rFonts w:ascii="Times New Roman" w:hAnsi="Times New Roman"/>
                <w:b/>
                <w:i w:val="0"/>
                <w:color w:val="FFFFFF"/>
                <w:sz w:val="19"/>
              </w:rPr>
              <w:t>3.5 GHz</w:t>
            </w:r>
          </w:p>
        </w:tc>
        <w:tc>
          <w:tcPr>
            <w:tcW w:type="dxa" w:w="1296"/>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ind w:firstLine="0"/>
              <w:jc w:val="center"/>
            </w:pPr>
            <w:r>
              <w:rPr>
                <w:rFonts w:ascii="Times New Roman" w:hAnsi="Times New Roman"/>
                <w:b/>
                <w:i w:val="0"/>
                <w:color w:val="FFFFFF"/>
                <w:sz w:val="19"/>
              </w:rPr>
              <w:t>28 GHz</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left"/>
            </w:pPr>
            <w:r>
              <w:rPr>
                <w:rFonts w:ascii="Times New Roman" w:hAnsi="Times New Roman"/>
                <w:b w:val="0"/>
                <w:i w:val="0"/>
                <w:color w:val="000000"/>
                <w:sz w:val="18"/>
              </w:rPr>
              <w:t>Concreto reforzado</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center"/>
            </w:pPr>
            <w:r>
              <w:rPr>
                <w:rFonts w:ascii="Times New Roman" w:hAnsi="Times New Roman"/>
                <w:b w:val="0"/>
                <w:i w:val="0"/>
                <w:color w:val="000000"/>
                <w:sz w:val="18"/>
              </w:rPr>
              <w:t>20.3</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center"/>
            </w:pPr>
            <w:r>
              <w:rPr>
                <w:rFonts w:ascii="Times New Roman" w:hAnsi="Times New Roman"/>
                <w:b w:val="0"/>
                <w:i w:val="0"/>
                <w:color w:val="000000"/>
                <w:sz w:val="18"/>
              </w:rPr>
              <w:t>30.3</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center"/>
            </w:pPr>
            <w:r>
              <w:rPr>
                <w:rFonts w:ascii="Times New Roman" w:hAnsi="Times New Roman"/>
                <w:b w:val="0"/>
                <w:i w:val="0"/>
                <w:color w:val="000000"/>
                <w:sz w:val="18"/>
              </w:rPr>
              <w:t>31.9</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center"/>
            </w:pPr>
            <w:r>
              <w:rPr>
                <w:rFonts w:ascii="Times New Roman" w:hAnsi="Times New Roman"/>
                <w:b w:val="0"/>
                <w:i w:val="0"/>
                <w:color w:val="000000"/>
                <w:sz w:val="18"/>
              </w:rPr>
              <w:t>41.2</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center"/>
            </w:pPr>
            <w:r>
              <w:rPr>
                <w:rFonts w:ascii="Times New Roman" w:hAnsi="Times New Roman"/>
                <w:b w:val="0"/>
                <w:i w:val="0"/>
                <w:color w:val="000000"/>
                <w:sz w:val="18"/>
              </w:rPr>
              <w:t>116.4</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line="240" w:lineRule="auto" w:after="0"/>
              <w:ind w:firstLine="0"/>
              <w:jc w:val="left"/>
            </w:pPr>
            <w:r>
              <w:rPr>
                <w:rFonts w:ascii="Times New Roman" w:hAnsi="Times New Roman"/>
                <w:b w:val="0"/>
                <w:i w:val="0"/>
                <w:color w:val="000000"/>
                <w:sz w:val="18"/>
              </w:rPr>
              <w:t>Ladrillo</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line="240" w:lineRule="auto" w:after="0"/>
              <w:ind w:firstLine="0"/>
              <w:jc w:val="center"/>
            </w:pPr>
            <w:r>
              <w:rPr>
                <w:rFonts w:ascii="Times New Roman" w:hAnsi="Times New Roman"/>
                <w:b w:val="0"/>
                <w:i w:val="0"/>
                <w:color w:val="000000"/>
                <w:sz w:val="18"/>
              </w:rPr>
              <w:t>9.9</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line="240" w:lineRule="auto" w:after="0"/>
              <w:ind w:firstLine="0"/>
              <w:jc w:val="center"/>
            </w:pPr>
            <w:r>
              <w:rPr>
                <w:rFonts w:ascii="Times New Roman" w:hAnsi="Times New Roman"/>
                <w:b w:val="0"/>
                <w:i w:val="0"/>
                <w:color w:val="000000"/>
                <w:sz w:val="18"/>
              </w:rPr>
              <w:t>16.7</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line="240" w:lineRule="auto" w:after="0"/>
              <w:ind w:firstLine="0"/>
              <w:jc w:val="center"/>
            </w:pPr>
            <w:r>
              <w:rPr>
                <w:rFonts w:ascii="Times New Roman" w:hAnsi="Times New Roman"/>
                <w:b w:val="0"/>
                <w:i w:val="0"/>
                <w:color w:val="000000"/>
                <w:sz w:val="18"/>
              </w:rPr>
              <w:t>17.8</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line="240" w:lineRule="auto" w:after="0"/>
              <w:ind w:firstLine="0"/>
              <w:jc w:val="center"/>
            </w:pPr>
            <w:r>
              <w:rPr>
                <w:rFonts w:ascii="Times New Roman" w:hAnsi="Times New Roman"/>
                <w:b w:val="0"/>
                <w:i w:val="0"/>
                <w:color w:val="000000"/>
                <w:sz w:val="18"/>
              </w:rPr>
              <w:t>24.8</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line="240" w:lineRule="auto" w:after="0"/>
              <w:ind w:firstLine="0"/>
              <w:jc w:val="center"/>
            </w:pPr>
            <w:r>
              <w:rPr>
                <w:rFonts w:ascii="Times New Roman" w:hAnsi="Times New Roman"/>
                <w:b w:val="0"/>
                <w:i w:val="0"/>
                <w:color w:val="000000"/>
                <w:sz w:val="18"/>
              </w:rPr>
              <w:t>96.0</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left"/>
            </w:pPr>
            <w:r>
              <w:rPr>
                <w:rFonts w:ascii="Times New Roman" w:hAnsi="Times New Roman"/>
                <w:b w:val="0"/>
                <w:i w:val="0"/>
                <w:color w:val="000000"/>
                <w:sz w:val="18"/>
              </w:rPr>
              <w:t>Malla de acero</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center"/>
            </w:pPr>
            <w:r>
              <w:rPr>
                <w:rFonts w:ascii="Times New Roman" w:hAnsi="Times New Roman"/>
                <w:b w:val="0"/>
                <w:i w:val="0"/>
                <w:color w:val="000000"/>
                <w:sz w:val="18"/>
              </w:rPr>
              <w:t>31.8</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center"/>
            </w:pPr>
            <w:r>
              <w:rPr>
                <w:rFonts w:ascii="Times New Roman" w:hAnsi="Times New Roman"/>
                <w:b w:val="0"/>
                <w:i w:val="0"/>
                <w:color w:val="000000"/>
                <w:sz w:val="18"/>
              </w:rPr>
              <w:t>44.5</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center"/>
            </w:pPr>
            <w:r>
              <w:rPr>
                <w:rFonts w:ascii="Times New Roman" w:hAnsi="Times New Roman"/>
                <w:b w:val="0"/>
                <w:i w:val="0"/>
                <w:color w:val="000000"/>
                <w:sz w:val="18"/>
              </w:rPr>
              <w:t>46.4</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center"/>
            </w:pPr>
            <w:r>
              <w:rPr>
                <w:rFonts w:ascii="Times New Roman" w:hAnsi="Times New Roman"/>
                <w:b w:val="0"/>
                <w:i w:val="0"/>
                <w:color w:val="000000"/>
                <w:sz w:val="18"/>
              </w:rPr>
              <w:t>57.5</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center"/>
            </w:pPr>
            <w:r>
              <w:rPr>
                <w:rFonts w:ascii="Times New Roman" w:hAnsi="Times New Roman"/>
                <w:b w:val="0"/>
                <w:i w:val="0"/>
                <w:color w:val="000000"/>
                <w:sz w:val="18"/>
              </w:rPr>
              <w:t>137.8</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line="240" w:lineRule="auto" w:after="0"/>
              <w:ind w:firstLine="0"/>
              <w:jc w:val="left"/>
            </w:pPr>
            <w:r>
              <w:rPr>
                <w:rFonts w:ascii="Times New Roman" w:hAnsi="Times New Roman"/>
                <w:b w:val="0"/>
                <w:i w:val="0"/>
                <w:color w:val="000000"/>
                <w:sz w:val="18"/>
              </w:rPr>
              <w:t>Puerta metálica</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line="240" w:lineRule="auto" w:after="0"/>
              <w:ind w:firstLine="0"/>
              <w:jc w:val="center"/>
            </w:pPr>
            <w:r>
              <w:rPr>
                <w:rFonts w:ascii="Times New Roman" w:hAnsi="Times New Roman"/>
                <w:b w:val="0"/>
                <w:i w:val="0"/>
                <w:color w:val="000000"/>
                <w:sz w:val="18"/>
              </w:rPr>
              <w:t>45.1</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line="240" w:lineRule="auto" w:after="0"/>
              <w:ind w:firstLine="0"/>
              <w:jc w:val="center"/>
            </w:pPr>
            <w:r>
              <w:rPr>
                <w:rFonts w:ascii="Times New Roman" w:hAnsi="Times New Roman"/>
                <w:b w:val="0"/>
                <w:i w:val="0"/>
                <w:color w:val="000000"/>
                <w:sz w:val="18"/>
              </w:rPr>
              <w:t>61.3</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line="240" w:lineRule="auto" w:after="0"/>
              <w:ind w:firstLine="0"/>
              <w:jc w:val="center"/>
            </w:pPr>
            <w:r>
              <w:rPr>
                <w:rFonts w:ascii="Times New Roman" w:hAnsi="Times New Roman"/>
                <w:b w:val="0"/>
                <w:i w:val="0"/>
                <w:color w:val="000000"/>
                <w:sz w:val="18"/>
              </w:rPr>
              <w:t>63.6</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line="240" w:lineRule="auto" w:after="0"/>
              <w:ind w:firstLine="0"/>
              <w:jc w:val="center"/>
            </w:pPr>
            <w:r>
              <w:rPr>
                <w:rFonts w:ascii="Times New Roman" w:hAnsi="Times New Roman"/>
                <w:b w:val="0"/>
                <w:i w:val="0"/>
                <w:color w:val="000000"/>
                <w:sz w:val="18"/>
              </w:rPr>
              <w:t>77.3</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line="240" w:lineRule="auto" w:after="0"/>
              <w:ind w:firstLine="0"/>
              <w:jc w:val="center"/>
            </w:pPr>
            <w:r>
              <w:rPr>
                <w:rFonts w:ascii="Times New Roman" w:hAnsi="Times New Roman"/>
                <w:b w:val="0"/>
                <w:i w:val="0"/>
                <w:color w:val="000000"/>
                <w:sz w:val="18"/>
              </w:rPr>
              <w:t>170.3</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left"/>
            </w:pPr>
            <w:r>
              <w:rPr>
                <w:rFonts w:ascii="Times New Roman" w:hAnsi="Times New Roman"/>
                <w:b w:val="0"/>
                <w:i w:val="0"/>
                <w:color w:val="000000"/>
                <w:sz w:val="18"/>
              </w:rPr>
              <w:t>Blindaje metálico</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center"/>
            </w:pPr>
            <w:r>
              <w:rPr>
                <w:rFonts w:ascii="Times New Roman" w:hAnsi="Times New Roman"/>
                <w:b w:val="0"/>
                <w:i w:val="0"/>
                <w:color w:val="000000"/>
                <w:sz w:val="18"/>
              </w:rPr>
              <w:t>134.1</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center"/>
            </w:pPr>
            <w:r>
              <w:rPr>
                <w:rFonts w:ascii="Times New Roman" w:hAnsi="Times New Roman"/>
                <w:b w:val="0"/>
                <w:i w:val="0"/>
                <w:color w:val="000000"/>
                <w:sz w:val="18"/>
              </w:rPr>
              <w:t>197.3</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center"/>
            </w:pPr>
            <w:r>
              <w:rPr>
                <w:rFonts w:ascii="Times New Roman" w:hAnsi="Times New Roman"/>
                <w:b w:val="0"/>
                <w:i w:val="0"/>
                <w:color w:val="000000"/>
                <w:sz w:val="18"/>
              </w:rPr>
              <w:t>207.0</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center"/>
            </w:pPr>
            <w:r>
              <w:rPr>
                <w:rFonts w:ascii="Times New Roman" w:hAnsi="Times New Roman"/>
                <w:b w:val="0"/>
                <w:i w:val="0"/>
                <w:color w:val="000000"/>
                <w:sz w:val="18"/>
              </w:rPr>
              <w:t>264.6</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center"/>
            </w:pPr>
            <w:r>
              <w:rPr>
                <w:rFonts w:ascii="Times New Roman" w:hAnsi="Times New Roman"/>
                <w:b w:val="0"/>
                <w:i w:val="0"/>
                <w:color w:val="000000"/>
                <w:sz w:val="18"/>
              </w:rPr>
              <w:t>717.8</w:t>
            </w:r>
          </w:p>
        </w:tc>
      </w:tr>
    </w:tbl>
    <w:p>
      <w:pPr>
        <w:spacing w:after="0"/>
      </w:pPr>
    </w:p>
    <w:p>
      <w:pPr/>
      <w:r>
        <w:rPr>
          <w:rFonts w:ascii="Times New Roman" w:hAnsi="Times New Roman"/>
          <w:b/>
          <w:i w:val="0"/>
          <w:color w:val="000000"/>
          <w:sz w:val="24"/>
        </w:rPr>
        <w:t>Los valores</w:t>
      </w:r>
      <w:r>
        <w:rPr>
          <w:rFonts w:ascii="Times New Roman" w:hAnsi="Times New Roman"/>
          <w:b w:val="0"/>
          <w:i w:val="0"/>
          <w:color w:val="000000"/>
          <w:sz w:val="24"/>
        </w:rPr>
        <w:t xml:space="preserve"> se expresan en dB/m y constituyen parámetros didácticos de calibración. Una recomendación constructiva debe reemplazarlos con ensayos o bibliografía aplicable al material real, incluyendo humedad, armadura, juntas, ventanas, puertas, ductos y ángulo de incidencia.</w:t>
      </w:r>
    </w:p>
    <w:p>
      <w:pPr>
        <w:pStyle w:val="Heading2"/>
        <w:jc w:val="left"/>
      </w:pPr>
      <w:r>
        <w:t>2.6 Blindaje electromagnético y jaula de Faraday</w:t>
      </w:r>
    </w:p>
    <w:p>
      <w:pPr/>
      <w:r>
        <w:rPr>
          <w:rFonts w:ascii="Times New Roman" w:hAnsi="Times New Roman"/>
          <w:b w:val="0"/>
          <w:i w:val="0"/>
          <w:color w:val="000000"/>
          <w:sz w:val="24"/>
        </w:rPr>
        <w:t>Un blindaje conductor redistribuye cargas y corrientes de manera que reduce el campo electromagnético dentro del volumen protegido. Su eficacia depende de conductividad, continuidad, espesor, uniones y tamaño de las aberturas respecto de la longitud de onda. Una puerta mal conectada, una rejilla grande o un ducto sin tratamiento pueden dominar la fuga aun cuando los paneles tengan alta pérdida de inserción.</w:t>
      </w:r>
    </w:p>
    <w:p>
      <w:pPr>
        <w:pStyle w:val="Heading2"/>
        <w:jc w:val="left"/>
      </w:pPr>
      <w:r>
        <w:t>2.7 Marco legal y ético</w:t>
      </w:r>
    </w:p>
    <w:p>
      <w:pPr/>
      <w:r>
        <w:rPr>
          <w:rFonts w:ascii="Times New Roman" w:hAnsi="Times New Roman"/>
          <w:b w:val="0"/>
          <w:i w:val="0"/>
          <w:color w:val="000000"/>
          <w:sz w:val="24"/>
        </w:rPr>
        <w:t>La Ley General de Telecomunicaciones de Guatemala establece un marco para el aprovechamiento del espectro, la protección de usuarios y empresas proveedoras y el uso racional del recurso. La SIT dispone procedimientos para la atención de interferencias perjudiciales. Desde esta perspectiva, una solución que emite ruido fuera del objetivo introduce riesgo para terceros y debe evitarse en un proyecto académico.</w:t>
      </w:r>
    </w:p>
    <w:p>
      <w:pPr/>
      <w:r>
        <w:rPr>
          <w:rFonts w:ascii="Times New Roman" w:hAnsi="Times New Roman"/>
          <w:b w:val="0"/>
          <w:i w:val="0"/>
          <w:color w:val="000000"/>
          <w:sz w:val="24"/>
        </w:rPr>
        <w:t>La atenuación pasiva no ocupa una banda mediante una nueva transmisión. Su propósito es actuar sobre la envolvente física para reducir conectividad dentro del recinto y conservar las comunicaciones autorizadas del exterior. Una implementación real deberá preservar canales de emergencia y coordinarse con la SIT, operadores y autoridades penitenciarias.</w:t>
      </w:r>
    </w:p>
    <w:p>
      <w:r>
        <w:br w:type="page"/>
      </w:r>
    </w:p>
    <w:p>
      <w:pPr>
        <w:pStyle w:val="Heading1"/>
        <w:spacing w:before="0" w:after="360"/>
        <w:jc w:val="center"/>
      </w:pPr>
      <w:r>
        <w:rPr>
          <w:rFonts w:ascii="Times New Roman" w:hAnsi="Times New Roman"/>
          <w:b/>
          <w:i w:val="0"/>
          <w:color w:val="000000"/>
          <w:sz w:val="28"/>
        </w:rPr>
        <w:t>CAPÍTULO III</w:t>
        <w:br/>
        <w:t>MARCO METODOLÓGICO</w:t>
      </w:r>
    </w:p>
    <w:p>
      <w:pPr>
        <w:pStyle w:val="Heading2"/>
        <w:jc w:val="left"/>
      </w:pPr>
      <w:r>
        <w:t>3.1 Enfoque y tipo de estudio</w:t>
      </w:r>
    </w:p>
    <w:p>
      <w:pPr/>
      <w:r>
        <w:rPr>
          <w:rFonts w:ascii="Times New Roman" w:hAnsi="Times New Roman"/>
          <w:b w:val="0"/>
          <w:i w:val="0"/>
          <w:color w:val="000000"/>
          <w:sz w:val="24"/>
        </w:rPr>
        <w:t>La investigación adopta un enfoque cuantitativo aplicado y un diseño experimental por simulación. No se manipula espectro real. Los escenarios se ejecutan con parámetros controlados y se compara la respuesta numérica del modelo al modificar frecuencia, material o grosor.</w:t>
      </w:r>
    </w:p>
    <w:p>
      <w:pPr>
        <w:pStyle w:val="Heading2"/>
        <w:jc w:val="left"/>
      </w:pPr>
      <w:r>
        <w:t>3.2 Variables de estudio</w:t>
      </w:r>
    </w:p>
    <w:p>
      <w:pPr>
        <w:pStyle w:val="TableCaption"/>
      </w:pPr>
      <w:r>
        <w:t>Tabla 2 Variables de estudio</w:t>
      </w:r>
    </w:p>
    <w:tbl>
      <w:tblPr>
        <w:tblW w:type="auto" w:w="0"/>
        <w:jc w:val="center"/>
        <w:tblLayout w:type="fixed"/>
        <w:tblLook w:firstColumn="1" w:firstRow="1" w:lastColumn="0" w:lastRow="0" w:noHBand="0" w:noVBand="1" w:val="04A0"/>
      </w:tblPr>
      <w:tblGrid>
        <w:gridCol w:w="2160"/>
        <w:gridCol w:w="2160"/>
        <w:gridCol w:w="2160"/>
        <w:gridCol w:w="2160"/>
      </w:tblGrid>
      <w:tr>
        <w:trPr>
          <w:tblHeader w:val="true"/>
        </w:trPr>
        <w:tc>
          <w:tcPr>
            <w:tcW w:type="dxa" w:w="1944"/>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ind w:firstLine="0"/>
              <w:jc w:val="center"/>
            </w:pPr>
            <w:r>
              <w:rPr>
                <w:rFonts w:ascii="Times New Roman" w:hAnsi="Times New Roman"/>
                <w:b/>
                <w:i w:val="0"/>
                <w:color w:val="FFFFFF"/>
                <w:sz w:val="19"/>
              </w:rPr>
              <w:t>Variable</w:t>
            </w:r>
          </w:p>
        </w:tc>
        <w:tc>
          <w:tcPr>
            <w:tcW w:type="dxa" w:w="1656"/>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ind w:firstLine="0"/>
              <w:jc w:val="center"/>
            </w:pPr>
            <w:r>
              <w:rPr>
                <w:rFonts w:ascii="Times New Roman" w:hAnsi="Times New Roman"/>
                <w:b/>
                <w:i w:val="0"/>
                <w:color w:val="FFFFFF"/>
                <w:sz w:val="19"/>
              </w:rPr>
              <w:t>Tipo</w:t>
            </w:r>
          </w:p>
        </w:tc>
        <w:tc>
          <w:tcPr>
            <w:tcW w:type="dxa" w:w="1944"/>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ind w:firstLine="0"/>
              <w:jc w:val="center"/>
            </w:pPr>
            <w:r>
              <w:rPr>
                <w:rFonts w:ascii="Times New Roman" w:hAnsi="Times New Roman"/>
                <w:b/>
                <w:i w:val="0"/>
                <w:color w:val="FFFFFF"/>
                <w:sz w:val="19"/>
              </w:rPr>
              <w:t>Unidad o categoría</w:t>
            </w:r>
          </w:p>
        </w:tc>
        <w:tc>
          <w:tcPr>
            <w:tcW w:type="dxa" w:w="4320"/>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ind w:firstLine="0"/>
              <w:jc w:val="center"/>
            </w:pPr>
            <w:r>
              <w:rPr>
                <w:rFonts w:ascii="Times New Roman" w:hAnsi="Times New Roman"/>
                <w:b/>
                <w:i w:val="0"/>
                <w:color w:val="FFFFFF"/>
                <w:sz w:val="19"/>
              </w:rPr>
              <w:t>Función</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left"/>
            </w:pPr>
            <w:r>
              <w:rPr>
                <w:rFonts w:ascii="Times New Roman" w:hAnsi="Times New Roman"/>
                <w:b w:val="0"/>
                <w:i w:val="0"/>
                <w:color w:val="000000"/>
                <w:sz w:val="18"/>
              </w:rPr>
              <w:t>Frecuencia</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center"/>
            </w:pPr>
            <w:r>
              <w:rPr>
                <w:rFonts w:ascii="Times New Roman" w:hAnsi="Times New Roman"/>
                <w:b w:val="0"/>
                <w:i w:val="0"/>
                <w:color w:val="000000"/>
                <w:sz w:val="18"/>
              </w:rPr>
              <w:t>Independiente</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center"/>
            </w:pPr>
            <w:r>
              <w:rPr>
                <w:rFonts w:ascii="Times New Roman" w:hAnsi="Times New Roman"/>
                <w:b w:val="0"/>
                <w:i w:val="0"/>
                <w:color w:val="000000"/>
                <w:sz w:val="18"/>
              </w:rPr>
              <w:t>MHz</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center"/>
            </w:pPr>
            <w:r>
              <w:rPr>
                <w:rFonts w:ascii="Times New Roman" w:hAnsi="Times New Roman"/>
                <w:b w:val="0"/>
                <w:i w:val="0"/>
                <w:color w:val="000000"/>
                <w:sz w:val="18"/>
              </w:rPr>
              <w:t>Modifica FSPL, longitud de onda y alpha.</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line="240" w:lineRule="auto" w:after="0"/>
              <w:ind w:firstLine="0"/>
              <w:jc w:val="left"/>
            </w:pPr>
            <w:r>
              <w:rPr>
                <w:rFonts w:ascii="Times New Roman" w:hAnsi="Times New Roman"/>
                <w:b w:val="0"/>
                <w:i w:val="0"/>
                <w:color w:val="000000"/>
                <w:sz w:val="18"/>
              </w:rPr>
              <w:t>Distancia</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line="240" w:lineRule="auto" w:after="0"/>
              <w:ind w:firstLine="0"/>
              <w:jc w:val="center"/>
            </w:pPr>
            <w:r>
              <w:rPr>
                <w:rFonts w:ascii="Times New Roman" w:hAnsi="Times New Roman"/>
                <w:b w:val="0"/>
                <w:i w:val="0"/>
                <w:color w:val="000000"/>
                <w:sz w:val="18"/>
              </w:rPr>
              <w:t>Independiente</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line="240" w:lineRule="auto" w:after="0"/>
              <w:ind w:firstLine="0"/>
              <w:jc w:val="center"/>
            </w:pPr>
            <w:r>
              <w:rPr>
                <w:rFonts w:ascii="Times New Roman" w:hAnsi="Times New Roman"/>
                <w:b w:val="0"/>
                <w:i w:val="0"/>
                <w:color w:val="000000"/>
                <w:sz w:val="18"/>
              </w:rPr>
              <w:t>m</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line="240" w:lineRule="auto" w:after="0"/>
              <w:ind w:firstLine="0"/>
              <w:jc w:val="center"/>
            </w:pPr>
            <w:r>
              <w:rPr>
                <w:rFonts w:ascii="Times New Roman" w:hAnsi="Times New Roman"/>
                <w:b w:val="0"/>
                <w:i w:val="0"/>
                <w:color w:val="000000"/>
                <w:sz w:val="18"/>
              </w:rPr>
              <w:t>Modifica FSPL.</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left"/>
            </w:pPr>
            <w:r>
              <w:rPr>
                <w:rFonts w:ascii="Times New Roman" w:hAnsi="Times New Roman"/>
                <w:b w:val="0"/>
                <w:i w:val="0"/>
                <w:color w:val="000000"/>
                <w:sz w:val="18"/>
              </w:rPr>
              <w:t>Potencia transmitida</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center"/>
            </w:pPr>
            <w:r>
              <w:rPr>
                <w:rFonts w:ascii="Times New Roman" w:hAnsi="Times New Roman"/>
                <w:b w:val="0"/>
                <w:i w:val="0"/>
                <w:color w:val="000000"/>
                <w:sz w:val="18"/>
              </w:rPr>
              <w:t>Independiente</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center"/>
            </w:pPr>
            <w:r>
              <w:rPr>
                <w:rFonts w:ascii="Times New Roman" w:hAnsi="Times New Roman"/>
                <w:b w:val="0"/>
                <w:i w:val="0"/>
                <w:color w:val="000000"/>
                <w:sz w:val="18"/>
              </w:rPr>
              <w:t>dBm</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center"/>
            </w:pPr>
            <w:r>
              <w:rPr>
                <w:rFonts w:ascii="Times New Roman" w:hAnsi="Times New Roman"/>
                <w:b w:val="0"/>
                <w:i w:val="0"/>
                <w:color w:val="000000"/>
                <w:sz w:val="18"/>
              </w:rPr>
              <w:t>Punto de partida del balance.</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line="240" w:lineRule="auto" w:after="0"/>
              <w:ind w:firstLine="0"/>
              <w:jc w:val="left"/>
            </w:pPr>
            <w:r>
              <w:rPr>
                <w:rFonts w:ascii="Times New Roman" w:hAnsi="Times New Roman"/>
                <w:b w:val="0"/>
                <w:i w:val="0"/>
                <w:color w:val="000000"/>
                <w:sz w:val="18"/>
              </w:rPr>
              <w:t>Material</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line="240" w:lineRule="auto" w:after="0"/>
              <w:ind w:firstLine="0"/>
              <w:jc w:val="center"/>
            </w:pPr>
            <w:r>
              <w:rPr>
                <w:rFonts w:ascii="Times New Roman" w:hAnsi="Times New Roman"/>
                <w:b w:val="0"/>
                <w:i w:val="0"/>
                <w:color w:val="000000"/>
                <w:sz w:val="18"/>
              </w:rPr>
              <w:t>Independiente</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line="240" w:lineRule="auto" w:after="0"/>
              <w:ind w:firstLine="0"/>
              <w:jc w:val="center"/>
            </w:pPr>
            <w:r>
              <w:rPr>
                <w:rFonts w:ascii="Times New Roman" w:hAnsi="Times New Roman"/>
                <w:b w:val="0"/>
                <w:i w:val="0"/>
                <w:color w:val="000000"/>
                <w:sz w:val="18"/>
              </w:rPr>
              <w:t>Categoría</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line="240" w:lineRule="auto" w:after="0"/>
              <w:ind w:firstLine="0"/>
              <w:jc w:val="center"/>
            </w:pPr>
            <w:r>
              <w:rPr>
                <w:rFonts w:ascii="Times New Roman" w:hAnsi="Times New Roman"/>
                <w:b w:val="0"/>
                <w:i w:val="0"/>
                <w:color w:val="000000"/>
                <w:sz w:val="18"/>
              </w:rPr>
              <w:t>Selecciona coeficiente efectivo.</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left"/>
            </w:pPr>
            <w:r>
              <w:rPr>
                <w:rFonts w:ascii="Times New Roman" w:hAnsi="Times New Roman"/>
                <w:b w:val="0"/>
                <w:i w:val="0"/>
                <w:color w:val="000000"/>
                <w:sz w:val="18"/>
              </w:rPr>
              <w:t>Grosor</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center"/>
            </w:pPr>
            <w:r>
              <w:rPr>
                <w:rFonts w:ascii="Times New Roman" w:hAnsi="Times New Roman"/>
                <w:b w:val="0"/>
                <w:i w:val="0"/>
                <w:color w:val="000000"/>
                <w:sz w:val="18"/>
              </w:rPr>
              <w:t>Independiente</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center"/>
            </w:pPr>
            <w:r>
              <w:rPr>
                <w:rFonts w:ascii="Times New Roman" w:hAnsi="Times New Roman"/>
                <w:b w:val="0"/>
                <w:i w:val="0"/>
                <w:color w:val="000000"/>
                <w:sz w:val="18"/>
              </w:rPr>
              <w:t>m</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center"/>
            </w:pPr>
            <w:r>
              <w:rPr>
                <w:rFonts w:ascii="Times New Roman" w:hAnsi="Times New Roman"/>
                <w:b w:val="0"/>
                <w:i w:val="0"/>
                <w:color w:val="000000"/>
                <w:sz w:val="18"/>
              </w:rPr>
              <w:t>Escala la pérdida del obstáculo.</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line="240" w:lineRule="auto" w:after="0"/>
              <w:ind w:firstLine="0"/>
              <w:jc w:val="left"/>
            </w:pPr>
            <w:r>
              <w:rPr>
                <w:rFonts w:ascii="Times New Roman" w:hAnsi="Times New Roman"/>
                <w:b w:val="0"/>
                <w:i w:val="0"/>
                <w:color w:val="000000"/>
                <w:sz w:val="18"/>
              </w:rPr>
              <w:t>Potencia recibida</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line="240" w:lineRule="auto" w:after="0"/>
              <w:ind w:firstLine="0"/>
              <w:jc w:val="center"/>
            </w:pPr>
            <w:r>
              <w:rPr>
                <w:rFonts w:ascii="Times New Roman" w:hAnsi="Times New Roman"/>
                <w:b w:val="0"/>
                <w:i w:val="0"/>
                <w:color w:val="000000"/>
                <w:sz w:val="18"/>
              </w:rPr>
              <w:t>Dependiente</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line="240" w:lineRule="auto" w:after="0"/>
              <w:ind w:firstLine="0"/>
              <w:jc w:val="center"/>
            </w:pPr>
            <w:r>
              <w:rPr>
                <w:rFonts w:ascii="Times New Roman" w:hAnsi="Times New Roman"/>
                <w:b w:val="0"/>
                <w:i w:val="0"/>
                <w:color w:val="000000"/>
                <w:sz w:val="18"/>
              </w:rPr>
              <w:t>dBm</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line="240" w:lineRule="auto" w:after="0"/>
              <w:ind w:firstLine="0"/>
              <w:jc w:val="center"/>
            </w:pPr>
            <w:r>
              <w:rPr>
                <w:rFonts w:ascii="Times New Roman" w:hAnsi="Times New Roman"/>
                <w:b w:val="0"/>
                <w:i w:val="0"/>
                <w:color w:val="000000"/>
                <w:sz w:val="18"/>
              </w:rPr>
              <w:t>Resultado por punto del plano.</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left"/>
            </w:pPr>
            <w:r>
              <w:rPr>
                <w:rFonts w:ascii="Times New Roman" w:hAnsi="Times New Roman"/>
                <w:b w:val="0"/>
                <w:i w:val="0"/>
                <w:color w:val="000000"/>
                <w:sz w:val="18"/>
              </w:rPr>
              <w:t>Área confinada</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center"/>
            </w:pPr>
            <w:r>
              <w:rPr>
                <w:rFonts w:ascii="Times New Roman" w:hAnsi="Times New Roman"/>
                <w:b w:val="0"/>
                <w:i w:val="0"/>
                <w:color w:val="000000"/>
                <w:sz w:val="18"/>
              </w:rPr>
              <w:t>Dependiente</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center"/>
            </w:pPr>
            <w:r>
              <w:rPr>
                <w:rFonts w:ascii="Times New Roman" w:hAnsi="Times New Roman"/>
                <w:b w:val="0"/>
                <w:i w:val="0"/>
                <w:color w:val="000000"/>
                <w:sz w:val="18"/>
              </w:rPr>
              <w:t>%</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center"/>
            </w:pPr>
            <w:r>
              <w:rPr>
                <w:rFonts w:ascii="Times New Roman" w:hAnsi="Times New Roman"/>
                <w:b w:val="0"/>
                <w:i w:val="0"/>
                <w:color w:val="000000"/>
                <w:sz w:val="18"/>
              </w:rPr>
              <w:t>Puntos interiores bajo -95 dBm.</w:t>
            </w:r>
          </w:p>
        </w:tc>
      </w:tr>
    </w:tbl>
    <w:p>
      <w:pPr>
        <w:spacing w:after="0"/>
      </w:pPr>
    </w:p>
    <w:p>
      <w:pPr>
        <w:pStyle w:val="Heading2"/>
        <w:jc w:val="left"/>
      </w:pPr>
      <w:r>
        <w:t>3.3 Arquitectura del sistema</w:t>
      </w:r>
    </w:p>
    <w:p>
      <w:pPr/>
      <w:r>
        <w:rPr>
          <w:rFonts w:ascii="Times New Roman" w:hAnsi="Times New Roman"/>
          <w:b w:val="0"/>
          <w:i w:val="0"/>
          <w:color w:val="000000"/>
          <w:sz w:val="24"/>
        </w:rPr>
        <w:t>El frontend y el backend se desarrollaron como aplicaciones separadas. El frontend contiene el editor Canvas, medidas, edición de propiedades, almacenamiento local, comparación de bandas y visualización del balance. El backend centraliza materiales, validación y cálculo. La comunicación utiliza JSON a través del endpoint POST /api/simulate. Esta separación permite desplegar la interfaz como contenido estático y la API en un servicio independiente.</w:t>
      </w:r>
    </w:p>
    <w:tbl>
      <w:tblPr>
        <w:tblW w:type="auto" w:w="0"/>
        <w:jc w:val="center"/>
        <w:tblLayout w:type="fixed"/>
        <w:tblLook w:firstColumn="1" w:firstRow="1" w:lastColumn="0" w:lastRow="0" w:noHBand="0" w:noVBand="1" w:val="04A0"/>
      </w:tblPr>
      <w:tblGrid>
        <w:gridCol w:w="2880"/>
        <w:gridCol w:w="2880"/>
        <w:gridCol w:w="2880"/>
      </w:tblGrid>
      <w:tr>
        <w:trPr>
          <w:tblHeader w:val="true"/>
        </w:trPr>
        <w:tc>
          <w:tcPr>
            <w:tcW w:type="dxa" w:w="1944"/>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ind w:firstLine="0"/>
              <w:jc w:val="center"/>
            </w:pPr>
            <w:r>
              <w:rPr>
                <w:rFonts w:ascii="Times New Roman" w:hAnsi="Times New Roman"/>
                <w:b/>
                <w:i w:val="0"/>
                <w:color w:val="FFFFFF"/>
                <w:sz w:val="19"/>
              </w:rPr>
              <w:t>Componente</w:t>
            </w:r>
          </w:p>
        </w:tc>
        <w:tc>
          <w:tcPr>
            <w:tcW w:type="dxa" w:w="4824"/>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ind w:firstLine="0"/>
              <w:jc w:val="center"/>
            </w:pPr>
            <w:r>
              <w:rPr>
                <w:rFonts w:ascii="Times New Roman" w:hAnsi="Times New Roman"/>
                <w:b/>
                <w:i w:val="0"/>
                <w:color w:val="FFFFFF"/>
                <w:sz w:val="19"/>
              </w:rPr>
              <w:t>Responsabilidad</w:t>
            </w:r>
          </w:p>
        </w:tc>
        <w:tc>
          <w:tcPr>
            <w:tcW w:type="dxa" w:w="3168"/>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ind w:firstLine="0"/>
              <w:jc w:val="center"/>
            </w:pPr>
            <w:r>
              <w:rPr>
                <w:rFonts w:ascii="Times New Roman" w:hAnsi="Times New Roman"/>
                <w:b/>
                <w:i w:val="0"/>
                <w:color w:val="FFFFFF"/>
                <w:sz w:val="19"/>
              </w:rPr>
              <w:t>Archivo</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left"/>
            </w:pPr>
            <w:r>
              <w:rPr>
                <w:rFonts w:ascii="Times New Roman" w:hAnsi="Times New Roman"/>
                <w:b w:val="0"/>
                <w:i w:val="0"/>
                <w:color w:val="000000"/>
                <w:sz w:val="18"/>
              </w:rPr>
              <w:t>Editor 2D</w:t>
            </w:r>
          </w:p>
        </w:tc>
        <w:tc>
          <w:tcPr>
            <w:tcW w:type="dxa" w:w="48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center"/>
            </w:pPr>
            <w:r>
              <w:rPr>
                <w:rFonts w:ascii="Times New Roman" w:hAnsi="Times New Roman"/>
                <w:b w:val="0"/>
                <w:i w:val="0"/>
                <w:color w:val="000000"/>
                <w:sz w:val="18"/>
              </w:rPr>
              <w:t>Dibujar, medir, mover y editar elementos.</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center"/>
            </w:pPr>
            <w:r>
              <w:rPr>
                <w:rFonts w:ascii="Times New Roman" w:hAnsi="Times New Roman"/>
                <w:b w:val="0"/>
                <w:i w:val="0"/>
                <w:color w:val="000000"/>
                <w:sz w:val="18"/>
              </w:rPr>
              <w:t>frontend/src/editor.js</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line="240" w:lineRule="auto" w:after="0"/>
              <w:ind w:firstLine="0"/>
              <w:jc w:val="left"/>
            </w:pPr>
            <w:r>
              <w:rPr>
                <w:rFonts w:ascii="Times New Roman" w:hAnsi="Times New Roman"/>
                <w:b w:val="0"/>
                <w:i w:val="0"/>
                <w:color w:val="000000"/>
                <w:sz w:val="18"/>
              </w:rPr>
              <w:t>Interfaz</w:t>
            </w:r>
          </w:p>
        </w:tc>
        <w:tc>
          <w:tcPr>
            <w:tcW w:type="dxa" w:w="48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line="240" w:lineRule="auto" w:after="0"/>
              <w:ind w:firstLine="0"/>
              <w:jc w:val="center"/>
            </w:pPr>
            <w:r>
              <w:rPr>
                <w:rFonts w:ascii="Times New Roman" w:hAnsi="Times New Roman"/>
                <w:b w:val="0"/>
                <w:i w:val="0"/>
                <w:color w:val="000000"/>
                <w:sz w:val="18"/>
              </w:rPr>
              <w:t>Gestionar controles, comparación y guardado.</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line="240" w:lineRule="auto" w:after="0"/>
              <w:ind w:firstLine="0"/>
              <w:jc w:val="center"/>
            </w:pPr>
            <w:r>
              <w:rPr>
                <w:rFonts w:ascii="Times New Roman" w:hAnsi="Times New Roman"/>
                <w:b w:val="0"/>
                <w:i w:val="0"/>
                <w:color w:val="000000"/>
                <w:sz w:val="18"/>
              </w:rPr>
              <w:t>frontend/src/main.js</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left"/>
            </w:pPr>
            <w:r>
              <w:rPr>
                <w:rFonts w:ascii="Times New Roman" w:hAnsi="Times New Roman"/>
                <w:b w:val="0"/>
                <w:i w:val="0"/>
                <w:color w:val="000000"/>
                <w:sz w:val="18"/>
              </w:rPr>
              <w:t>Cliente API</w:t>
            </w:r>
          </w:p>
        </w:tc>
        <w:tc>
          <w:tcPr>
            <w:tcW w:type="dxa" w:w="48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center"/>
            </w:pPr>
            <w:r>
              <w:rPr>
                <w:rFonts w:ascii="Times New Roman" w:hAnsi="Times New Roman"/>
                <w:b w:val="0"/>
                <w:i w:val="0"/>
                <w:color w:val="000000"/>
                <w:sz w:val="18"/>
              </w:rPr>
              <w:t>Enviar y recibir JSON.</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center"/>
            </w:pPr>
            <w:r>
              <w:rPr>
                <w:rFonts w:ascii="Times New Roman" w:hAnsi="Times New Roman"/>
                <w:b w:val="0"/>
                <w:i w:val="0"/>
                <w:color w:val="000000"/>
                <w:sz w:val="18"/>
              </w:rPr>
              <w:t>frontend/src/api.js</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line="240" w:lineRule="auto" w:after="0"/>
              <w:ind w:firstLine="0"/>
              <w:jc w:val="left"/>
            </w:pPr>
            <w:r>
              <w:rPr>
                <w:rFonts w:ascii="Times New Roman" w:hAnsi="Times New Roman"/>
                <w:b w:val="0"/>
                <w:i w:val="0"/>
                <w:color w:val="000000"/>
                <w:sz w:val="18"/>
              </w:rPr>
              <w:t>Servidor</w:t>
            </w:r>
          </w:p>
        </w:tc>
        <w:tc>
          <w:tcPr>
            <w:tcW w:type="dxa" w:w="48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line="240" w:lineRule="auto" w:after="0"/>
              <w:ind w:firstLine="0"/>
              <w:jc w:val="center"/>
            </w:pPr>
            <w:r>
              <w:rPr>
                <w:rFonts w:ascii="Times New Roman" w:hAnsi="Times New Roman"/>
                <w:b w:val="0"/>
                <w:i w:val="0"/>
                <w:color w:val="000000"/>
                <w:sz w:val="18"/>
              </w:rPr>
              <w:t>Exponer endpoints y validar solicitudes.</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line="240" w:lineRule="auto" w:after="0"/>
              <w:ind w:firstLine="0"/>
              <w:jc w:val="center"/>
            </w:pPr>
            <w:r>
              <w:rPr>
                <w:rFonts w:ascii="Times New Roman" w:hAnsi="Times New Roman"/>
                <w:b w:val="0"/>
                <w:i w:val="0"/>
                <w:color w:val="000000"/>
                <w:sz w:val="18"/>
              </w:rPr>
              <w:t>backend/src/server.js</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left"/>
            </w:pPr>
            <w:r>
              <w:rPr>
                <w:rFonts w:ascii="Times New Roman" w:hAnsi="Times New Roman"/>
                <w:b w:val="0"/>
                <w:i w:val="0"/>
                <w:color w:val="000000"/>
                <w:sz w:val="18"/>
              </w:rPr>
              <w:t>Modelo RF</w:t>
            </w:r>
          </w:p>
        </w:tc>
        <w:tc>
          <w:tcPr>
            <w:tcW w:type="dxa" w:w="48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center"/>
            </w:pPr>
            <w:r>
              <w:rPr>
                <w:rFonts w:ascii="Times New Roman" w:hAnsi="Times New Roman"/>
                <w:b w:val="0"/>
                <w:i w:val="0"/>
                <w:color w:val="000000"/>
                <w:sz w:val="18"/>
              </w:rPr>
              <w:t>Calcular FSPL, intersecciones y potencia.</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center"/>
            </w:pPr>
            <w:r>
              <w:rPr>
                <w:rFonts w:ascii="Times New Roman" w:hAnsi="Times New Roman"/>
                <w:b w:val="0"/>
                <w:i w:val="0"/>
                <w:color w:val="000000"/>
                <w:sz w:val="18"/>
              </w:rPr>
              <w:t>backend/src/rf-model.js</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line="240" w:lineRule="auto" w:after="0"/>
              <w:ind w:firstLine="0"/>
              <w:jc w:val="left"/>
            </w:pPr>
            <w:r>
              <w:rPr>
                <w:rFonts w:ascii="Times New Roman" w:hAnsi="Times New Roman"/>
                <w:b w:val="0"/>
                <w:i w:val="0"/>
                <w:color w:val="000000"/>
                <w:sz w:val="18"/>
              </w:rPr>
              <w:t>Materiales</w:t>
            </w:r>
          </w:p>
        </w:tc>
        <w:tc>
          <w:tcPr>
            <w:tcW w:type="dxa" w:w="48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line="240" w:lineRule="auto" w:after="0"/>
              <w:ind w:firstLine="0"/>
              <w:jc w:val="center"/>
            </w:pPr>
            <w:r>
              <w:rPr>
                <w:rFonts w:ascii="Times New Roman" w:hAnsi="Times New Roman"/>
                <w:b w:val="0"/>
                <w:i w:val="0"/>
                <w:color w:val="000000"/>
                <w:sz w:val="18"/>
              </w:rPr>
              <w:t>Centralizar parámetros del modelo.</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line="240" w:lineRule="auto" w:after="0"/>
              <w:ind w:firstLine="0"/>
              <w:jc w:val="center"/>
            </w:pPr>
            <w:r>
              <w:rPr>
                <w:rFonts w:ascii="Times New Roman" w:hAnsi="Times New Roman"/>
                <w:b w:val="0"/>
                <w:i w:val="0"/>
                <w:color w:val="000000"/>
                <w:sz w:val="18"/>
              </w:rPr>
              <w:t>backend/src/materials.js</w:t>
            </w:r>
          </w:p>
        </w:tc>
      </w:tr>
    </w:tbl>
    <w:p>
      <w:pPr>
        <w:spacing w:after="0"/>
      </w:pPr>
    </w:p>
    <w:p>
      <w:pPr>
        <w:pStyle w:val="Heading2"/>
        <w:jc w:val="left"/>
      </w:pPr>
      <w:r>
        <w:t>3.4 Algoritmo de simulación</w:t>
      </w:r>
    </w:p>
    <w:p>
      <w:pPr>
        <w:pStyle w:val="ListBullet"/>
        <w:spacing w:line="276" w:lineRule="auto" w:after="0"/>
        <w:ind w:left="709" w:hanging="357"/>
      </w:pPr>
      <w:r>
        <w:rPr>
          <w:rFonts w:ascii="Times New Roman" w:hAnsi="Times New Roman"/>
          <w:b w:val="0"/>
          <w:i w:val="0"/>
          <w:color w:val="000000"/>
          <w:sz w:val="24"/>
        </w:rPr>
        <w:t>Dividir el lienzo en una cuadrícula de puntos de evaluación.</w:t>
      </w:r>
    </w:p>
    <w:p>
      <w:pPr>
        <w:pStyle w:val="ListBullet"/>
        <w:spacing w:line="276" w:lineRule="auto" w:after="0"/>
        <w:ind w:left="709" w:hanging="357"/>
      </w:pPr>
      <w:r>
        <w:rPr>
          <w:rFonts w:ascii="Times New Roman" w:hAnsi="Times New Roman"/>
          <w:b w:val="0"/>
          <w:i w:val="0"/>
          <w:color w:val="000000"/>
          <w:sz w:val="24"/>
        </w:rPr>
        <w:t>Calcular la distancia desde la antena hasta cada punto.</w:t>
      </w:r>
    </w:p>
    <w:p>
      <w:pPr>
        <w:pStyle w:val="ListBullet"/>
        <w:spacing w:line="276" w:lineRule="auto" w:after="0"/>
        <w:ind w:left="709" w:hanging="357"/>
      </w:pPr>
      <w:r>
        <w:rPr>
          <w:rFonts w:ascii="Times New Roman" w:hAnsi="Times New Roman"/>
          <w:b w:val="0"/>
          <w:i w:val="0"/>
          <w:color w:val="000000"/>
          <w:sz w:val="24"/>
        </w:rPr>
        <w:t>Aplicar FSPL para la frecuencia seleccionada.</w:t>
      </w:r>
    </w:p>
    <w:p>
      <w:pPr>
        <w:pStyle w:val="ListBullet"/>
        <w:spacing w:line="276" w:lineRule="auto" w:after="0"/>
        <w:ind w:left="709" w:hanging="357"/>
      </w:pPr>
      <w:r>
        <w:rPr>
          <w:rFonts w:ascii="Times New Roman" w:hAnsi="Times New Roman"/>
          <w:b w:val="0"/>
          <w:i w:val="0"/>
          <w:color w:val="000000"/>
          <w:sz w:val="24"/>
        </w:rPr>
        <w:t>Detectar los segmentos del plano cruzados por el trayecto.</w:t>
      </w:r>
    </w:p>
    <w:p>
      <w:pPr>
        <w:pStyle w:val="ListBullet"/>
        <w:spacing w:line="276" w:lineRule="auto" w:after="0"/>
        <w:ind w:left="709" w:hanging="357"/>
      </w:pPr>
      <w:r>
        <w:rPr>
          <w:rFonts w:ascii="Times New Roman" w:hAnsi="Times New Roman"/>
          <w:b w:val="0"/>
          <w:i w:val="0"/>
          <w:color w:val="000000"/>
          <w:sz w:val="24"/>
        </w:rPr>
        <w:t>Sumar la pérdida efectiva de cada obstáculo según material y grosor.</w:t>
      </w:r>
    </w:p>
    <w:p>
      <w:pPr>
        <w:pStyle w:val="ListBullet"/>
        <w:spacing w:line="276" w:lineRule="auto" w:after="0"/>
        <w:ind w:left="709" w:hanging="357"/>
      </w:pPr>
      <w:r>
        <w:rPr>
          <w:rFonts w:ascii="Times New Roman" w:hAnsi="Times New Roman"/>
          <w:b w:val="0"/>
          <w:i w:val="0"/>
          <w:color w:val="000000"/>
          <w:sz w:val="24"/>
        </w:rPr>
        <w:t>Obtener potencia recibida y SNR.</w:t>
      </w:r>
    </w:p>
    <w:p>
      <w:pPr>
        <w:pStyle w:val="ListBullet"/>
        <w:spacing w:line="276" w:lineRule="auto" w:after="0"/>
        <w:ind w:left="709" w:hanging="357"/>
      </w:pPr>
      <w:r>
        <w:rPr>
          <w:rFonts w:ascii="Times New Roman" w:hAnsi="Times New Roman"/>
          <w:b w:val="0"/>
          <w:i w:val="0"/>
          <w:color w:val="000000"/>
          <w:sz w:val="24"/>
        </w:rPr>
        <w:t>Clasificar el punto respecto de -95 dBm.</w:t>
      </w:r>
    </w:p>
    <w:p>
      <w:pPr>
        <w:pStyle w:val="ListBullet"/>
        <w:spacing w:line="276" w:lineRule="auto" w:after="0"/>
        <w:ind w:left="709" w:hanging="357"/>
      </w:pPr>
      <w:r>
        <w:rPr>
          <w:rFonts w:ascii="Times New Roman" w:hAnsi="Times New Roman"/>
          <w:b w:val="0"/>
          <w:i w:val="0"/>
          <w:color w:val="000000"/>
          <w:sz w:val="24"/>
        </w:rPr>
        <w:t>Calcular el porcentaje de puntos interiores bajo el umbral.</w:t>
      </w:r>
    </w:p>
    <w:p>
      <w:pPr>
        <w:pStyle w:val="ListBullet"/>
        <w:spacing w:line="276" w:lineRule="auto" w:after="0"/>
        <w:ind w:left="709" w:hanging="357"/>
      </w:pPr>
      <w:r>
        <w:rPr>
          <w:rFonts w:ascii="Times New Roman" w:hAnsi="Times New Roman"/>
          <w:b w:val="0"/>
          <w:i w:val="0"/>
          <w:color w:val="000000"/>
          <w:sz w:val="24"/>
        </w:rPr>
        <w:t>Presentar el balance promedio y comparar 850 MHz con 28 GHz.</w:t>
      </w:r>
    </w:p>
    <w:p>
      <w:pPr>
        <w:pStyle w:val="Heading2"/>
        <w:jc w:val="left"/>
      </w:pPr>
      <w:r>
        <w:t>3.5 Escenarios de prueba</w:t>
      </w:r>
    </w:p>
    <w:p>
      <w:pPr>
        <w:pStyle w:val="TableCaption"/>
      </w:pPr>
      <w:r>
        <w:t>Tabla 3 Escenarios de prueba</w:t>
      </w:r>
    </w:p>
    <w:tbl>
      <w:tblPr>
        <w:tblW w:type="auto" w:w="0"/>
        <w:jc w:val="center"/>
        <w:tblLayout w:type="fixed"/>
        <w:tblLook w:firstColumn="1" w:firstRow="1" w:lastColumn="0" w:lastRow="0" w:noHBand="0" w:noVBand="1" w:val="04A0"/>
      </w:tblPr>
      <w:tblGrid>
        <w:gridCol w:w="2160"/>
        <w:gridCol w:w="2160"/>
        <w:gridCol w:w="2160"/>
        <w:gridCol w:w="2160"/>
      </w:tblGrid>
      <w:tr>
        <w:trPr>
          <w:tblHeader w:val="true"/>
        </w:trPr>
        <w:tc>
          <w:tcPr>
            <w:tcW w:type="dxa" w:w="1080"/>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ind w:firstLine="0"/>
              <w:jc w:val="center"/>
            </w:pPr>
            <w:r>
              <w:rPr>
                <w:rFonts w:ascii="Times New Roman" w:hAnsi="Times New Roman"/>
                <w:b/>
                <w:i w:val="0"/>
                <w:color w:val="FFFFFF"/>
                <w:sz w:val="19"/>
              </w:rPr>
              <w:t>Escenario</w:t>
            </w:r>
          </w:p>
        </w:tc>
        <w:tc>
          <w:tcPr>
            <w:tcW w:type="dxa" w:w="1656"/>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ind w:firstLine="0"/>
              <w:jc w:val="center"/>
            </w:pPr>
            <w:r>
              <w:rPr>
                <w:rFonts w:ascii="Times New Roman" w:hAnsi="Times New Roman"/>
                <w:b/>
                <w:i w:val="0"/>
                <w:color w:val="FFFFFF"/>
                <w:sz w:val="19"/>
              </w:rPr>
              <w:t>Frecuencia</w:t>
            </w:r>
          </w:p>
        </w:tc>
        <w:tc>
          <w:tcPr>
            <w:tcW w:type="dxa" w:w="3384"/>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ind w:firstLine="0"/>
              <w:jc w:val="center"/>
            </w:pPr>
            <w:r>
              <w:rPr>
                <w:rFonts w:ascii="Times New Roman" w:hAnsi="Times New Roman"/>
                <w:b/>
                <w:i w:val="0"/>
                <w:color w:val="FFFFFF"/>
                <w:sz w:val="19"/>
              </w:rPr>
              <w:t>Construcción</w:t>
            </w:r>
          </w:p>
        </w:tc>
        <w:tc>
          <w:tcPr>
            <w:tcW w:type="dxa" w:w="3960"/>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ind w:firstLine="0"/>
              <w:jc w:val="center"/>
            </w:pPr>
            <w:r>
              <w:rPr>
                <w:rFonts w:ascii="Times New Roman" w:hAnsi="Times New Roman"/>
                <w:b/>
                <w:i w:val="0"/>
                <w:color w:val="FFFFFF"/>
                <w:sz w:val="19"/>
              </w:rPr>
              <w:t>Propósito</w:t>
            </w:r>
          </w:p>
        </w:tc>
      </w:tr>
      <w:tr>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left"/>
            </w:pPr>
            <w:r>
              <w:rPr>
                <w:rFonts w:ascii="Times New Roman" w:hAnsi="Times New Roman"/>
                <w:b w:val="0"/>
                <w:i w:val="0"/>
                <w:color w:val="000000"/>
                <w:sz w:val="18"/>
              </w:rPr>
              <w:t>A</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center"/>
            </w:pPr>
            <w:r>
              <w:rPr>
                <w:rFonts w:ascii="Times New Roman" w:hAnsi="Times New Roman"/>
                <w:b w:val="0"/>
                <w:i w:val="0"/>
                <w:color w:val="000000"/>
                <w:sz w:val="18"/>
              </w:rPr>
              <w:t>850 MHz</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center"/>
            </w:pPr>
            <w:r>
              <w:rPr>
                <w:rFonts w:ascii="Times New Roman" w:hAnsi="Times New Roman"/>
                <w:b w:val="0"/>
                <w:i w:val="0"/>
                <w:color w:val="000000"/>
                <w:sz w:val="18"/>
              </w:rPr>
              <w:t>Concreto de 0.25 m</w:t>
            </w:r>
          </w:p>
        </w:tc>
        <w:tc>
          <w:tcPr>
            <w:tcW w:type="dxa" w:w="39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center"/>
            </w:pPr>
            <w:r>
              <w:rPr>
                <w:rFonts w:ascii="Times New Roman" w:hAnsi="Times New Roman"/>
                <w:b w:val="0"/>
                <w:i w:val="0"/>
                <w:color w:val="000000"/>
                <w:sz w:val="18"/>
              </w:rPr>
              <w:t>Demostrar dificultad de confinamiento.</w:t>
            </w:r>
          </w:p>
        </w:tc>
      </w:tr>
      <w:tr>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line="240" w:lineRule="auto" w:after="0"/>
              <w:ind w:firstLine="0"/>
              <w:jc w:val="left"/>
            </w:pPr>
            <w:r>
              <w:rPr>
                <w:rFonts w:ascii="Times New Roman" w:hAnsi="Times New Roman"/>
                <w:b w:val="0"/>
                <w:i w:val="0"/>
                <w:color w:val="000000"/>
                <w:sz w:val="18"/>
              </w:rPr>
              <w:t>B</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line="240" w:lineRule="auto" w:after="0"/>
              <w:ind w:firstLine="0"/>
              <w:jc w:val="center"/>
            </w:pPr>
            <w:r>
              <w:rPr>
                <w:rFonts w:ascii="Times New Roman" w:hAnsi="Times New Roman"/>
                <w:b w:val="0"/>
                <w:i w:val="0"/>
                <w:color w:val="000000"/>
                <w:sz w:val="18"/>
              </w:rPr>
              <w:t>1900 MHz</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line="240" w:lineRule="auto" w:after="0"/>
              <w:ind w:firstLine="0"/>
              <w:jc w:val="center"/>
            </w:pPr>
            <w:r>
              <w:rPr>
                <w:rFonts w:ascii="Times New Roman" w:hAnsi="Times New Roman"/>
                <w:b w:val="0"/>
                <w:i w:val="0"/>
                <w:color w:val="000000"/>
                <w:sz w:val="18"/>
              </w:rPr>
              <w:t>Concreto de 0.25 m</w:t>
            </w:r>
          </w:p>
        </w:tc>
        <w:tc>
          <w:tcPr>
            <w:tcW w:type="dxa" w:w="39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line="240" w:lineRule="auto" w:after="0"/>
              <w:ind w:firstLine="0"/>
              <w:jc w:val="center"/>
            </w:pPr>
            <w:r>
              <w:rPr>
                <w:rFonts w:ascii="Times New Roman" w:hAnsi="Times New Roman"/>
                <w:b w:val="0"/>
                <w:i w:val="0"/>
                <w:color w:val="000000"/>
                <w:sz w:val="18"/>
              </w:rPr>
              <w:t>Establecer línea base intermedia.</w:t>
            </w:r>
          </w:p>
        </w:tc>
      </w:tr>
      <w:tr>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left"/>
            </w:pPr>
            <w:r>
              <w:rPr>
                <w:rFonts w:ascii="Times New Roman" w:hAnsi="Times New Roman"/>
                <w:b w:val="0"/>
                <w:i w:val="0"/>
                <w:color w:val="000000"/>
                <w:sz w:val="18"/>
              </w:rPr>
              <w:t>C</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center"/>
            </w:pPr>
            <w:r>
              <w:rPr>
                <w:rFonts w:ascii="Times New Roman" w:hAnsi="Times New Roman"/>
                <w:b w:val="0"/>
                <w:i w:val="0"/>
                <w:color w:val="000000"/>
                <w:sz w:val="18"/>
              </w:rPr>
              <w:t>28 GHz</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center"/>
            </w:pPr>
            <w:r>
              <w:rPr>
                <w:rFonts w:ascii="Times New Roman" w:hAnsi="Times New Roman"/>
                <w:b w:val="0"/>
                <w:i w:val="0"/>
                <w:color w:val="000000"/>
                <w:sz w:val="18"/>
              </w:rPr>
              <w:t>Mismo plano de concreto</w:t>
            </w:r>
          </w:p>
        </w:tc>
        <w:tc>
          <w:tcPr>
            <w:tcW w:type="dxa" w:w="39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center"/>
            </w:pPr>
            <w:r>
              <w:rPr>
                <w:rFonts w:ascii="Times New Roman" w:hAnsi="Times New Roman"/>
                <w:b w:val="0"/>
                <w:i w:val="0"/>
                <w:color w:val="000000"/>
                <w:sz w:val="18"/>
              </w:rPr>
              <w:t>Comparar mmWave sin cambiar geometría.</w:t>
            </w:r>
          </w:p>
        </w:tc>
      </w:tr>
      <w:tr>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line="240" w:lineRule="auto" w:after="0"/>
              <w:ind w:firstLine="0"/>
              <w:jc w:val="left"/>
            </w:pPr>
            <w:r>
              <w:rPr>
                <w:rFonts w:ascii="Times New Roman" w:hAnsi="Times New Roman"/>
                <w:b w:val="0"/>
                <w:i w:val="0"/>
                <w:color w:val="000000"/>
                <w:sz w:val="18"/>
              </w:rPr>
              <w:t>D</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line="240" w:lineRule="auto" w:after="0"/>
              <w:ind w:firstLine="0"/>
              <w:jc w:val="center"/>
            </w:pPr>
            <w:r>
              <w:rPr>
                <w:rFonts w:ascii="Times New Roman" w:hAnsi="Times New Roman"/>
                <w:b w:val="0"/>
                <w:i w:val="0"/>
                <w:color w:val="000000"/>
                <w:sz w:val="18"/>
              </w:rPr>
              <w:t>1900 MHz</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line="240" w:lineRule="auto" w:after="0"/>
              <w:ind w:firstLine="0"/>
              <w:jc w:val="center"/>
            </w:pPr>
            <w:r>
              <w:rPr>
                <w:rFonts w:ascii="Times New Roman" w:hAnsi="Times New Roman"/>
                <w:b w:val="0"/>
                <w:i w:val="0"/>
                <w:color w:val="000000"/>
                <w:sz w:val="18"/>
              </w:rPr>
              <w:t>Concreto más barrera metálica</w:t>
            </w:r>
          </w:p>
        </w:tc>
        <w:tc>
          <w:tcPr>
            <w:tcW w:type="dxa" w:w="39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line="240" w:lineRule="auto" w:after="0"/>
              <w:ind w:firstLine="0"/>
              <w:jc w:val="center"/>
            </w:pPr>
            <w:r>
              <w:rPr>
                <w:rFonts w:ascii="Times New Roman" w:hAnsi="Times New Roman"/>
                <w:b w:val="0"/>
                <w:i w:val="0"/>
                <w:color w:val="000000"/>
                <w:sz w:val="18"/>
              </w:rPr>
              <w:t>Evaluar refuerzo de frontera crítica.</w:t>
            </w:r>
          </w:p>
        </w:tc>
      </w:tr>
    </w:tbl>
    <w:p>
      <w:pPr>
        <w:spacing w:after="0"/>
      </w:pPr>
    </w:p>
    <w:p>
      <w:pPr>
        <w:pStyle w:val="Heading2"/>
        <w:jc w:val="left"/>
      </w:pPr>
      <w:r>
        <w:t>3.6 Procedimiento</w:t>
      </w:r>
    </w:p>
    <w:p>
      <w:pPr/>
      <w:r>
        <w:rPr>
          <w:rFonts w:ascii="Times New Roman" w:hAnsi="Times New Roman"/>
          <w:b w:val="0"/>
          <w:i w:val="0"/>
          <w:color w:val="000000"/>
          <w:sz w:val="24"/>
        </w:rPr>
        <w:t>Se carga el plano de ejemplo, se fija la potencia transmitida en 43 dBm, la distancia base en un kilómetro y el umbral en -95 dBm. Se ejecutan 850 MHz, 1900 MHz y 28 GHz sin modificar la geometría. Después se restaura el caso de 1900 MHz, se añade una barrera metálica interior de 0.25 m en el modelo y se repite el cálculo. Para cada ejecución se registran potencia promedio, potencia mínima, longitud de onda, FSPL, pérdida por obstáculos y porcentaje confinado. El comparador automatiza la ejecución de 850 MHz y 28 GHz con el mismo plano.</w:t>
      </w:r>
    </w:p>
    <w:p>
      <w:pPr>
        <w:pStyle w:val="Heading2"/>
        <w:jc w:val="left"/>
      </w:pPr>
      <w:r>
        <w:t>3.7 Validación</w:t>
      </w:r>
    </w:p>
    <w:p>
      <w:pPr/>
      <w:r>
        <w:rPr>
          <w:rFonts w:ascii="Times New Roman" w:hAnsi="Times New Roman"/>
          <w:b w:val="0"/>
          <w:i w:val="0"/>
          <w:color w:val="000000"/>
          <w:sz w:val="24"/>
        </w:rPr>
        <w:t>La validación lógica incluye pruebas unitarias para FSPL a 1 km y 1000 MHz, relación inversa entre frecuencia y longitud de onda, crecimiento de pérdida con grosor, intersección de segmentos, tamaño de la cuadrícula y mayor atenuación efectiva del concreto a 28 GHz que a 850 MHz. La compilación del frontend y la respuesta del endpoint también se verifican antes de la demostración.</w:t>
      </w:r>
    </w:p>
    <w:p>
      <w:r>
        <w:br w:type="page"/>
      </w:r>
    </w:p>
    <w:p>
      <w:pPr>
        <w:pStyle w:val="Heading1"/>
        <w:spacing w:before="0" w:after="360"/>
        <w:jc w:val="center"/>
      </w:pPr>
      <w:r>
        <w:rPr>
          <w:rFonts w:ascii="Times New Roman" w:hAnsi="Times New Roman"/>
          <w:b/>
          <w:i w:val="0"/>
          <w:color w:val="000000"/>
          <w:sz w:val="28"/>
        </w:rPr>
        <w:t>CAPÍTULO IV</w:t>
        <w:br/>
        <w:t>PRESENTACIÓN Y ANÁLISIS DE RESULTADOS</w:t>
      </w:r>
    </w:p>
    <w:p>
      <w:pPr>
        <w:pStyle w:val="Heading2"/>
        <w:jc w:val="left"/>
      </w:pPr>
      <w:r>
        <w:t>4.1 Resultados cuantitativos</w:t>
      </w:r>
    </w:p>
    <w:p>
      <w:pPr>
        <w:pStyle w:val="TableCaption"/>
      </w:pPr>
      <w:r>
        <w:t>Tabla 4 Resultados comparativos</w:t>
      </w:r>
    </w:p>
    <w:tbl>
      <w:tblPr>
        <w:tblW w:type="auto" w:w="0"/>
        <w:jc w:val="center"/>
        <w:tblLayout w:type="fixed"/>
        <w:tblLook w:firstColumn="1" w:firstRow="1" w:lastColumn="0" w:lastRow="0" w:noHBand="0" w:noVBand="1" w:val="04A0"/>
      </w:tblPr>
      <w:tblGrid>
        <w:gridCol w:w="1728"/>
        <w:gridCol w:w="1728"/>
        <w:gridCol w:w="1728"/>
        <w:gridCol w:w="1728"/>
        <w:gridCol w:w="1728"/>
      </w:tblGrid>
      <w:tr>
        <w:trPr>
          <w:tblHeader w:val="true"/>
        </w:trPr>
        <w:tc>
          <w:tcPr>
            <w:tcW w:type="dxa" w:w="2376"/>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ind w:firstLine="0"/>
              <w:jc w:val="center"/>
            </w:pPr>
            <w:r>
              <w:rPr>
                <w:rFonts w:ascii="Times New Roman" w:hAnsi="Times New Roman"/>
                <w:b/>
                <w:i w:val="0"/>
                <w:color w:val="FFFFFF"/>
                <w:sz w:val="19"/>
              </w:rPr>
              <w:t>Escenario</w:t>
            </w:r>
          </w:p>
        </w:tc>
        <w:tc>
          <w:tcPr>
            <w:tcW w:type="dxa" w:w="1512"/>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ind w:firstLine="0"/>
              <w:jc w:val="center"/>
            </w:pPr>
            <w:r>
              <w:rPr>
                <w:rFonts w:ascii="Times New Roman" w:hAnsi="Times New Roman"/>
                <w:b/>
                <w:i w:val="0"/>
                <w:color w:val="FFFFFF"/>
                <w:sz w:val="19"/>
              </w:rPr>
              <w:t>Promedio</w:t>
            </w:r>
          </w:p>
        </w:tc>
        <w:tc>
          <w:tcPr>
            <w:tcW w:type="dxa" w:w="1656"/>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ind w:firstLine="0"/>
              <w:jc w:val="center"/>
            </w:pPr>
            <w:r>
              <w:rPr>
                <w:rFonts w:ascii="Times New Roman" w:hAnsi="Times New Roman"/>
                <w:b/>
                <w:i w:val="0"/>
                <w:color w:val="FFFFFF"/>
                <w:sz w:val="19"/>
              </w:rPr>
              <w:t>Mínimo</w:t>
            </w:r>
          </w:p>
        </w:tc>
        <w:tc>
          <w:tcPr>
            <w:tcW w:type="dxa" w:w="2016"/>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ind w:firstLine="0"/>
              <w:jc w:val="center"/>
            </w:pPr>
            <w:r>
              <w:rPr>
                <w:rFonts w:ascii="Times New Roman" w:hAnsi="Times New Roman"/>
                <w:b/>
                <w:i w:val="0"/>
                <w:color w:val="FFFFFF"/>
                <w:sz w:val="19"/>
              </w:rPr>
              <w:t>Área bajo -95 dBm</w:t>
            </w:r>
          </w:p>
        </w:tc>
        <w:tc>
          <w:tcPr>
            <w:tcW w:type="dxa" w:w="1944"/>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ind w:firstLine="0"/>
              <w:jc w:val="center"/>
            </w:pPr>
            <w:r>
              <w:rPr>
                <w:rFonts w:ascii="Times New Roman" w:hAnsi="Times New Roman"/>
                <w:b/>
                <w:i w:val="0"/>
                <w:color w:val="FFFFFF"/>
                <w:sz w:val="19"/>
              </w:rPr>
              <w:t>Longitud de onda</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left"/>
            </w:pPr>
            <w:r>
              <w:rPr>
                <w:rFonts w:ascii="Times New Roman" w:hAnsi="Times New Roman"/>
                <w:b w:val="0"/>
                <w:i w:val="0"/>
                <w:color w:val="000000"/>
                <w:sz w:val="18"/>
              </w:rPr>
              <w:t>850 MHz con concreto</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center"/>
            </w:pPr>
            <w:r>
              <w:rPr>
                <w:rFonts w:ascii="Times New Roman" w:hAnsi="Times New Roman"/>
                <w:b w:val="0"/>
                <w:i w:val="0"/>
                <w:color w:val="000000"/>
                <w:sz w:val="18"/>
              </w:rPr>
              <w:t>-56.7 dBm</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center"/>
            </w:pPr>
            <w:r>
              <w:rPr>
                <w:rFonts w:ascii="Times New Roman" w:hAnsi="Times New Roman"/>
                <w:b w:val="0"/>
                <w:i w:val="0"/>
                <w:color w:val="000000"/>
                <w:sz w:val="18"/>
              </w:rPr>
              <w:t>-61.1 dBm</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center"/>
            </w:pPr>
            <w:r>
              <w:rPr>
                <w:rFonts w:ascii="Times New Roman" w:hAnsi="Times New Roman"/>
                <w:b w:val="0"/>
                <w:i w:val="0"/>
                <w:color w:val="000000"/>
                <w:sz w:val="18"/>
              </w:rPr>
              <w:t>0 %</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center"/>
            </w:pPr>
            <w:r>
              <w:rPr>
                <w:rFonts w:ascii="Times New Roman" w:hAnsi="Times New Roman"/>
                <w:b w:val="0"/>
                <w:i w:val="0"/>
                <w:color w:val="000000"/>
                <w:sz w:val="18"/>
              </w:rPr>
              <w:t>35.27 cm</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line="240" w:lineRule="auto" w:after="0"/>
              <w:ind w:firstLine="0"/>
              <w:jc w:val="left"/>
            </w:pPr>
            <w:r>
              <w:rPr>
                <w:rFonts w:ascii="Times New Roman" w:hAnsi="Times New Roman"/>
                <w:b w:val="0"/>
                <w:i w:val="0"/>
                <w:color w:val="000000"/>
                <w:sz w:val="18"/>
              </w:rPr>
              <w:t>1900 MHz con concreto</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line="240" w:lineRule="auto" w:after="0"/>
              <w:ind w:firstLine="0"/>
              <w:jc w:val="center"/>
            </w:pPr>
            <w:r>
              <w:rPr>
                <w:rFonts w:ascii="Times New Roman" w:hAnsi="Times New Roman"/>
                <w:b w:val="0"/>
                <w:i w:val="0"/>
                <w:color w:val="000000"/>
                <w:sz w:val="18"/>
              </w:rPr>
              <w:t>-67.6 dBm</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line="240" w:lineRule="auto" w:after="0"/>
              <w:ind w:firstLine="0"/>
              <w:jc w:val="center"/>
            </w:pPr>
            <w:r>
              <w:rPr>
                <w:rFonts w:ascii="Times New Roman" w:hAnsi="Times New Roman"/>
                <w:b w:val="0"/>
                <w:i w:val="0"/>
                <w:color w:val="000000"/>
                <w:sz w:val="18"/>
              </w:rPr>
              <w:t>-76.0 dBm aprox.</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line="240" w:lineRule="auto" w:after="0"/>
              <w:ind w:firstLine="0"/>
              <w:jc w:val="center"/>
            </w:pPr>
            <w:r>
              <w:rPr>
                <w:rFonts w:ascii="Times New Roman" w:hAnsi="Times New Roman"/>
                <w:b w:val="0"/>
                <w:i w:val="0"/>
                <w:color w:val="000000"/>
                <w:sz w:val="18"/>
              </w:rPr>
              <w:t>0 %</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line="240" w:lineRule="auto" w:after="0"/>
              <w:ind w:firstLine="0"/>
              <w:jc w:val="center"/>
            </w:pPr>
            <w:r>
              <w:rPr>
                <w:rFonts w:ascii="Times New Roman" w:hAnsi="Times New Roman"/>
                <w:b w:val="0"/>
                <w:i w:val="0"/>
                <w:color w:val="000000"/>
                <w:sz w:val="18"/>
              </w:rPr>
              <w:t>15.78 cm</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left"/>
            </w:pPr>
            <w:r>
              <w:rPr>
                <w:rFonts w:ascii="Times New Roman" w:hAnsi="Times New Roman"/>
                <w:b w:val="0"/>
                <w:i w:val="0"/>
                <w:color w:val="000000"/>
                <w:sz w:val="18"/>
              </w:rPr>
              <w:t>28 GHz con concreto</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center"/>
            </w:pPr>
            <w:r>
              <w:rPr>
                <w:rFonts w:ascii="Times New Roman" w:hAnsi="Times New Roman"/>
                <w:b w:val="0"/>
                <w:i w:val="0"/>
                <w:color w:val="000000"/>
                <w:sz w:val="18"/>
              </w:rPr>
              <w:t>-124.7 dBm</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center"/>
            </w:pPr>
            <w:r>
              <w:rPr>
                <w:rFonts w:ascii="Times New Roman" w:hAnsi="Times New Roman"/>
                <w:b w:val="0"/>
                <w:i w:val="0"/>
                <w:color w:val="000000"/>
                <w:sz w:val="18"/>
              </w:rPr>
              <w:t>-141.9 dBm</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center"/>
            </w:pPr>
            <w:r>
              <w:rPr>
                <w:rFonts w:ascii="Times New Roman" w:hAnsi="Times New Roman"/>
                <w:b w:val="0"/>
                <w:i w:val="0"/>
                <w:color w:val="000000"/>
                <w:sz w:val="18"/>
              </w:rPr>
              <w:t>100 %</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center"/>
            </w:pPr>
            <w:r>
              <w:rPr>
                <w:rFonts w:ascii="Times New Roman" w:hAnsi="Times New Roman"/>
                <w:b w:val="0"/>
                <w:i w:val="0"/>
                <w:color w:val="000000"/>
                <w:sz w:val="18"/>
              </w:rPr>
              <w:t>1.07 cm</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line="240" w:lineRule="auto" w:after="0"/>
              <w:ind w:firstLine="0"/>
              <w:jc w:val="left"/>
            </w:pPr>
            <w:r>
              <w:rPr>
                <w:rFonts w:ascii="Times New Roman" w:hAnsi="Times New Roman"/>
                <w:b w:val="0"/>
                <w:i w:val="0"/>
                <w:color w:val="000000"/>
                <w:sz w:val="18"/>
              </w:rPr>
              <w:t>1900 MHz con blindaje</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line="240" w:lineRule="auto" w:after="0"/>
              <w:ind w:firstLine="0"/>
              <w:jc w:val="center"/>
            </w:pPr>
            <w:r>
              <w:rPr>
                <w:rFonts w:ascii="Times New Roman" w:hAnsi="Times New Roman"/>
                <w:b w:val="0"/>
                <w:i w:val="0"/>
                <w:color w:val="000000"/>
                <w:sz w:val="18"/>
              </w:rPr>
              <w:t>-114.2 dBm</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line="240" w:lineRule="auto" w:after="0"/>
              <w:ind w:firstLine="0"/>
              <w:jc w:val="center"/>
            </w:pPr>
            <w:r>
              <w:rPr>
                <w:rFonts w:ascii="Times New Roman" w:hAnsi="Times New Roman"/>
                <w:b w:val="0"/>
                <w:i w:val="0"/>
                <w:color w:val="000000"/>
                <w:sz w:val="18"/>
              </w:rPr>
              <w:t>-122.7 dBm</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line="240" w:lineRule="auto" w:after="0"/>
              <w:ind w:firstLine="0"/>
              <w:jc w:val="center"/>
            </w:pPr>
            <w:r>
              <w:rPr>
                <w:rFonts w:ascii="Times New Roman" w:hAnsi="Times New Roman"/>
                <w:b w:val="0"/>
                <w:i w:val="0"/>
                <w:color w:val="000000"/>
                <w:sz w:val="18"/>
              </w:rPr>
              <w:t>94.4 %</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line="240" w:lineRule="auto" w:after="0"/>
              <w:ind w:firstLine="0"/>
              <w:jc w:val="center"/>
            </w:pPr>
            <w:r>
              <w:rPr>
                <w:rFonts w:ascii="Times New Roman" w:hAnsi="Times New Roman"/>
                <w:b w:val="0"/>
                <w:i w:val="0"/>
                <w:color w:val="000000"/>
                <w:sz w:val="18"/>
              </w:rPr>
              <w:t>15.78 cm</w:t>
            </w:r>
          </w:p>
        </w:tc>
      </w:tr>
    </w:tbl>
    <w:p>
      <w:pPr>
        <w:spacing w:after="0"/>
      </w:pPr>
    </w:p>
    <w:p>
      <w:pPr>
        <w:ind w:firstLine="0"/>
        <w:jc w:val="center"/>
      </w:pPr>
      <w:r>
        <w:drawing>
          <wp:inline xmlns:a="http://schemas.openxmlformats.org/drawingml/2006/main" xmlns:pic="http://schemas.openxmlformats.org/drawingml/2006/picture">
            <wp:extent cx="5486400" cy="2811780"/>
            <wp:docPr id="1" name="Picture 1"/>
            <wp:cNvGraphicFramePr>
              <a:graphicFrameLocks noChangeAspect="1"/>
            </wp:cNvGraphicFramePr>
            <a:graphic>
              <a:graphicData uri="http://schemas.openxmlformats.org/drawingml/2006/picture">
                <pic:pic>
                  <pic:nvPicPr>
                    <pic:cNvPr id="0" name="resultados_escenarios.png"/>
                    <pic:cNvPicPr/>
                  </pic:nvPicPr>
                  <pic:blipFill>
                    <a:blip r:embed="rId10"/>
                    <a:stretch>
                      <a:fillRect/>
                    </a:stretch>
                  </pic:blipFill>
                  <pic:spPr>
                    <a:xfrm>
                      <a:off x="0" y="0"/>
                      <a:ext cx="5486400" cy="2811780"/>
                    </a:xfrm>
                    <a:prstGeom prst="rect"/>
                  </pic:spPr>
                </pic:pic>
              </a:graphicData>
            </a:graphic>
          </wp:inline>
        </w:drawing>
      </w:r>
    </w:p>
    <w:p>
      <w:pPr>
        <w:pStyle w:val="TableCaption"/>
      </w:pPr>
      <w:r>
        <w:t>Figura 1 Porcentaje de área interior bajo -95 dBm</w:t>
      </w:r>
    </w:p>
    <w:p>
      <w:pPr>
        <w:pStyle w:val="Heading2"/>
        <w:jc w:val="left"/>
      </w:pPr>
      <w:r>
        <w:t>4.2 Escenario de 850 MHz</w:t>
      </w:r>
    </w:p>
    <w:p>
      <w:pPr/>
      <w:r>
        <w:rPr>
          <w:rFonts w:ascii="Times New Roman" w:hAnsi="Times New Roman"/>
          <w:b w:val="0"/>
          <w:i w:val="0"/>
          <w:color w:val="000000"/>
          <w:sz w:val="24"/>
        </w:rPr>
        <w:t>El resultado de 0 % bajo el umbral indica que el cerramiento convencional no produce la pérdida necesaria. La potencia promedio de -56.7 dBm conserva un margen de 38.3 dB respecto de -95 dBm. En consecuencia, una solución pasiva debe acumular varias capas, mayor grosor o un sistema conductor continuo, además de controlar aberturas.</w:t>
      </w:r>
    </w:p>
    <w:p>
      <w:pPr>
        <w:pStyle w:val="Heading2"/>
        <w:jc w:val="left"/>
      </w:pPr>
      <w:r>
        <w:t>4.3 Escenario de 28 GHz</w:t>
      </w:r>
    </w:p>
    <w:p>
      <w:pPr/>
      <w:r>
        <w:rPr>
          <w:rFonts w:ascii="Times New Roman" w:hAnsi="Times New Roman"/>
          <w:b w:val="0"/>
          <w:i w:val="0"/>
          <w:color w:val="000000"/>
          <w:sz w:val="24"/>
        </w:rPr>
        <w:t>Al conservar el mismo plano y cambiar únicamente la frecuencia, el modelo lleva el 100 % del área interior bajo el umbral. La potencia promedio cae a -124.7 dBm. La diferencia combina el aumento de FSPL con una mayor atenuación efectiva asignada a los materiales. El resultado demuestra el comportamiento esperado para ondas milimétricas, aunque no autoriza generalizaciones sin medición.</w:t>
      </w:r>
    </w:p>
    <w:p>
      <w:pPr>
        <w:pStyle w:val="Heading2"/>
        <w:jc w:val="left"/>
      </w:pPr>
      <w:r>
        <w:t>4.4 Escenario de 1900 MHz con refuerzo</w:t>
      </w:r>
    </w:p>
    <w:p>
      <w:pPr/>
      <w:r>
        <w:rPr>
          <w:rFonts w:ascii="Times New Roman" w:hAnsi="Times New Roman"/>
          <w:b w:val="0"/>
          <w:i w:val="0"/>
          <w:color w:val="000000"/>
          <w:sz w:val="24"/>
        </w:rPr>
        <w:t>El caso inicial de 1900 MHz mantiene toda el área sobre el umbral. Al añadir una barrera metálica conceptual, el porcentaje confinado aumenta a 94.4 % y la potencia promedio disminuye a -114.2 dBm. El mapa permite localizar el 5.6 % restante y estudiar si corresponde a accesos, geometría o trayectos que no atraviesan la nueva barrera.</w:t>
      </w:r>
    </w:p>
    <w:p>
      <w:pPr>
        <w:pStyle w:val="Heading2"/>
        <w:jc w:val="left"/>
      </w:pPr>
      <w:r>
        <w:t>4.5 Análisis So What</w:t>
      </w:r>
    </w:p>
    <w:p>
      <w:pPr/>
      <w:r>
        <w:rPr>
          <w:rFonts w:ascii="Times New Roman" w:hAnsi="Times New Roman"/>
          <w:b w:val="0"/>
          <w:i w:val="0"/>
          <w:color w:val="000000"/>
          <w:sz w:val="24"/>
        </w:rPr>
        <w:t>El hallazgo operativo es que una estrategia uniforme no funciona para todas las bandas. A 850 MHz, un muro convencional deja un margen amplio de comunicación; por ello se requiere un diseño arquitectónico pesado, multicapa y continuo. A 28 GHz, el enlace dispone de menos margen para penetrar, de modo que los materiales básicos producen confinamiento casi perfecto dentro del escenario modelado.</w:t>
      </w:r>
    </w:p>
    <w:p>
      <w:pPr/>
      <w:r>
        <w:rPr>
          <w:rFonts w:ascii="Times New Roman" w:hAnsi="Times New Roman"/>
          <w:b w:val="0"/>
          <w:i w:val="0"/>
          <w:color w:val="000000"/>
          <w:sz w:val="24"/>
        </w:rPr>
        <w:t>La decisión de ingeniería no consiste únicamente en elegir el material con el mayor coeficiente. También debe considerar continuidad, accesos, ventilación, estructura, costos, seguridad contra incendios y canales autorizados. El simulador sirve para identificar hipótesis y priorizar mediciones, no para reemplazar el diseño detallado.</w:t>
      </w:r>
    </w:p>
    <w:p>
      <w:pPr>
        <w:pStyle w:val="Heading2"/>
        <w:jc w:val="left"/>
      </w:pPr>
      <w:r>
        <w:t>4.6 Limitaciones de los resultados</w:t>
      </w:r>
    </w:p>
    <w:p>
      <w:pPr>
        <w:pStyle w:val="ListBullet"/>
        <w:spacing w:line="276" w:lineRule="auto" w:after="0"/>
        <w:ind w:left="709" w:hanging="357"/>
      </w:pPr>
      <w:r>
        <w:rPr>
          <w:rFonts w:ascii="Times New Roman" w:hAnsi="Times New Roman"/>
          <w:b w:val="0"/>
          <w:i w:val="0"/>
          <w:color w:val="000000"/>
          <w:sz w:val="24"/>
        </w:rPr>
        <w:t>El plano no representa techos, sótanos ni pisos superiores.</w:t>
      </w:r>
    </w:p>
    <w:p>
      <w:pPr>
        <w:pStyle w:val="ListBullet"/>
        <w:spacing w:line="276" w:lineRule="auto" w:after="0"/>
        <w:ind w:left="709" w:hanging="357"/>
      </w:pPr>
      <w:r>
        <w:rPr>
          <w:rFonts w:ascii="Times New Roman" w:hAnsi="Times New Roman"/>
          <w:b w:val="0"/>
          <w:i w:val="0"/>
          <w:color w:val="000000"/>
          <w:sz w:val="24"/>
        </w:rPr>
        <w:t>No se modelan reflexiones, difracción detallada, polarización ni desvanecimiento.</w:t>
      </w:r>
    </w:p>
    <w:p>
      <w:pPr>
        <w:pStyle w:val="ListBullet"/>
        <w:spacing w:line="276" w:lineRule="auto" w:after="0"/>
        <w:ind w:left="709" w:hanging="357"/>
      </w:pPr>
      <w:r>
        <w:rPr>
          <w:rFonts w:ascii="Times New Roman" w:hAnsi="Times New Roman"/>
          <w:b w:val="0"/>
          <w:i w:val="0"/>
          <w:color w:val="000000"/>
          <w:sz w:val="24"/>
        </w:rPr>
        <w:t>Los coeficientes son parámetros didácticos y no mediciones de un material específico.</w:t>
      </w:r>
    </w:p>
    <w:p>
      <w:pPr>
        <w:pStyle w:val="ListBullet"/>
        <w:spacing w:line="276" w:lineRule="auto" w:after="0"/>
        <w:ind w:left="709" w:hanging="357"/>
      </w:pPr>
      <w:r>
        <w:rPr>
          <w:rFonts w:ascii="Times New Roman" w:hAnsi="Times New Roman"/>
          <w:b w:val="0"/>
          <w:i w:val="0"/>
          <w:color w:val="000000"/>
          <w:sz w:val="24"/>
        </w:rPr>
        <w:t>El umbral de -95 dBm es conceptual y la sensibilidad real depende del equipo y la red.</w:t>
      </w:r>
    </w:p>
    <w:p>
      <w:pPr>
        <w:pStyle w:val="ListBullet"/>
        <w:spacing w:line="276" w:lineRule="auto" w:after="0"/>
        <w:ind w:left="709" w:hanging="357"/>
      </w:pPr>
      <w:r>
        <w:rPr>
          <w:rFonts w:ascii="Times New Roman" w:hAnsi="Times New Roman"/>
          <w:b w:val="0"/>
          <w:i w:val="0"/>
          <w:color w:val="000000"/>
          <w:sz w:val="24"/>
        </w:rPr>
        <w:t>No se modelan simultáneamente enlace ascendente y descendente.</w:t>
      </w:r>
    </w:p>
    <w:p>
      <w:r>
        <w:br w:type="page"/>
      </w:r>
    </w:p>
    <w:p>
      <w:pPr>
        <w:pStyle w:val="Heading1"/>
        <w:jc w:val="left"/>
      </w:pPr>
      <w:r>
        <w:t>Conclusiones</w:t>
      </w:r>
    </w:p>
    <w:p>
      <w:pPr>
        <w:spacing w:line="360" w:lineRule="auto"/>
        <w:ind w:left="369" w:hanging="369"/>
      </w:pPr>
      <w:r>
        <w:rPr>
          <w:rFonts w:ascii="Times New Roman" w:hAnsi="Times New Roman"/>
          <w:b w:val="0"/>
          <w:i w:val="0"/>
          <w:color w:val="000000"/>
          <w:sz w:val="24"/>
        </w:rPr>
        <w:t>1. El prototipo demuestra que la potencia recibida puede estimarse mediante un balance que combina potencia transmitida, FSPL y pérdidas acumuladas por obstáculos.</w:t>
      </w:r>
    </w:p>
    <w:p>
      <w:pPr>
        <w:spacing w:line="360" w:lineRule="auto"/>
        <w:ind w:left="369" w:hanging="369"/>
      </w:pPr>
      <w:r>
        <w:rPr>
          <w:rFonts w:ascii="Times New Roman" w:hAnsi="Times New Roman"/>
          <w:b w:val="0"/>
          <w:i w:val="0"/>
          <w:color w:val="000000"/>
          <w:sz w:val="24"/>
        </w:rPr>
        <w:t>2. El escenario de 850 MHz permanece por encima de -95 dBm con concreto de 0.25 m, lo cual respalda la necesidad de una solución arquitectónica pesada para frecuencias bajas.</w:t>
      </w:r>
    </w:p>
    <w:p>
      <w:pPr>
        <w:spacing w:line="360" w:lineRule="auto"/>
        <w:ind w:left="369" w:hanging="369"/>
      </w:pPr>
      <w:r>
        <w:rPr>
          <w:rFonts w:ascii="Times New Roman" w:hAnsi="Times New Roman"/>
          <w:b w:val="0"/>
          <w:i w:val="0"/>
          <w:color w:val="000000"/>
          <w:sz w:val="24"/>
        </w:rPr>
        <w:t>3. El mismo plano alcanza 100 % de confinamiento a 28 GHz dentro del modelo, debido al aumento de FSPL y a la mayor pérdida efectiva de penetración.</w:t>
      </w:r>
    </w:p>
    <w:p>
      <w:pPr>
        <w:spacing w:line="360" w:lineRule="auto"/>
        <w:ind w:left="369" w:hanging="369"/>
      </w:pPr>
      <w:r>
        <w:rPr>
          <w:rFonts w:ascii="Times New Roman" w:hAnsi="Times New Roman"/>
          <w:b w:val="0"/>
          <w:i w:val="0"/>
          <w:color w:val="000000"/>
          <w:sz w:val="24"/>
        </w:rPr>
        <w:t>4. Una barrera metálica conceptual incrementa el confinamiento de 1900 MHz hasta aproximadamente 94.4 %, demostrando el valor de reforzar fronteras críticas.</w:t>
      </w:r>
    </w:p>
    <w:p>
      <w:pPr>
        <w:spacing w:line="360" w:lineRule="auto"/>
        <w:ind w:left="369" w:hanging="369"/>
      </w:pPr>
      <w:r>
        <w:rPr>
          <w:rFonts w:ascii="Times New Roman" w:hAnsi="Times New Roman"/>
          <w:b w:val="0"/>
          <w:i w:val="0"/>
          <w:color w:val="000000"/>
          <w:sz w:val="24"/>
        </w:rPr>
        <w:t>5. La atenuación pasiva es éticamente preferible a la interferencia activa porque no introduce una nueva emisión destinada a degradar comunicaciones de terceros.</w:t>
      </w:r>
    </w:p>
    <w:p>
      <w:pPr>
        <w:spacing w:line="360" w:lineRule="auto"/>
        <w:ind w:left="369" w:hanging="369"/>
      </w:pPr>
      <w:r>
        <w:rPr>
          <w:rFonts w:ascii="Times New Roman" w:hAnsi="Times New Roman"/>
          <w:b w:val="0"/>
          <w:i w:val="0"/>
          <w:color w:val="000000"/>
          <w:sz w:val="24"/>
        </w:rPr>
        <w:t>6. Los coeficientes didácticos no constituyen especificaciones constructivas; antes de cualquier aplicación física deben calibrarse con mediciones y fuentes aplicables al sitio.</w:t>
      </w:r>
    </w:p>
    <w:p>
      <w:r>
        <w:br w:type="page"/>
      </w:r>
    </w:p>
    <w:p>
      <w:pPr>
        <w:pStyle w:val="Heading1"/>
        <w:jc w:val="left"/>
      </w:pPr>
      <w:r>
        <w:t>Recomendaciones</w:t>
      </w:r>
    </w:p>
    <w:p>
      <w:pPr>
        <w:spacing w:line="360" w:lineRule="auto"/>
        <w:ind w:left="369" w:hanging="369"/>
      </w:pPr>
      <w:r>
        <w:rPr>
          <w:rFonts w:ascii="Times New Roman" w:hAnsi="Times New Roman"/>
          <w:b w:val="0"/>
          <w:i w:val="0"/>
          <w:color w:val="000000"/>
          <w:sz w:val="24"/>
        </w:rPr>
        <w:t>1. Medir potencia exterior e interior en las bandas de interés antes de definir materiales o espesores.</w:t>
      </w:r>
    </w:p>
    <w:p>
      <w:pPr>
        <w:spacing w:line="360" w:lineRule="auto"/>
        <w:ind w:left="369" w:hanging="369"/>
      </w:pPr>
      <w:r>
        <w:rPr>
          <w:rFonts w:ascii="Times New Roman" w:hAnsi="Times New Roman"/>
          <w:b w:val="0"/>
          <w:i w:val="0"/>
          <w:color w:val="000000"/>
          <w:sz w:val="24"/>
        </w:rPr>
        <w:t>2. Sustituir los coeficientes didácticos por valores obtenidos de muestras reales, considerando humedad y refuerzo.</w:t>
      </w:r>
    </w:p>
    <w:p>
      <w:pPr>
        <w:spacing w:line="360" w:lineRule="auto"/>
        <w:ind w:left="369" w:hanging="369"/>
      </w:pPr>
      <w:r>
        <w:rPr>
          <w:rFonts w:ascii="Times New Roman" w:hAnsi="Times New Roman"/>
          <w:b w:val="0"/>
          <w:i w:val="0"/>
          <w:color w:val="000000"/>
          <w:sz w:val="24"/>
        </w:rPr>
        <w:t>3. Modelar puertas, ventanas, ductos, juntas y otras discontinuidades como elementos independientes.</w:t>
      </w:r>
    </w:p>
    <w:p>
      <w:pPr>
        <w:spacing w:line="360" w:lineRule="auto"/>
        <w:ind w:left="369" w:hanging="369"/>
      </w:pPr>
      <w:r>
        <w:rPr>
          <w:rFonts w:ascii="Times New Roman" w:hAnsi="Times New Roman"/>
          <w:b w:val="0"/>
          <w:i w:val="0"/>
          <w:color w:val="000000"/>
          <w:sz w:val="24"/>
        </w:rPr>
        <w:t>4. Extender el simulador a tres dimensiones e incorporar multitrayectoria para una segunda fase.</w:t>
      </w:r>
    </w:p>
    <w:p>
      <w:pPr>
        <w:spacing w:line="360" w:lineRule="auto"/>
        <w:ind w:left="369" w:hanging="369"/>
      </w:pPr>
      <w:r>
        <w:rPr>
          <w:rFonts w:ascii="Times New Roman" w:hAnsi="Times New Roman"/>
          <w:b w:val="0"/>
          <w:i w:val="0"/>
          <w:color w:val="000000"/>
          <w:sz w:val="24"/>
        </w:rPr>
        <w:t>5. Verificar que cualquier solución conserve comunicaciones autorizadas y servicios de emergencia.</w:t>
      </w:r>
    </w:p>
    <w:p>
      <w:pPr>
        <w:spacing w:line="360" w:lineRule="auto"/>
        <w:ind w:left="369" w:hanging="369"/>
      </w:pPr>
      <w:r>
        <w:rPr>
          <w:rFonts w:ascii="Times New Roman" w:hAnsi="Times New Roman"/>
          <w:b w:val="0"/>
          <w:i w:val="0"/>
          <w:color w:val="000000"/>
          <w:sz w:val="24"/>
        </w:rPr>
        <w:t>6. Coordinar las pruebas físicas con la SIT, operadores y autoridades penitenciarias competentes.</w:t>
      </w:r>
    </w:p>
    <w:p>
      <w:pPr>
        <w:spacing w:line="360" w:lineRule="auto"/>
        <w:ind w:left="369" w:hanging="369"/>
      </w:pPr>
      <w:r>
        <w:rPr>
          <w:rFonts w:ascii="Times New Roman" w:hAnsi="Times New Roman"/>
          <w:b w:val="0"/>
          <w:i w:val="0"/>
          <w:color w:val="000000"/>
          <w:sz w:val="24"/>
        </w:rPr>
        <w:t>7. Utilizar el simulador como herramienta de prefactibilidad y enseñanza, no como certificación de blindaje.</w:t>
      </w:r>
    </w:p>
    <w:p>
      <w:r>
        <w:br w:type="page"/>
      </w:r>
    </w:p>
    <w:p>
      <w:pPr>
        <w:pStyle w:val="Heading1"/>
        <w:jc w:val="left"/>
      </w:pPr>
      <w:r>
        <w:t>Referencias</w:t>
      </w:r>
    </w:p>
    <w:p>
      <w:pPr>
        <w:spacing w:line="360" w:lineRule="auto"/>
        <w:ind w:left="709" w:hanging="709"/>
      </w:pPr>
      <w:r>
        <w:rPr>
          <w:rFonts w:ascii="Times New Roman" w:hAnsi="Times New Roman"/>
          <w:b w:val="0"/>
          <w:i w:val="0"/>
          <w:color w:val="000000"/>
          <w:sz w:val="24"/>
        </w:rPr>
        <w:t>Congreso de la República de Guatemala. (1996). Decreto 94-96, Ley General de Telecomunicaciones. https://www.congreso.gob.gt/detalle_pdf/decretos/897</w:t>
      </w:r>
    </w:p>
    <w:p>
      <w:pPr>
        <w:spacing w:line="360" w:lineRule="auto"/>
        <w:ind w:left="709" w:hanging="709"/>
      </w:pPr>
      <w:r>
        <w:rPr>
          <w:rFonts w:ascii="Times New Roman" w:hAnsi="Times New Roman"/>
          <w:b w:val="0"/>
          <w:i w:val="0"/>
          <w:color w:val="000000"/>
          <w:sz w:val="24"/>
        </w:rPr>
        <w:t>Du, K., Ozdemir, O., Erden, F. y Guvenc, I. (2021). Sub-Terahertz and mmWave penetration loss measurements for indoor environments. IEEE ICC Workshops. https://doi.org/10.1109/ICCWorkshops50388.2021.9473898</w:t>
      </w:r>
    </w:p>
    <w:p>
      <w:pPr>
        <w:spacing w:line="360" w:lineRule="auto"/>
        <w:ind w:left="709" w:hanging="709"/>
      </w:pPr>
      <w:r>
        <w:rPr>
          <w:rFonts w:ascii="Times New Roman" w:hAnsi="Times New Roman"/>
          <w:b w:val="0"/>
          <w:i w:val="0"/>
          <w:color w:val="000000"/>
          <w:sz w:val="24"/>
        </w:rPr>
        <w:t>Stone, W. C. (1997). Electromagnetic signal attenuation in construction materials. NISTIR 6055. National Institute of Standards and Technology. https://doi.org/10.6028/NIST.IR.6055</w:t>
      </w:r>
    </w:p>
    <w:p>
      <w:pPr>
        <w:spacing w:line="360" w:lineRule="auto"/>
        <w:ind w:left="709" w:hanging="709"/>
      </w:pPr>
      <w:r>
        <w:rPr>
          <w:rFonts w:ascii="Times New Roman" w:hAnsi="Times New Roman"/>
          <w:b w:val="0"/>
          <w:i w:val="0"/>
          <w:color w:val="000000"/>
          <w:sz w:val="24"/>
        </w:rPr>
        <w:t>Superintendencia de Telecomunicaciones de Guatemala. (s. f.). Supervisión de espectro. https://sit.gob.gt/supervision-de-espectro.html</w:t>
      </w:r>
    </w:p>
    <w:p>
      <w:pPr>
        <w:spacing w:line="360" w:lineRule="auto"/>
        <w:ind w:left="709" w:hanging="709"/>
      </w:pPr>
      <w:r>
        <w:rPr>
          <w:rFonts w:ascii="Times New Roman" w:hAnsi="Times New Roman"/>
          <w:b w:val="0"/>
          <w:i w:val="0"/>
          <w:color w:val="000000"/>
          <w:sz w:val="24"/>
        </w:rPr>
        <w:t>Superintendencia de Telecomunicaciones de Guatemala. (s. f.). Ley General de Telecomunicaciones. https://sit.gob.gt/files/LEY-GENERAL-DE-TELECOMUNICACIONES.pdf</w:t>
      </w:r>
    </w:p>
    <w:p>
      <w:pPr>
        <w:spacing w:line="360" w:lineRule="auto"/>
        <w:ind w:left="709" w:hanging="709"/>
      </w:pPr>
      <w:r>
        <w:rPr>
          <w:rFonts w:ascii="Times New Roman" w:hAnsi="Times New Roman"/>
          <w:b w:val="0"/>
          <w:i w:val="0"/>
          <w:color w:val="000000"/>
          <w:sz w:val="24"/>
        </w:rPr>
        <w:t>Unión Internacional de Telecomunicaciones. (2025). Recomendación UIT-R P.2040-4: Effects of building materials and structures on radiowave propagation in the range of 1 MHz to 450 GHz. https://www.itu.int/rec/R-REC-P.2040</w:t>
      </w:r>
    </w:p>
    <w:p>
      <w:r>
        <w:br w:type="page"/>
      </w:r>
    </w:p>
    <w:p>
      <w:pPr>
        <w:pStyle w:val="Heading1"/>
        <w:jc w:val="left"/>
      </w:pPr>
      <w:r>
        <w:t>Anexos</w:t>
      </w:r>
    </w:p>
    <w:p>
      <w:pPr>
        <w:pStyle w:val="Heading2"/>
        <w:jc w:val="left"/>
      </w:pPr>
      <w:r>
        <w:t>Anexo A Manual breve del simulador</w:t>
      </w:r>
    </w:p>
    <w:p>
      <w:pPr>
        <w:spacing w:line="276" w:lineRule="auto"/>
        <w:ind w:firstLine="0"/>
        <w:jc w:val="left"/>
      </w:pPr>
      <w:r>
        <w:rPr>
          <w:rFonts w:ascii="Times New Roman" w:hAnsi="Times New Roman"/>
          <w:b w:val="0"/>
          <w:i w:val="0"/>
          <w:color w:val="000000"/>
          <w:sz w:val="24"/>
        </w:rPr>
        <w:t>1. Iniciar el backend con npm start dentro de la carpeta backend.</w:t>
      </w:r>
    </w:p>
    <w:p>
      <w:pPr>
        <w:spacing w:line="276" w:lineRule="auto"/>
        <w:ind w:firstLine="0"/>
        <w:jc w:val="left"/>
      </w:pPr>
      <w:r>
        <w:rPr>
          <w:rFonts w:ascii="Times New Roman" w:hAnsi="Times New Roman"/>
          <w:b w:val="0"/>
          <w:i w:val="0"/>
          <w:color w:val="000000"/>
          <w:sz w:val="24"/>
        </w:rPr>
        <w:t>2. Iniciar el frontend con npm run dev dentro de la carpeta frontend.</w:t>
      </w:r>
    </w:p>
    <w:p>
      <w:pPr>
        <w:spacing w:line="276" w:lineRule="auto"/>
        <w:ind w:firstLine="0"/>
        <w:jc w:val="left"/>
      </w:pPr>
      <w:r>
        <w:rPr>
          <w:rFonts w:ascii="Times New Roman" w:hAnsi="Times New Roman"/>
          <w:b w:val="0"/>
          <w:i w:val="0"/>
          <w:color w:val="000000"/>
          <w:sz w:val="24"/>
        </w:rPr>
        <w:t>3. Abrir http://127.0.0.1:5173 en el navegador.</w:t>
      </w:r>
    </w:p>
    <w:p>
      <w:pPr>
        <w:spacing w:line="276" w:lineRule="auto"/>
        <w:ind w:firstLine="0"/>
        <w:jc w:val="left"/>
      </w:pPr>
      <w:r>
        <w:rPr>
          <w:rFonts w:ascii="Times New Roman" w:hAnsi="Times New Roman"/>
          <w:b w:val="0"/>
          <w:i w:val="0"/>
          <w:color w:val="000000"/>
          <w:sz w:val="24"/>
        </w:rPr>
        <w:t>4. Seleccionar Piso o zona y dibujar el área que se evaluará.</w:t>
      </w:r>
    </w:p>
    <w:p>
      <w:pPr>
        <w:spacing w:line="276" w:lineRule="auto"/>
        <w:ind w:firstLine="0"/>
        <w:jc w:val="left"/>
      </w:pPr>
      <w:r>
        <w:rPr>
          <w:rFonts w:ascii="Times New Roman" w:hAnsi="Times New Roman"/>
          <w:b w:val="0"/>
          <w:i w:val="0"/>
          <w:color w:val="000000"/>
          <w:sz w:val="24"/>
        </w:rPr>
        <w:t>5. Seleccionar material y grosor, elegir Muro y dibujar el perímetro.</w:t>
      </w:r>
    </w:p>
    <w:p>
      <w:pPr>
        <w:spacing w:line="276" w:lineRule="auto"/>
        <w:ind w:firstLine="0"/>
        <w:jc w:val="left"/>
      </w:pPr>
      <w:r>
        <w:rPr>
          <w:rFonts w:ascii="Times New Roman" w:hAnsi="Times New Roman"/>
          <w:b w:val="0"/>
          <w:i w:val="0"/>
          <w:color w:val="000000"/>
          <w:sz w:val="24"/>
        </w:rPr>
        <w:t>6. Añadir puertas y rejas sobre los muros; el editor abre el tramo correspondiente.</w:t>
      </w:r>
    </w:p>
    <w:p>
      <w:pPr>
        <w:spacing w:line="276" w:lineRule="auto"/>
        <w:ind w:firstLine="0"/>
        <w:jc w:val="left"/>
      </w:pPr>
      <w:r>
        <w:rPr>
          <w:rFonts w:ascii="Times New Roman" w:hAnsi="Times New Roman"/>
          <w:b w:val="0"/>
          <w:i w:val="0"/>
          <w:color w:val="000000"/>
          <w:sz w:val="24"/>
        </w:rPr>
        <w:t>7. Usar Seleccionar para mover elementos, cambiar propiedades o eliminarlos.</w:t>
      </w:r>
    </w:p>
    <w:p>
      <w:pPr>
        <w:spacing w:line="276" w:lineRule="auto"/>
        <w:ind w:firstLine="0"/>
        <w:jc w:val="left"/>
      </w:pPr>
      <w:r>
        <w:rPr>
          <w:rFonts w:ascii="Times New Roman" w:hAnsi="Times New Roman"/>
          <w:b w:val="0"/>
          <w:i w:val="0"/>
          <w:color w:val="000000"/>
          <w:sz w:val="24"/>
        </w:rPr>
        <w:t>8. Colocar la antena fuera del edificio.</w:t>
      </w:r>
    </w:p>
    <w:p>
      <w:pPr>
        <w:spacing w:line="276" w:lineRule="auto"/>
        <w:ind w:firstLine="0"/>
        <w:jc w:val="left"/>
      </w:pPr>
      <w:r>
        <w:rPr>
          <w:rFonts w:ascii="Times New Roman" w:hAnsi="Times New Roman"/>
          <w:b w:val="0"/>
          <w:i w:val="0"/>
          <w:color w:val="000000"/>
          <w:sz w:val="24"/>
        </w:rPr>
        <w:t>9. Definir frecuencia, potencia, distancia y umbral.</w:t>
      </w:r>
    </w:p>
    <w:p>
      <w:pPr>
        <w:spacing w:line="276" w:lineRule="auto"/>
        <w:ind w:firstLine="0"/>
        <w:jc w:val="left"/>
      </w:pPr>
      <w:r>
        <w:rPr>
          <w:rFonts w:ascii="Times New Roman" w:hAnsi="Times New Roman"/>
          <w:b w:val="0"/>
          <w:i w:val="0"/>
          <w:color w:val="000000"/>
          <w:sz w:val="24"/>
        </w:rPr>
        <w:t>10. Ejecutar Simular cobertura y explicar el balance mostrado.</w:t>
      </w:r>
    </w:p>
    <w:p>
      <w:pPr>
        <w:spacing w:line="276" w:lineRule="auto"/>
        <w:ind w:firstLine="0"/>
        <w:jc w:val="left"/>
      </w:pPr>
      <w:r>
        <w:rPr>
          <w:rFonts w:ascii="Times New Roman" w:hAnsi="Times New Roman"/>
          <w:b w:val="0"/>
          <w:i w:val="0"/>
          <w:color w:val="000000"/>
          <w:sz w:val="24"/>
        </w:rPr>
        <w:t>11. Ejecutar Comparar 850 MHz vs 28 GHz y registrar la diferencia.</w:t>
      </w:r>
    </w:p>
    <w:p>
      <w:pPr>
        <w:spacing w:line="276" w:lineRule="auto"/>
        <w:ind w:firstLine="0"/>
        <w:jc w:val="left"/>
      </w:pPr>
      <w:r>
        <w:rPr>
          <w:rFonts w:ascii="Times New Roman" w:hAnsi="Times New Roman"/>
          <w:b w:val="0"/>
          <w:i w:val="0"/>
          <w:color w:val="000000"/>
          <w:sz w:val="24"/>
        </w:rPr>
        <w:t>12. Guardar el plano en el navegador cuando se desee reutilizarlo.</w:t>
      </w:r>
    </w:p>
    <w:p>
      <w:pPr>
        <w:pStyle w:val="Heading2"/>
        <w:jc w:val="left"/>
      </w:pPr>
      <w:r>
        <w:t>Anexo B Demostración sugerida</w:t>
      </w:r>
    </w:p>
    <w:p>
      <w:pPr/>
      <w:r>
        <w:rPr>
          <w:rFonts w:ascii="Times New Roman" w:hAnsi="Times New Roman"/>
          <w:b w:val="0"/>
          <w:i w:val="0"/>
          <w:color w:val="000000"/>
          <w:sz w:val="24"/>
        </w:rPr>
        <w:t>La demostración en video debe mantener el plano, potencia, distancia y umbral constantes. Primero se ejecuta 850 MHz, luego 28 GHz. Finalmente se restaura 1900 MHz, se registra la línea base y se añade la barrera metálica. El video debe mostrar el panel Balance calculado, la comparación automática y las funciones calculateFspl, calculateObstacleLoss y calculatePoint para relacionar la interfaz con el código.</w:t>
      </w:r>
    </w:p>
    <w:p>
      <w:pPr>
        <w:pStyle w:val="Heading2"/>
        <w:jc w:val="left"/>
      </w:pPr>
      <w:r>
        <w:t>Anexo C Estructura del repositorio</w:t>
      </w:r>
    </w:p>
    <w:tbl>
      <w:tblPr>
        <w:tblW w:type="auto" w:w="0"/>
        <w:jc w:val="center"/>
        <w:tblLayout w:type="fixed"/>
        <w:tblLook w:firstColumn="1" w:firstRow="1" w:lastColumn="0" w:lastRow="0" w:noHBand="0" w:noVBand="1" w:val="04A0"/>
      </w:tblPr>
      <w:tblGrid>
        <w:gridCol w:w="4320"/>
        <w:gridCol w:w="4320"/>
      </w:tblGrid>
      <w:tr>
        <w:trPr>
          <w:tblHeader w:val="true"/>
        </w:trPr>
        <w:tc>
          <w:tcPr>
            <w:tcW w:type="dxa" w:w="2448"/>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ind w:firstLine="0"/>
              <w:jc w:val="center"/>
            </w:pPr>
            <w:r>
              <w:rPr>
                <w:rFonts w:ascii="Times New Roman" w:hAnsi="Times New Roman"/>
                <w:b/>
                <w:i w:val="0"/>
                <w:color w:val="FFFFFF"/>
                <w:sz w:val="19"/>
              </w:rPr>
              <w:t>Carpeta</w:t>
            </w:r>
          </w:p>
        </w:tc>
        <w:tc>
          <w:tcPr>
            <w:tcW w:type="dxa" w:w="6912"/>
            <w:vAlign w:val="center"/>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ind w:firstLine="0"/>
              <w:jc w:val="center"/>
            </w:pPr>
            <w:r>
              <w:rPr>
                <w:rFonts w:ascii="Times New Roman" w:hAnsi="Times New Roman"/>
                <w:b/>
                <w:i w:val="0"/>
                <w:color w:val="FFFFFF"/>
                <w:sz w:val="19"/>
              </w:rPr>
              <w:t>Contenido</w:t>
            </w:r>
          </w:p>
        </w:tc>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left"/>
            </w:pPr>
            <w:r>
              <w:rPr>
                <w:rFonts w:ascii="Times New Roman" w:hAnsi="Times New Roman"/>
                <w:b w:val="0"/>
                <w:i w:val="0"/>
                <w:color w:val="000000"/>
                <w:sz w:val="18"/>
              </w:rPr>
              <w:t>frontend</w:t>
            </w:r>
          </w:p>
        </w:tc>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center"/>
            </w:pPr>
            <w:r>
              <w:rPr>
                <w:rFonts w:ascii="Times New Roman" w:hAnsi="Times New Roman"/>
                <w:b w:val="0"/>
                <w:i w:val="0"/>
                <w:color w:val="000000"/>
                <w:sz w:val="18"/>
              </w:rPr>
              <w:t>Interfaz, editor Canvas y cliente de API.</w:t>
            </w:r>
          </w:p>
        </w:tc>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line="240" w:lineRule="auto" w:after="0"/>
              <w:ind w:firstLine="0"/>
              <w:jc w:val="left"/>
            </w:pPr>
            <w:r>
              <w:rPr>
                <w:rFonts w:ascii="Times New Roman" w:hAnsi="Times New Roman"/>
                <w:b w:val="0"/>
                <w:i w:val="0"/>
                <w:color w:val="000000"/>
                <w:sz w:val="18"/>
              </w:rPr>
              <w:t>backend</w:t>
            </w:r>
          </w:p>
        </w:tc>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line="240" w:lineRule="auto" w:after="0"/>
              <w:ind w:firstLine="0"/>
              <w:jc w:val="center"/>
            </w:pPr>
            <w:r>
              <w:rPr>
                <w:rFonts w:ascii="Times New Roman" w:hAnsi="Times New Roman"/>
                <w:b w:val="0"/>
                <w:i w:val="0"/>
                <w:color w:val="000000"/>
                <w:sz w:val="18"/>
              </w:rPr>
              <w:t>Servidor Express, materiales, modelo RF y pruebas.</w:t>
            </w:r>
          </w:p>
        </w:tc>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left"/>
            </w:pPr>
            <w:r>
              <w:rPr>
                <w:rFonts w:ascii="Times New Roman" w:hAnsi="Times New Roman"/>
                <w:b w:val="0"/>
                <w:i w:val="0"/>
                <w:color w:val="000000"/>
                <w:sz w:val="18"/>
              </w:rPr>
              <w:t>entregables</w:t>
            </w:r>
          </w:p>
        </w:tc>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center"/>
            </w:pPr>
            <w:r>
              <w:rPr>
                <w:rFonts w:ascii="Times New Roman" w:hAnsi="Times New Roman"/>
                <w:b w:val="0"/>
                <w:i w:val="0"/>
                <w:color w:val="000000"/>
                <w:sz w:val="18"/>
              </w:rPr>
              <w:t>Guion de video y lista de control.</w:t>
            </w:r>
          </w:p>
        </w:tc>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line="240" w:lineRule="auto" w:after="0"/>
              <w:ind w:firstLine="0"/>
              <w:jc w:val="left"/>
            </w:pPr>
            <w:r>
              <w:rPr>
                <w:rFonts w:ascii="Times New Roman" w:hAnsi="Times New Roman"/>
                <w:b w:val="0"/>
                <w:i w:val="0"/>
                <w:color w:val="000000"/>
                <w:sz w:val="18"/>
              </w:rPr>
              <w:t>output/docx</w:t>
            </w:r>
          </w:p>
        </w:tc>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line="240" w:lineRule="auto" w:after="0"/>
              <w:ind w:firstLine="0"/>
              <w:jc w:val="center"/>
            </w:pPr>
            <w:r>
              <w:rPr>
                <w:rFonts w:ascii="Times New Roman" w:hAnsi="Times New Roman"/>
                <w:b w:val="0"/>
                <w:i w:val="0"/>
                <w:color w:val="000000"/>
                <w:sz w:val="18"/>
              </w:rPr>
              <w:t>Documento de tesis editable.</w:t>
            </w:r>
          </w:p>
        </w:tc>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left"/>
            </w:pPr>
            <w:r>
              <w:rPr>
                <w:rFonts w:ascii="Times New Roman" w:hAnsi="Times New Roman"/>
                <w:b w:val="0"/>
                <w:i w:val="0"/>
                <w:color w:val="000000"/>
                <w:sz w:val="18"/>
              </w:rPr>
              <w:t>output/pdf</w:t>
            </w:r>
          </w:p>
        </w:tc>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2F2"/>
          </w:tcPr>
          <w:p>
            <w:pPr>
              <w:spacing w:line="240" w:lineRule="auto" w:after="0"/>
              <w:ind w:firstLine="0"/>
              <w:jc w:val="center"/>
            </w:pPr>
            <w:r>
              <w:rPr>
                <w:rFonts w:ascii="Times New Roman" w:hAnsi="Times New Roman"/>
                <w:b w:val="0"/>
                <w:i w:val="0"/>
                <w:color w:val="000000"/>
                <w:sz w:val="18"/>
              </w:rPr>
              <w:t>Informe y versión PDF de la tesis.</w:t>
            </w:r>
          </w:p>
        </w:tc>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line="240" w:lineRule="auto" w:after="0"/>
              <w:ind w:firstLine="0"/>
              <w:jc w:val="left"/>
            </w:pPr>
            <w:r>
              <w:rPr>
                <w:rFonts w:ascii="Times New Roman" w:hAnsi="Times New Roman"/>
                <w:b w:val="0"/>
                <w:i w:val="0"/>
                <w:color w:val="000000"/>
                <w:sz w:val="18"/>
              </w:rPr>
              <w:t>scripts</w:t>
            </w:r>
          </w:p>
        </w:tc>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line="240" w:lineRule="auto" w:after="0"/>
              <w:ind w:firstLine="0"/>
              <w:jc w:val="center"/>
            </w:pPr>
            <w:r>
              <w:rPr>
                <w:rFonts w:ascii="Times New Roman" w:hAnsi="Times New Roman"/>
                <w:b w:val="0"/>
                <w:i w:val="0"/>
                <w:color w:val="000000"/>
                <w:sz w:val="18"/>
              </w:rPr>
              <w:t>Generadores reproducibles de documentos.</w:t>
            </w:r>
          </w:p>
        </w:tc>
      </w:tr>
    </w:tbl>
    <w:sectPr w:rsidR="00FC693F" w:rsidRPr="0006063C" w:rsidSect="00034616">
      <w:footerReference w:type="default" r:id="rId9"/>
      <w:pgSz w:w="12240" w:h="15840"/>
      <w:pgMar w:top="1440" w:right="1440" w:bottom="1440" w:left="216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000000"/>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ind w:firstLine="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ind w:firstLine="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ind w:firstLine="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40" w:lineRule="auto"/>
      <w:contextualSpacing/>
      <w:jc w:val="center"/>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
    <w:name w:val="Table Caption"/>
    <w:pPr>
      <w:spacing w:before="160" w:after="100"/>
      <w:ind w:firstLine="0"/>
      <w:jc w:val="center"/>
    </w:pPr>
    <w:rPr>
      <w:rFonts w:ascii="Times New Roman" w:hAnsi="Times New Roman"/>
      <w:b/>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de un simulador web para el análisis conceptual de atenuación pasiva</dc:title>
  <dc:subject>Proyecto de tesis en telecomunicaciones</dc:subject>
  <dc:creator>Estudiante</dc:creator>
  <cp:keywords>FSPL, atenuación pasiva, radiofrecuencia, telecomunicaciones</cp:keywords>
  <dc:description>generated by python-docx</dc:description>
  <cp:lastModifiedBy/>
  <cp:revision>1</cp:revision>
  <dcterms:created xsi:type="dcterms:W3CDTF">2013-12-23T23:15:00Z</dcterms:created>
  <dcterms:modified xsi:type="dcterms:W3CDTF">2013-12-23T23:15:00Z</dcterms:modified>
  <cp:category/>
</cp:coreProperties>
</file>