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Business Requirements Document</w:t>
      </w:r>
    </w:p>
    <w:p>
      <w:r>
        <w:t>Defines business objectives, stakeholders, operating model, KPIs, compliance and success criteria for the completed ATS-V3 platform.</w:t>
      </w:r>
    </w:p>
    <w:p>
      <w:pPr>
        <w:pStyle w:val="Heading1"/>
      </w:pPr>
      <w:r>
        <w:t>Stakeholders</w:t>
      </w:r>
    </w:p>
    <w:p>
      <w:r>
        <w:t>Recruiters, hiring managers, agencies, candidates, tenant administrators, executives and platform operators.</w:t>
      </w:r>
    </w:p>
    <w:p>
      <w:pPr>
        <w:pStyle w:val="Heading1"/>
      </w:pPr>
      <w:r>
        <w:t>Business Capabilities</w:t>
      </w:r>
    </w:p>
    <w:p>
      <w:r>
        <w:t>ATS, CRM, Matching, Applications, Interviews, Offers, Reporting, Automation, AI and SaaS management.</w:t>
      </w:r>
    </w:p>
    <w:p>
      <w:pPr>
        <w:pStyle w:val="Heading1"/>
      </w:pPr>
      <w:r>
        <w:t>Success Metrics</w:t>
      </w:r>
    </w:p>
    <w:p>
      <w:r>
        <w:t>Time-to-hire, application throughput, interview conversion, offer acceptance and recruiter productivity.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