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08-BUSINESS_RULES</w:t>
      </w:r>
    </w:p>
    <w:p>
      <w:pPr>
        <w:pStyle w:val="Heading1"/>
      </w:pPr>
      <w:r>
        <w:t>BR-001 93% Cover Letter Rule</w:t>
      </w:r>
    </w:p>
    <w:p>
      <w:r>
        <w:t>Match scores of 93% or higher automatically generate a tailored cover letter and route to the primary workflow.</w:t>
      </w:r>
    </w:p>
    <w:p>
      <w:pPr>
        <w:pStyle w:val="Heading1"/>
      </w:pPr>
      <w:r>
        <w:t>BR-002 Under93 Rule</w:t>
      </w:r>
    </w:p>
    <w:p>
      <w:r>
        <w:t>Scores below 93% are routed to the review workflow.</w:t>
      </w:r>
    </w:p>
    <w:p>
      <w:pPr>
        <w:pStyle w:val="Heading1"/>
      </w:pPr>
      <w:r>
        <w:t>BR-003 Generic CV Rule</w:t>
      </w:r>
    </w:p>
    <w:p>
      <w:r>
        <w:t>No assumptions regarding profession, industry, layout or structure.</w:t>
      </w:r>
    </w:p>
    <w:p>
      <w:pPr>
        <w:pStyle w:val="Heading1"/>
      </w:pPr>
      <w:r>
        <w:t>BR-004 Generic CSV Rule</w:t>
      </w:r>
    </w:p>
    <w:p>
      <w:r>
        <w:t>No assumptions regarding column names or templates.</w:t>
      </w:r>
    </w:p>
    <w:p>
      <w:pPr>
        <w:pStyle w:val="Heading1"/>
      </w:pPr>
      <w:r>
        <w:t>BR-005 Audit Rule</w:t>
      </w:r>
    </w:p>
    <w:p>
      <w:r>
        <w:t>All business actions generate audit events.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