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08-Database-Schema-Enterprise-v2</w:t>
      </w:r>
    </w:p>
    <w:p>
      <w:r>
        <w:t>Enterprise v2 specification placeholder structure with expanded governance, architecture, validation, testing and operational content.</w:t>
      </w:r>
    </w:p>
    <w:p>
      <w:pPr>
        <w:pStyle w:val="Heading1"/>
      </w:pPr>
      <w:r>
        <w:t>ERD</w:t>
      </w:r>
    </w:p>
    <w:p>
      <w:r>
        <w:t>Detailed enterprise content section for ERD.</w:t>
      </w:r>
    </w:p>
    <w:p>
      <w:pPr>
        <w:pStyle w:val="Heading1"/>
      </w:pPr>
      <w:r>
        <w:t>Entity Catalogue</w:t>
      </w:r>
    </w:p>
    <w:p>
      <w:r>
        <w:t>Detailed enterprise content section for Entity Catalogue.</w:t>
      </w:r>
    </w:p>
    <w:p>
      <w:pPr>
        <w:pStyle w:val="Heading1"/>
      </w:pPr>
      <w:r>
        <w:t>Data Dictionary</w:t>
      </w:r>
    </w:p>
    <w:p>
      <w:r>
        <w:t>Detailed enterprise content section for Data Dictionary.</w:t>
      </w:r>
    </w:p>
    <w:p>
      <w:pPr>
        <w:pStyle w:val="Heading1"/>
      </w:pPr>
      <w:r>
        <w:t>PK/FK Matrix</w:t>
      </w:r>
    </w:p>
    <w:p>
      <w:r>
        <w:t>Detailed enterprise content section for PK/FK Matrix.</w:t>
      </w:r>
    </w:p>
    <w:p>
      <w:pPr>
        <w:pStyle w:val="Heading1"/>
      </w:pPr>
      <w:r>
        <w:t>Index Matrix</w:t>
      </w:r>
    </w:p>
    <w:p>
      <w:r>
        <w:t>Detailed enterprise content section for Index Matrix.</w:t>
      </w:r>
    </w:p>
    <w:p>
      <w:pPr>
        <w:pStyle w:val="Heading1"/>
      </w:pPr>
      <w:r>
        <w:t>Ownership Rules</w:t>
      </w:r>
    </w:p>
    <w:p>
      <w:r>
        <w:t>Detailed enterprise content section for Ownership Rules.</w:t>
      </w:r>
    </w:p>
    <w:p>
      <w:pPr>
        <w:pStyle w:val="Heading1"/>
      </w:pPr>
      <w:r>
        <w:t>Retention Matrix</w:t>
      </w:r>
    </w:p>
    <w:p>
      <w:r>
        <w:t>Detailed enterprise content section for Retention Matrix.</w:t>
      </w:r>
    </w:p>
    <w:p>
      <w:pPr>
        <w:pStyle w:val="Heading1"/>
      </w:pPr>
      <w:r>
        <w:t>Sample Data</w:t>
      </w:r>
    </w:p>
    <w:p>
      <w:r>
        <w:t>Detailed enterprise content section for Sample Data.</w:t>
      </w:r>
    </w:p>
    <w:p>
      <w:pPr>
        <w:pStyle w:val="Heading1"/>
      </w:pPr>
      <w:r>
        <w:t>Migration Standards</w:t>
      </w:r>
    </w:p>
    <w:p>
      <w:r>
        <w:t>Detailed enterprise content section for Migration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