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08-Database-Schema (Enterprise Edition)</w:t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Enterprise Draft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Data Architecture Team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Authoritative Data Model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Architects, Developers, DBAs</w:t>
            </w:r>
          </w:p>
        </w:tc>
      </w:tr>
    </w:tbl>
    <w:p>
      <w:pPr>
        <w:pStyle w:val="Heading1"/>
      </w:pPr>
      <w:r>
        <w:t>Executive Summary</w:t>
      </w:r>
    </w:p>
    <w:p>
      <w:r>
        <w:t>Defines the enterprise data architecture, ownership model, retention strategy, indexing standards and entity relationships for ATS‑V3.</w:t>
      </w:r>
    </w:p>
    <w:p>
      <w:pPr>
        <w:pStyle w:val="Heading1"/>
      </w:pPr>
      <w:r>
        <w:t>Entity Relationship Diagram</w:t>
      </w:r>
    </w:p>
    <w:p>
      <w:r>
        <w:drawing>
          <wp:inline xmlns:a="http://schemas.openxmlformats.org/drawingml/2006/main" xmlns:pic="http://schemas.openxmlformats.org/drawingml/2006/picture">
            <wp:extent cx="5303520" cy="2623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V3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Core Entity Catalogue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Retention</w:t>
            </w:r>
          </w:p>
        </w:tc>
      </w:tr>
      <w:tr>
        <w:tc>
          <w:tcPr>
            <w:tcW w:type="dxa" w:w="2160"/>
          </w:tcPr>
          <w:p>
            <w:r>
              <w:t>Tenant</w:t>
            </w:r>
          </w:p>
        </w:tc>
        <w:tc>
          <w:tcPr>
            <w:tcW w:type="dxa" w:w="2160"/>
          </w:tcPr>
          <w:p>
            <w:r>
              <w:t>Ownership boundary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Life of tenant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System access</w:t>
            </w:r>
          </w:p>
        </w:tc>
        <w:tc>
          <w:tcPr>
            <w:tcW w:type="dxa" w:w="2160"/>
          </w:tcPr>
          <w:p>
            <w:r>
              <w:t>Tenant</w:t>
            </w:r>
          </w:p>
        </w:tc>
        <w:tc>
          <w:tcPr>
            <w:tcW w:type="dxa" w:w="2160"/>
          </w:tcPr>
          <w:p>
            <w:r>
              <w:t>Configurable</w:t>
            </w:r>
          </w:p>
        </w:tc>
      </w:tr>
      <w:tr>
        <w:tc>
          <w:tcPr>
            <w:tcW w:type="dxa" w:w="2160"/>
          </w:tcPr>
          <w:p>
            <w:r>
              <w:t>Job</w:t>
            </w:r>
          </w:p>
        </w:tc>
        <w:tc>
          <w:tcPr>
            <w:tcW w:type="dxa" w:w="2160"/>
          </w:tcPr>
          <w:p>
            <w:r>
              <w:t>Hiring requirement</w:t>
            </w:r>
          </w:p>
        </w:tc>
        <w:tc>
          <w:tcPr>
            <w:tcW w:type="dxa" w:w="2160"/>
          </w:tcPr>
          <w:p>
            <w:r>
              <w:t>Recruiter</w:t>
            </w:r>
          </w:p>
        </w:tc>
        <w:tc>
          <w:tcPr>
            <w:tcW w:type="dxa" w:w="2160"/>
          </w:tcPr>
          <w:p>
            <w:r>
              <w:t>Configurable</w:t>
            </w:r>
          </w:p>
        </w:tc>
      </w:tr>
      <w:tr>
        <w:tc>
          <w:tcPr>
            <w:tcW w:type="dxa" w:w="2160"/>
          </w:tcPr>
          <w:p>
            <w:r>
              <w:t>CandidateProfile</w:t>
            </w:r>
          </w:p>
        </w:tc>
        <w:tc>
          <w:tcPr>
            <w:tcW w:type="dxa" w:w="2160"/>
          </w:tcPr>
          <w:p>
            <w:r>
              <w:t>Candidate record</w:t>
            </w:r>
          </w:p>
        </w:tc>
        <w:tc>
          <w:tcPr>
            <w:tcW w:type="dxa" w:w="2160"/>
          </w:tcPr>
          <w:p>
            <w:r>
              <w:t>Recruiter</w:t>
            </w:r>
          </w:p>
        </w:tc>
        <w:tc>
          <w:tcPr>
            <w:tcW w:type="dxa" w:w="2160"/>
          </w:tcPr>
          <w:p>
            <w:r>
              <w:t>Configurable</w:t>
            </w:r>
          </w:p>
        </w:tc>
      </w:tr>
      <w:tr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Hiring workflow</w:t>
            </w:r>
          </w:p>
        </w:tc>
        <w:tc>
          <w:tcPr>
            <w:tcW w:type="dxa" w:w="2160"/>
          </w:tcPr>
          <w:p>
            <w:r>
              <w:t>Recruiter</w:t>
            </w:r>
          </w:p>
        </w:tc>
        <w:tc>
          <w:tcPr>
            <w:tcW w:type="dxa" w:w="2160"/>
          </w:tcPr>
          <w:p>
            <w:r>
              <w:t>Configurable</w:t>
            </w:r>
          </w:p>
        </w:tc>
      </w:tr>
      <w:tr>
        <w:tc>
          <w:tcPr>
            <w:tcW w:type="dxa" w:w="2160"/>
          </w:tcPr>
          <w:p>
            <w:r>
              <w:t>AuditLog</w:t>
            </w:r>
          </w:p>
        </w:tc>
        <w:tc>
          <w:tcPr>
            <w:tcW w:type="dxa" w:w="2160"/>
          </w:tcPr>
          <w:p>
            <w:r>
              <w:t>Compliance record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7 years</w:t>
            </w:r>
          </w:p>
        </w:tc>
      </w:tr>
    </w:tbl>
    <w:p>
      <w:pPr>
        <w:pStyle w:val="Heading1"/>
      </w:pPr>
      <w:r>
        <w:t>Data Dictionary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Job title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Workflow state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Ownership key</w:t>
            </w:r>
          </w:p>
        </w:tc>
      </w:tr>
    </w:tbl>
    <w:p>
      <w:pPr>
        <w:pStyle w:val="Heading1"/>
      </w:pPr>
      <w:r>
        <w:t>Index Strategy</w:t>
      </w:r>
    </w:p>
    <w:p>
      <w:r>
        <w:t>Composite indexes: tenant_id,status and tenant_id,created_at. Full text indexes for candidate_profiles and job_profiles.</w:t>
      </w:r>
    </w:p>
    <w:p>
      <w:pPr>
        <w:pStyle w:val="Heading1"/>
      </w:pPr>
      <w:r>
        <w:t>Retention Matrix</w:t>
      </w:r>
    </w:p>
    <w:p>
      <w:r>
        <w:t>Audit Logs=7 Years, Applications=Tenant Policy, AI Records=Tenant Policy, Reports=Tenant Policy.</w:t>
      </w:r>
    </w:p>
    <w:p>
      <w:pPr>
        <w:pStyle w:val="Heading1"/>
      </w:pPr>
      <w:r>
        <w:t>Sample Record</w:t>
      </w:r>
    </w:p>
    <w:p>
      <w:r>
        <w:t>Job</w:t>
        <w:br/>
        <w:t>id=1001</w:t>
        <w:br/>
        <w:t>title=Senior Software Engineer</w:t>
        <w:br/>
        <w:t>status=Open</w:t>
        <w:br/>
        <w:t>tenant_id=T001</w:t>
        <w:br/>
      </w:r>
    </w:p>
    <w:p>
      <w:pPr>
        <w:pStyle w:val="Heading1"/>
      </w:pPr>
      <w:r>
        <w:t>Ownership Rules</w:t>
      </w:r>
    </w:p>
    <w:p>
      <w:r>
        <w:t>Every business record must belong to a tenant. Cross-tenant access is prohibited and audited.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