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11-MATCHING_ENGINE_DESIGN</w:t>
      </w:r>
    </w:p>
    <w:p>
      <w:pPr>
        <w:pStyle w:val="Heading1"/>
      </w:pPr>
      <w:r>
        <w:t>Workflow</w:t>
      </w:r>
    </w:p>
    <w:p>
      <w:r>
        <w:t>Job Parse -&gt; Candidate Parse -&gt; Normalisation -&gt; Scoring -&gt; Gap Analysis -&gt; Recommendation.</w:t>
      </w:r>
    </w:p>
    <w:p>
      <w:pPr>
        <w:pStyle w:val="Heading1"/>
      </w:pPr>
      <w:r>
        <w:t>Scoring Model</w:t>
      </w:r>
    </w:p>
    <w:p>
      <w:r>
        <w:t>Skills, experience, certifications, education and bonus factors.</w:t>
      </w:r>
    </w:p>
    <w:p>
      <w:pPr>
        <w:pStyle w:val="Heading1"/>
      </w:pPr>
      <w:r>
        <w:t>Routing</w:t>
      </w:r>
    </w:p>
    <w:p>
      <w:r>
        <w:t>Main table routing and Under93 routing.</w:t>
      </w:r>
    </w:p>
    <w:p>
      <w:pPr>
        <w:pStyle w:val="Heading1"/>
      </w:pPr>
      <w:r>
        <w:t>Outputs</w:t>
      </w:r>
    </w:p>
    <w:p>
      <w:r>
        <w:t>Score, matched skills, missing skills, recommendations and cover letter triggers.</w:t>
      </w:r>
    </w:p>
    <w:p>
      <w:pPr>
        <w:pStyle w:val="Heading1"/>
      </w:pPr>
      <w:r>
        <w:t>Future AI</w:t>
      </w:r>
    </w:p>
    <w:p>
      <w:r>
        <w:t>Semantic matching, ranking and predictive hiring analytics.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