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13-CSV_IMPORT_DESIGN</w:t>
      </w:r>
    </w:p>
    <w:p>
      <w:pPr>
        <w:pStyle w:val="Heading1"/>
      </w:pPr>
      <w:r>
        <w:t>Import Framework</w:t>
      </w:r>
    </w:p>
    <w:p>
      <w:r>
        <w:t>Generic CSV ingestion framework with no fixed templates.</w:t>
      </w:r>
    </w:p>
    <w:p>
      <w:pPr>
        <w:pStyle w:val="Heading1"/>
      </w:pPr>
      <w:r>
        <w:t>Mapping Engine</w:t>
      </w:r>
    </w:p>
    <w:p>
      <w:r>
        <w:t>User-defined column mapping profiles.</w:t>
      </w:r>
    </w:p>
    <w:p>
      <w:pPr>
        <w:pStyle w:val="Heading1"/>
      </w:pPr>
      <w:r>
        <w:t>Validation</w:t>
      </w:r>
    </w:p>
    <w:p>
      <w:r>
        <w:t>Field validation, duplicate detection and error reporting.</w:t>
      </w:r>
    </w:p>
    <w:p>
      <w:pPr>
        <w:pStyle w:val="Heading1"/>
      </w:pPr>
      <w:r>
        <w:t>Audit</w:t>
      </w:r>
    </w:p>
    <w:p>
      <w:r>
        <w:t>Import history, reconciliation and rollback support.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