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15-REPORTING_DESIGN</w:t>
      </w:r>
    </w:p>
    <w:p>
      <w:pPr>
        <w:pStyle w:val="Heading1"/>
      </w:pPr>
      <w:r>
        <w:t>Operational Reporting</w:t>
      </w:r>
    </w:p>
    <w:p>
      <w:r>
        <w:t>Applications, interviews, offers and recruiter activity.</w:t>
      </w:r>
    </w:p>
    <w:p>
      <w:pPr>
        <w:pStyle w:val="Heading1"/>
      </w:pPr>
      <w:r>
        <w:t>Management Reporting</w:t>
      </w:r>
    </w:p>
    <w:p>
      <w:r>
        <w:t>Team productivity, conversion rates and hiring performance.</w:t>
      </w:r>
    </w:p>
    <w:p>
      <w:pPr>
        <w:pStyle w:val="Heading1"/>
      </w:pPr>
      <w:r>
        <w:t>Executive Reporting</w:t>
      </w:r>
    </w:p>
    <w:p>
      <w:r>
        <w:t>Strategic KPIs, trends and forecasting.</w:t>
      </w:r>
    </w:p>
    <w:p>
      <w:pPr>
        <w:pStyle w:val="Heading1"/>
      </w:pPr>
      <w:r>
        <w:t>Exports</w:t>
      </w:r>
    </w:p>
    <w:p>
      <w:r>
        <w:t>CSV, Excel and scheduled report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