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16-TEST_STRATEGY</w:t>
      </w:r>
    </w:p>
    <w:p>
      <w:pPr>
        <w:pStyle w:val="Heading1"/>
      </w:pPr>
      <w:r>
        <w:t>Testing Approach</w:t>
      </w:r>
    </w:p>
    <w:p>
      <w:r>
        <w:t>Unit, integration, feature, UAT and regression testing.</w:t>
      </w:r>
    </w:p>
    <w:p>
      <w:pPr>
        <w:pStyle w:val="Heading1"/>
      </w:pPr>
      <w:r>
        <w:t>Coverage</w:t>
      </w:r>
    </w:p>
    <w:p>
      <w:r>
        <w:t>ATS, CRM, AI, Reporting and Workflow modules.</w:t>
      </w:r>
    </w:p>
    <w:p>
      <w:pPr>
        <w:pStyle w:val="Heading1"/>
      </w:pPr>
      <w:r>
        <w:t>Automation</w:t>
      </w:r>
    </w:p>
    <w:p>
      <w:r>
        <w:t>CI/CD integrated automated test execution.</w:t>
      </w:r>
    </w:p>
    <w:p>
      <w:pPr>
        <w:pStyle w:val="Heading1"/>
      </w:pPr>
      <w:r>
        <w:t>Quality Gates</w:t>
      </w:r>
    </w:p>
    <w:p>
      <w:r>
        <w:t>Coverage thresholds, security scanning and release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