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ATS-Engine-System-Context-Diagram</w:t>
      </w:r>
    </w:p>
    <w:p>
      <w:pPr>
        <w:pStyle w:val="Heading1"/>
      </w:pPr>
      <w:r>
        <w:t>Page 1 – Architecture Asset</w:t>
      </w:r>
    </w:p>
    <w:p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S Engine 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Page 2 – High-Level Description</w:t>
      </w:r>
    </w:p>
    <w:p>
      <w:pPr>
        <w:pStyle w:val="Heading2"/>
      </w:pPr>
      <w:r>
        <w:t>Purpose</w:t>
      </w:r>
    </w:p>
    <w:p>
      <w:r>
        <w:t>Provide a high-level view of ATS Engine users, external systems, integrations, infrastructure, analytics, and security boundaries.</w:t>
      </w:r>
    </w:p>
    <w:p>
      <w:pPr>
        <w:pStyle w:val="Heading2"/>
      </w:pPr>
      <w:r>
        <w:t>Scope</w:t>
      </w:r>
    </w:p>
    <w:p>
      <w:r>
        <w:t>Defines the system boundary and major interactions between ATS Engine and external actors.</w:t>
      </w:r>
    </w:p>
    <w:p>
      <w:pPr>
        <w:pStyle w:val="Heading2"/>
      </w:pPr>
      <w:r>
        <w:t>Internal Actors</w:t>
      </w:r>
    </w:p>
    <w:p>
      <w:r>
        <w:t>Recruiters, Hiring Managers, Administrators, and operational users.</w:t>
      </w:r>
    </w:p>
    <w:p>
      <w:pPr>
        <w:pStyle w:val="Heading2"/>
      </w:pPr>
      <w:r>
        <w:t>External Actors</w:t>
      </w:r>
    </w:p>
    <w:p>
      <w:r>
        <w:t>Candidates and third-party consumers of ATS Engine services.</w:t>
      </w:r>
    </w:p>
    <w:p>
      <w:pPr>
        <w:pStyle w:val="Heading2"/>
      </w:pPr>
      <w:r>
        <w:t>Identity Providers</w:t>
      </w:r>
    </w:p>
    <w:p>
      <w:r>
        <w:t>Azure AD, Auth0, Google Workspace and other SSO providers.</w:t>
      </w:r>
    </w:p>
    <w:p>
      <w:pPr>
        <w:pStyle w:val="Heading2"/>
      </w:pPr>
      <w:r>
        <w:t>External Data Sources</w:t>
      </w:r>
    </w:p>
    <w:p>
      <w:r>
        <w:t>Job boards, professional networks, CV sources and imported datasets.</w:t>
      </w:r>
    </w:p>
    <w:p>
      <w:pPr>
        <w:pStyle w:val="Heading2"/>
      </w:pPr>
      <w:r>
        <w:t>Integrations</w:t>
      </w:r>
    </w:p>
    <w:p>
      <w:r>
        <w:t>CRM, communications, calendars, background screening and external APIs.</w:t>
      </w:r>
    </w:p>
    <w:p>
      <w:pPr>
        <w:pStyle w:val="Heading2"/>
      </w:pPr>
      <w:r>
        <w:t>Analytics &amp; Reporting</w:t>
      </w:r>
    </w:p>
    <w:p>
      <w:r>
        <w:t>BI tools, dashboards, AI/ML services and reporting exports.</w:t>
      </w:r>
    </w:p>
    <w:p>
      <w:pPr>
        <w:pStyle w:val="Heading2"/>
      </w:pPr>
      <w:r>
        <w:t>Infrastructure</w:t>
      </w:r>
    </w:p>
    <w:p>
      <w:r>
        <w:t>Cloud platform, storage, networking, monitoring and operational services.</w:t>
      </w:r>
    </w:p>
    <w:p>
      <w:pPr>
        <w:pStyle w:val="Heading2"/>
      </w:pPr>
      <w:r>
        <w:t>Security &amp; Compliance</w:t>
      </w:r>
    </w:p>
    <w:p>
      <w:r>
        <w:t>RBAC, tenant isolation, audit logging, encryption and compliance controls.</w:t>
      </w:r>
    </w:p>
    <w:p>
      <w:pPr>
        <w:pStyle w:val="Heading2"/>
      </w:pPr>
      <w:r>
        <w:t>Key Principles</w:t>
      </w:r>
    </w:p>
    <w:p>
      <w:r>
        <w:t>Security first, audit first, API first, multi-tenant by design and scalable architecture.</w:t>
      </w:r>
    </w:p>
    <w:p>
      <w:r>
        <w:br w:type="page"/>
      </w:r>
    </w:p>
    <w:p>
      <w:pPr>
        <w:pStyle w:val="Heading1"/>
      </w:pPr>
      <w:r>
        <w:t>Page 3 – Asset Governance &amp; Traceability</w:t>
      </w:r>
    </w:p>
    <w:p>
      <w:r>
        <w:br/>
        <w:t>Asset ID: ARCH-001</w:t>
        <w:br/>
        <w:br/>
        <w:t>Asset Name:</w:t>
        <w:br/>
        <w:t>ATS-Engine-System-Context-Diagram</w:t>
        <w:br/>
        <w:br/>
        <w:t>Status:</w:t>
        <w:br/>
        <w:t>Approved</w:t>
        <w:br/>
        <w:br/>
        <w:t>Referenced By:</w:t>
        <w:br/>
        <w:t>- ATS-Engine-Architecture-Canon.docx</w:t>
        <w:br/>
        <w:t>- ATS-Engine-High-Level-Design.docx</w:t>
        <w:br/>
        <w:t>- ATS-Engine-Low-Level-Design.docx</w:t>
        <w:br/>
        <w:t>- ATS-Engine-Security-Architecture.docx</w:t>
        <w:br/>
        <w:br/>
        <w:t>Owner:</w:t>
        <w:br/>
        <w:t>Architecture Team</w:t>
        <w:br/>
        <w:br/>
        <w:t>Diagram Standard:</w:t>
        <w:br/>
        <w:t>DR-001 through DR-016</w:t>
        <w:br/>
        <w:br/>
        <w:t>Purpose:</w:t>
        <w:br/>
        <w:t>Authoritative system context view for ATS Engine.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