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officeDocument/2006/relationships/extended-properties" Target="docProps/app.xml"/><Relationship Id="rId3" Type="http://schemas.openxmlformats.org/package/2006/relationships/metadata/core-properties" Target="docProps/core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body>
    <w:p>
      <w:pPr>
        <w:pStyle w:val="Heading1"/>
      </w:pPr>
      <w:r>
        <w:t xml:space="preserve">Modules</w:t>
      </w:r>
    </w:p>
    <w:p>
      <w:pPr>
        <w:pStyle w:val="Heading2"/>
      </w:pPr>
      <w:r>
        <w:t xml:space="preserve">Module map</w:t>
      </w:r>
    </w:p>
    <w:p>
      <w:pPr/>
      <w:r>
        <w:t xml:space="preserve">The platform has 28 modules in seven domains. Assets flow left to right from intake to deal flow; compliance gates the right-hand side, intelligence powers verification, and platform services run underneath everything.</w:t>
      </w:r>
    </w:p>
    <w:p>
      <w:pPr>
        <w:pStyle w:val="Code"/>
      </w:pPr>
      <w:bookmarkStart w:id="1" w:name="bongo_lang_mermaid_1"/>
      <w:bookmarkEnd w:id="1"/>
      <w:r>
        <w:t xml:space="preserve">flowchart LR</w:t>
        <w:br/>
        <w:t xml:space="preserve">    A["A Access and identity&lt;br/&gt;M01–M02"] --&gt; B["B Asset intake&lt;br/&gt;M03–M04"] --&gt; C["C Verification engine&lt;br/&gt;M05–M13"] --&gt; D["D Deal flow&lt;br/&gt;M14–M19"]</w:t>
        <w:br/>
        <w:t xml:space="preserve">    E["E Compliance and governance&lt;br/&gt;M20–M22"] -.-&gt;|gates every step| D</w:t>
        <w:br/>
        <w:t xml:space="preserve">    F["F Intelligence&lt;br/&gt;M23–M26"] -.-&gt;|AI, monitoring, country rules| C</w:t>
        <w:br/>
        <w:t xml:space="preserve">    G["G Platform services&lt;br/&gt;M27–M28"] -.-&gt;|runs underneath| A</w:t>
      </w:r>
    </w:p>
    <w:p>
      <w:pPr/>
      <w:r>
        <w:t xml:space="preserve">Domain C is the heart of the product: it is the part competitors find hardest to copy, because it depends on local experts, field teams and country rules.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w="3120" w:type="dxa"/>
            <w:shd w:val="clear" w:color="auto" w:fill="F2F2F2"/>
          </w:tcPr>
          <w:p>
            <w:pPr/>
            <w:r>
              <w:t xml:space="preserve">Domain</w:t>
            </w:r>
          </w:p>
        </w:tc>
        <w:tc>
          <w:tcPr>
            <w:tcW w:w="3120" w:type="dxa"/>
            <w:shd w:val="clear" w:color="auto" w:fill="F2F2F2"/>
          </w:tcPr>
          <w:p>
            <w:pPr/>
            <w:r>
              <w:t xml:space="preserve">Modules</w:t>
            </w:r>
          </w:p>
        </w:tc>
        <w:tc>
          <w:tcPr>
            <w:tcW w:w="3120" w:type="dxa"/>
            <w:shd w:val="clear" w:color="auto" w:fill="F2F2F2"/>
          </w:tcPr>
          <w:p>
            <w:pPr/>
            <w:r>
              <w:t xml:space="preserve">Main apps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A · Access and identity</w:t>
            </w:r>
          </w:p>
        </w:tc>
        <w:tc>
          <w:tcPr>
            <w:tcW w:w="3120" w:type="dxa"/>
          </w:tcPr>
          <w:p>
            <w:pPr/>
            <w:r>
              <w:t xml:space="preserve">M01 Identity and Access · M02 KYC, KYB and Screening</w:t>
            </w:r>
          </w:p>
        </w:tc>
        <w:tc>
          <w:tcPr>
            <w:tcW w:w="3120" w:type="dxa"/>
          </w:tcPr>
          <w:p>
            <w:pPr/>
            <w:r>
              <w:t xml:space="preserve">All five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B · Asset intake</w:t>
            </w:r>
          </w:p>
        </w:tc>
        <w:tc>
          <w:tcPr>
            <w:tcW w:w="3120" w:type="dxa"/>
          </w:tcPr>
          <w:p>
            <w:pPr/>
            <w:r>
              <w:t xml:space="preserve">M03 Asset Intake · M04 Evidence Vault</w:t>
            </w:r>
          </w:p>
        </w:tc>
        <w:tc>
          <w:tcPr>
            <w:tcW w:w="3120" w:type="dxa"/>
          </w:tcPr>
          <w:p>
            <w:pPr/>
            <w:r>
              <w:t xml:space="preserve">Owner App, Command Center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C · Verification engine</w:t>
            </w:r>
          </w:p>
        </w:tc>
        <w:tc>
          <w:tcPr>
            <w:tcW w:w="3120" w:type="dxa"/>
          </w:tcPr>
          <w:p>
            <w:pPr/>
            <w:r>
              <w:t xml:space="preserve">M05 Verification Orchestrator · M06 Title and Tenure · M07 Ownership and Integrity · M08 Geology and Resources · M09 ESG and Social Licence · M10 Geospatial Intelligence · M11 Field Verification · M12 Expert Network and Review · M13 Mine Passport</w:t>
            </w:r>
          </w:p>
        </w:tc>
        <w:tc>
          <w:tcPr>
            <w:tcW w:w="3120" w:type="dxa"/>
          </w:tcPr>
          <w:p>
            <w:pPr/>
            <w:r>
              <w:t xml:space="preserve">Command Center, Field App, Expert Desk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D · Deal flow</w:t>
            </w:r>
          </w:p>
        </w:tc>
        <w:tc>
          <w:tcPr>
            <w:tcW w:w="3120" w:type="dxa"/>
          </w:tcPr>
          <w:p>
            <w:pPr/>
            <w:r>
              <w:t xml:space="preserve">M14 Investor Qualification · M15 Verified Library (switched off at launch) · M16 Matching and Introductions · M17 NDA and Deal Rooms · M18 Investor Workspace · M19 Pipeline and CRM</w:t>
            </w:r>
          </w:p>
        </w:tc>
        <w:tc>
          <w:tcPr>
            <w:tcW w:w="3120" w:type="dxa"/>
          </w:tcPr>
          <w:p>
            <w:pPr/>
            <w:r>
              <w:t xml:space="preserve">Investor Portal, Command Center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E · Compliance and governance</w:t>
            </w:r>
          </w:p>
        </w:tc>
        <w:tc>
          <w:tcPr>
            <w:tcW w:w="3120" w:type="dxa"/>
          </w:tcPr>
          <w:p>
            <w:pPr/>
            <w:r>
              <w:t xml:space="preserve">M20 Compliance Rules and Counsel Escalation · M21 Engagements, Fees and Payouts · M22 Audit Trail and Records</w:t>
            </w:r>
          </w:p>
        </w:tc>
        <w:tc>
          <w:tcPr>
            <w:tcW w:w="3120" w:type="dxa"/>
          </w:tcPr>
          <w:p>
            <w:pPr/>
            <w:r>
              <w:t xml:space="preserve">Command Center; runs silently in every app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F · Intelligence</w:t>
            </w:r>
          </w:p>
        </w:tc>
        <w:tc>
          <w:tcPr>
            <w:tcW w:w="3120" w:type="dxa"/>
          </w:tcPr>
          <w:p>
            <w:pPr/>
            <w:r>
              <w:t xml:space="preserve">M23 AI Services and Copilots · M24 Monitoring and Alerts · M25 Jurisdiction and Market Intelligence · M26 Analytics and Reporting</w:t>
            </w:r>
          </w:p>
        </w:tc>
        <w:tc>
          <w:tcPr>
            <w:tcW w:w="3120" w:type="dxa"/>
          </w:tcPr>
          <w:p>
            <w:pPr/>
            <w:r>
              <w:t xml:space="preserve">Command Center, Investor Portal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G · Platform services</w:t>
            </w:r>
          </w:p>
        </w:tc>
        <w:tc>
          <w:tcPr>
            <w:tcW w:w="3120" w:type="dxa"/>
          </w:tcPr>
          <w:p>
            <w:pPr/>
            <w:r>
              <w:t xml:space="preserve">M27 Communications Hub · M28 Administration, Configuration and Integrations</w:t>
            </w:r>
          </w:p>
        </w:tc>
        <w:tc>
          <w:tcPr>
            <w:tcW w:w="3120" w:type="dxa"/>
          </w:tcPr>
          <w:p>
            <w:pPr/>
            <w:r>
              <w:t xml:space="preserve">All five</w:t>
            </w:r>
          </w:p>
        </w:tc>
      </w:tr>
    </w:tbl>
    <w:p>
      <w:pPr>
        <w:pStyle w:val="Heading2"/>
      </w:pPr>
      <w:r>
        <w:t xml:space="preserve">Catalogue, part 1: access, intake and verification</w:t>
      </w:r>
    </w:p>
    <w:p>
      <w:pPr/>
      <w:r>
        <w:t xml:space="preserve">Modules M01–M13 create trusted identities and turn a licence holder's paperwork into verified, evidence-linked claims. Phases refer to the build order at the end of this tab.</w:t>
      </w:r>
    </w:p>
    <w:p>
      <w:pPr>
        <w:pStyle w:val="Heading3"/>
      </w:pPr>
      <w:r>
        <w:t xml:space="preserve">M01 · Identity and Access</w:t>
      </w:r>
    </w:p>
    <w:p>
      <w:pPr/>
      <w:r>
        <w:t xml:space="preserve">One identity across all five apps, with organisations, roles and walls between parties who must not see each other.</w:t>
      </w:r>
    </w:p>
    <w:p>
      <w:pPr>
        <w:pStyle w:val="ListParagraph"/>
        <w:numPr>
          <w:ilvl w:val="0"/>
          <w:numId w:val="2"/>
        </w:numPr>
      </w:pPr>
      <w:r>
        <w:t xml:space="preserve">Phone or email sign-up for owners; invitation-only accounts for investors, experts and SSD staff</w:t>
      </w:r>
    </w:p>
    <w:p>
      <w:pPr>
        <w:pStyle w:val="ListParagraph"/>
        <w:numPr>
          <w:ilvl w:val="0"/>
          <w:numId w:val="2"/>
        </w:numPr>
      </w:pPr>
      <w:r>
        <w:t xml:space="preserve">Mandatory multi-factor sign-in for everyone except owners, where it is strongly encouraged; passkeys preferred</w:t>
      </w:r>
    </w:p>
    <w:p>
      <w:pPr>
        <w:pStyle w:val="ListParagraph"/>
        <w:numPr>
          <w:ilvl w:val="0"/>
          <w:numId w:val="2"/>
        </w:numPr>
      </w:pPr>
      <w:r>
        <w:t xml:space="preserve">Organisation accounts (company, fund, consultancy) with member roles</w:t>
      </w:r>
    </w:p>
    <w:p>
      <w:pPr>
        <w:pStyle w:val="ListParagraph"/>
        <w:numPr>
          <w:ilvl w:val="0"/>
          <w:numId w:val="2"/>
        </w:numPr>
      </w:pPr>
      <w:r>
        <w:t xml:space="preserve">Delegation: authorised representatives and SSD agents acting for an owner, each action confirmed by the owner</w:t>
      </w:r>
    </w:p>
    <w:p>
      <w:pPr>
        <w:pStyle w:val="ListParagraph"/>
        <w:numPr>
          <w:ilvl w:val="0"/>
          <w:numId w:val="2"/>
        </w:numPr>
      </w:pPr>
      <w:r>
        <w:t xml:space="preserve">Time-boxed guest access for experts and investor advisers</w:t>
      </w:r>
    </w:p>
    <w:p>
      <w:pPr>
        <w:pStyle w:val="ListParagraph"/>
        <w:numPr>
          <w:ilvl w:val="0"/>
          <w:numId w:val="2"/>
        </w:numPr>
      </w:pPr>
      <w:r>
        <w:t xml:space="preserve">Information barriers: investors never see each other; owners never see investor identities before an NDA</w:t>
      </w:r>
    </w:p>
    <w:p>
      <w:pPr/>
      <w:r>
        <w:t xml:space="preserve">Users: everyone · Apps: all five · Phase 1</w:t>
      </w:r>
    </w:p>
    <w:p>
      <w:pPr>
        <w:pStyle w:val="Heading3"/>
      </w:pPr>
      <w:r>
        <w:t xml:space="preserve">M02 · KYC, KYB and Screening</w:t>
      </w:r>
    </w:p>
    <w:p>
      <w:pPr/>
      <w:r>
        <w:t xml:space="preserve">Know who every person and company is before they touch anything sensitive, and keep checking.</w:t>
      </w:r>
    </w:p>
    <w:p>
      <w:pPr>
        <w:pStyle w:val="ListParagraph"/>
        <w:numPr>
          <w:ilvl w:val="0"/>
          <w:numId w:val="3"/>
        </w:numPr>
      </w:pPr>
      <w:r>
        <w:t xml:space="preserve">Identity checks for Kenyan IDs and passports, with liveness</w:t>
      </w:r>
    </w:p>
    <w:p>
      <w:pPr>
        <w:pStyle w:val="ListParagraph"/>
        <w:numPr>
          <w:ilvl w:val="0"/>
          <w:numId w:val="3"/>
        </w:numPr>
      </w:pPr>
      <w:r>
        <w:t xml:space="preserve">Company checks against the registry, and beneficial owners down to natural persons (Kenya's threshold is 10% (</w:t>
      </w:r>
      <w:hyperlink r:id="rId3" w:history="1">
        <w:r>
          <w:rPr>
            <w:rStyle w:val="Hyperlink"/>
          </w:rPr>
          <w:t xml:space="preserve">EY</w:t>
        </w:r>
      </w:hyperlink>
      <w:r>
        <w:t xml:space="preserve">))</w:t>
      </w:r>
    </w:p>
    <w:p>
      <w:pPr>
        <w:pStyle w:val="ListParagraph"/>
        <w:numPr>
          <w:ilvl w:val="0"/>
          <w:numId w:val="3"/>
        </w:numPr>
      </w:pPr>
      <w:r>
        <w:t xml:space="preserve">Sanctions, politically exposed person and adverse-media screening, including entities owned 50% or more by sanctioned persons</w:t>
      </w:r>
    </w:p>
    <w:p>
      <w:pPr>
        <w:pStyle w:val="ListParagraph"/>
        <w:numPr>
          <w:ilvl w:val="0"/>
          <w:numId w:val="3"/>
        </w:numPr>
      </w:pPr>
      <w:r>
        <w:t xml:space="preserve">Ongoing monitoring with automatic re-screening</w:t>
      </w:r>
    </w:p>
    <w:p>
      <w:pPr>
        <w:pStyle w:val="ListParagraph"/>
        <w:numPr>
          <w:ilvl w:val="0"/>
          <w:numId w:val="3"/>
        </w:numPr>
      </w:pPr>
      <w:r>
        <w:t xml:space="preserve">Risk rating and a review queue with two approvers for high-risk cases</w:t>
      </w:r>
    </w:p>
    <w:p>
      <w:pPr/>
      <w:r>
        <w:t xml:space="preserve">Users: P1–P3 and P12–P15 as subjects; P8, P9 as reviewers · Apps: Owner App, Investor Portal, Command Center · Phase 1</w:t>
      </w:r>
    </w:p>
    <w:p>
      <w:pPr>
        <w:pStyle w:val="Heading3"/>
      </w:pPr>
      <w:r>
        <w:t xml:space="preserve">M03 · Asset Intake</w:t>
      </w:r>
    </w:p>
    <w:p>
      <w:pPr/>
      <w:r>
        <w:t xml:space="preserve">Turn what a licence holder knows into a structured asset record.</w:t>
      </w:r>
    </w:p>
    <w:p>
      <w:pPr>
        <w:pStyle w:val="ListParagraph"/>
        <w:numPr>
          <w:ilvl w:val="0"/>
          <w:numId w:val="4"/>
        </w:numPr>
      </w:pPr>
      <w:r>
        <w:t xml:space="preserve">Guided wizard with save-and-resume, in English and Swahili</w:t>
      </w:r>
    </w:p>
    <w:p>
      <w:pPr>
        <w:pStyle w:val="ListParagraph"/>
        <w:numPr>
          <w:ilvl w:val="0"/>
          <w:numId w:val="4"/>
        </w:numPr>
      </w:pPr>
      <w:r>
        <w:t xml:space="preserve">Licence-number lookup against the national cadastre, then confirm the boundary on a map</w:t>
      </w:r>
    </w:p>
    <w:p>
      <w:pPr>
        <w:pStyle w:val="ListParagraph"/>
        <w:numPr>
          <w:ilvl w:val="0"/>
          <w:numId w:val="4"/>
        </w:numPr>
      </w:pPr>
      <w:r>
        <w:t xml:space="preserve">Licence types, commodities, stages and document checklists generated from the country's rule pack</w:t>
      </w:r>
    </w:p>
    <w:p>
      <w:pPr>
        <w:pStyle w:val="ListParagraph"/>
        <w:numPr>
          <w:ilvl w:val="0"/>
          <w:numId w:val="4"/>
        </w:numPr>
      </w:pPr>
      <w:r>
        <w:t xml:space="preserve">Ownership and mandate declarations; consent to verification and data processing</w:t>
      </w:r>
    </w:p>
    <w:p>
      <w:pPr>
        <w:pStyle w:val="ListParagraph"/>
        <w:numPr>
          <w:ilvl w:val="0"/>
          <w:numId w:val="4"/>
        </w:numPr>
      </w:pPr>
      <w:r>
        <w:t xml:space="preserve">Visibility setting: private, anonymous in the library, or named</w:t>
      </w:r>
    </w:p>
    <w:p>
      <w:pPr>
        <w:pStyle w:val="ListParagraph"/>
        <w:numPr>
          <w:ilvl w:val="0"/>
          <w:numId w:val="4"/>
        </w:numPr>
      </w:pPr>
      <w:r>
        <w:t xml:space="preserve">Assisted mode for SSD agents, with the owner confirming by one-time code</w:t>
      </w:r>
    </w:p>
    <w:p>
      <w:pPr>
        <w:pStyle w:val="ListParagraph"/>
        <w:numPr>
          <w:ilvl w:val="0"/>
          <w:numId w:val="4"/>
        </w:numPr>
      </w:pPr>
      <w:r>
        <w:t xml:space="preserve">Duplicate detection: the same licence submitted twice raises a fraud flag</w:t>
      </w:r>
    </w:p>
    <w:p>
      <w:pPr/>
      <w:r>
        <w:t xml:space="preserve">Users: P1, P2, P3, P8 · Apps: Owner App, Command Center · Phase 1</w:t>
      </w:r>
    </w:p>
    <w:p>
      <w:pPr>
        <w:pStyle w:val="Heading3"/>
      </w:pPr>
      <w:r>
        <w:t xml:space="preserve">M04 · Evidence Vault</w:t>
      </w:r>
    </w:p>
    <w:p>
      <w:pPr/>
      <w:r>
        <w:t xml:space="preserve">Store every document and photo once, with its provenance, so every claim can point to its proof.</w:t>
      </w:r>
    </w:p>
    <w:p>
      <w:pPr>
        <w:pStyle w:val="ListParagraph"/>
        <w:numPr>
          <w:ilvl w:val="0"/>
          <w:numId w:val="5"/>
        </w:numPr>
      </w:pPr>
      <w:r>
        <w:t xml:space="preserve">Resumable uploads over weak connections; phone-camera document capture with a blur check</w:t>
      </w:r>
    </w:p>
    <w:p>
      <w:pPr>
        <w:pStyle w:val="ListParagraph"/>
        <w:numPr>
          <w:ilvl w:val="0"/>
          <w:numId w:val="5"/>
        </w:numPr>
      </w:pPr>
      <w:r>
        <w:t xml:space="preserve">Automatic classification and field extraction</w:t>
      </w:r>
    </w:p>
    <w:p>
      <w:pPr>
        <w:pStyle w:val="ListParagraph"/>
        <w:numPr>
          <w:ilvl w:val="0"/>
          <w:numId w:val="5"/>
        </w:numPr>
      </w:pPr>
      <w:r>
        <w:t xml:space="preserve">Version history and a cryptographic fingerprint taken at upload</w:t>
      </w:r>
    </w:p>
    <w:p>
      <w:pPr>
        <w:pStyle w:val="ListParagraph"/>
        <w:numPr>
          <w:ilvl w:val="0"/>
          <w:numId w:val="5"/>
        </w:numPr>
      </w:pPr>
      <w:r>
        <w:t xml:space="preserve">Tamper signals: edited PDFs, odd metadata, photos reused from elsewhere</w:t>
      </w:r>
    </w:p>
    <w:p>
      <w:pPr>
        <w:pStyle w:val="ListParagraph"/>
        <w:numPr>
          <w:ilvl w:val="0"/>
          <w:numId w:val="5"/>
        </w:numPr>
      </w:pPr>
      <w:r>
        <w:t xml:space="preserve">Per-document access tied to disclosure level; watermark on every view</w:t>
      </w:r>
    </w:p>
    <w:p>
      <w:pPr>
        <w:pStyle w:val="ListParagraph"/>
        <w:numPr>
          <w:ilvl w:val="0"/>
          <w:numId w:val="5"/>
        </w:numPr>
      </w:pPr>
      <w:r>
        <w:t xml:space="preserve">Retention schedules and legal holds</w:t>
      </w:r>
    </w:p>
    <w:p>
      <w:pPr/>
      <w:r>
        <w:t xml:space="preserve">Users: everyone · Apps: all five · Phase 1</w:t>
      </w:r>
    </w:p>
    <w:p>
      <w:pPr>
        <w:pStyle w:val="Heading3"/>
      </w:pPr>
      <w:r>
        <w:t xml:space="preserve">M05 · Verification Orchestrator</w:t>
      </w:r>
    </w:p>
    <w:p>
      <w:pPr/>
      <w:r>
        <w:t xml:space="preserve">Generate and run the verification plan for each asset.</w:t>
      </w:r>
    </w:p>
    <w:p>
      <w:pPr>
        <w:pStyle w:val="ListParagraph"/>
        <w:numPr>
          <w:ilvl w:val="0"/>
          <w:numId w:val="6"/>
        </w:numPr>
      </w:pPr>
      <w:r>
        <w:t xml:space="preserve">Plan built from templates for country × commodity × stage × verification tier</w:t>
      </w:r>
    </w:p>
    <w:p>
      <w:pPr>
        <w:pStyle w:val="ListParagraph"/>
        <w:numPr>
          <w:ilvl w:val="0"/>
          <w:numId w:val="6"/>
        </w:numPr>
      </w:pPr>
      <w:r>
        <w:t xml:space="preserve">Workstreams, tasks, dependencies and assignees (analyst, expert, field)</w:t>
      </w:r>
    </w:p>
    <w:p>
      <w:pPr>
        <w:pStyle w:val="ListParagraph"/>
        <w:numPr>
          <w:ilvl w:val="0"/>
          <w:numId w:val="6"/>
        </w:numPr>
      </w:pPr>
      <w:r>
        <w:t xml:space="preserve">Deadlines, reminders and escalation when a task stalls</w:t>
      </w:r>
    </w:p>
    <w:p>
      <w:pPr>
        <w:pStyle w:val="ListParagraph"/>
        <w:numPr>
          <w:ilvl w:val="0"/>
          <w:numId w:val="6"/>
        </w:numPr>
      </w:pPr>
      <w:r>
        <w:t xml:space="preserve">Requests for information to the owner, with due dates, answered in the Owner App</w:t>
      </w:r>
    </w:p>
    <w:p>
      <w:pPr>
        <w:pStyle w:val="ListParagraph"/>
        <w:numPr>
          <w:ilvl w:val="0"/>
          <w:numId w:val="6"/>
        </w:numPr>
      </w:pPr>
      <w:r>
        <w:t xml:space="preserve">Automated checks queued and re-run when new evidence arrives</w:t>
      </w:r>
    </w:p>
    <w:p>
      <w:pPr/>
      <w:r>
        <w:t xml:space="preserve">Users: P8, P11; P1–P3 answer requests · Apps: Command Center, Owner App · Phase 1</w:t>
      </w:r>
    </w:p>
    <w:p>
      <w:pPr>
        <w:pStyle w:val="Heading3"/>
      </w:pPr>
      <w:r>
        <w:t xml:space="preserve">M06 · Title and Tenure</w:t>
      </w:r>
    </w:p>
    <w:p>
      <w:pPr/>
      <w:r>
        <w:t xml:space="preserve">Prove the licence exists, is valid, covers the claimed ground and can legally change hands.</w:t>
      </w:r>
    </w:p>
    <w:p>
      <w:pPr>
        <w:pStyle w:val="ListParagraph"/>
        <w:numPr>
          <w:ilvl w:val="0"/>
          <w:numId w:val="7"/>
        </w:numPr>
      </w:pPr>
      <w:r>
        <w:t xml:space="preserve">Cadastre lookup with captured evidence: source, timestamp, screenshot</w:t>
      </w:r>
    </w:p>
    <w:p>
      <w:pPr>
        <w:pStyle w:val="ListParagraph"/>
        <w:numPr>
          <w:ilvl w:val="0"/>
          <w:numId w:val="7"/>
        </w:numPr>
      </w:pPr>
      <w:r>
        <w:t xml:space="preserve">Status, expiry and renewal tracking</w:t>
      </w:r>
    </w:p>
    <w:p>
      <w:pPr>
        <w:pStyle w:val="ListParagraph"/>
        <w:numPr>
          <w:ilvl w:val="0"/>
          <w:numId w:val="7"/>
        </w:numPr>
      </w:pPr>
      <w:r>
        <w:t xml:space="preserve">Claimed boundary compared with the registered boundary; overlap with other licences</w:t>
      </w:r>
    </w:p>
    <w:p>
      <w:pPr>
        <w:pStyle w:val="ListParagraph"/>
        <w:numPr>
          <w:ilvl w:val="0"/>
          <w:numId w:val="7"/>
        </w:numPr>
      </w:pPr>
      <w:r>
        <w:t xml:space="preserve">Protected areas and forest reserves inside the boundary</w:t>
      </w:r>
    </w:p>
    <w:p>
      <w:pPr>
        <w:pStyle w:val="ListParagraph"/>
        <w:numPr>
          <w:ilvl w:val="0"/>
          <w:numId w:val="7"/>
        </w:numPr>
      </w:pPr>
      <w:r>
        <w:t xml:space="preserve">Required consents, such as Kenya's ministerial consent for transfers (</w:t>
      </w:r>
      <w:hyperlink r:id="rId4" w:history="1">
        <w:r>
          <w:rPr>
            <w:rStyle w:val="Hyperlink"/>
          </w:rPr>
          <w:t xml:space="preserve">Mining Act s.51</w:t>
        </w:r>
      </w:hyperlink>
      <w:r>
        <w:t xml:space="preserve">)</w:t>
      </w:r>
    </w:p>
    <w:p>
      <w:pPr>
        <w:pStyle w:val="ListParagraph"/>
        <w:numPr>
          <w:ilvl w:val="0"/>
          <w:numId w:val="7"/>
        </w:numPr>
      </w:pPr>
      <w:r>
        <w:t xml:space="preserve">Mortgages and other encumbrances; local counsel title-opinion workflow</w:t>
      </w:r>
    </w:p>
    <w:p>
      <w:pPr/>
      <w:r>
        <w:t xml:space="preserve">Users: P8, P6 · Apps: Command Center, Expert Desk · Phase 1</w:t>
      </w:r>
    </w:p>
    <w:p>
      <w:pPr>
        <w:pStyle w:val="Heading3"/>
      </w:pPr>
      <w:r>
        <w:t xml:space="preserve">M07 · Ownership and Integrity</w:t>
      </w:r>
    </w:p>
    <w:p>
      <w:pPr/>
      <w:r>
        <w:t xml:space="preserve">Know who really owns and controls the asset, and whether any of them is a red flag.</w:t>
      </w:r>
    </w:p>
    <w:p>
      <w:pPr>
        <w:pStyle w:val="ListParagraph"/>
        <w:numPr>
          <w:ilvl w:val="0"/>
          <w:numId w:val="8"/>
        </w:numPr>
      </w:pPr>
      <w:r>
        <w:t xml:space="preserve">Registry extracts and an ownership graph traced to natural persons</w:t>
      </w:r>
    </w:p>
    <w:p>
      <w:pPr>
        <w:pStyle w:val="ListParagraph"/>
        <w:numPr>
          <w:ilvl w:val="0"/>
          <w:numId w:val="8"/>
        </w:numPr>
      </w:pPr>
      <w:r>
        <w:t xml:space="preserve">Links to government officials and politically exposed persons (bribery risk)</w:t>
      </w:r>
    </w:p>
    <w:p>
      <w:pPr>
        <w:pStyle w:val="ListParagraph"/>
        <w:numPr>
          <w:ilvl w:val="0"/>
          <w:numId w:val="8"/>
        </w:numPr>
      </w:pPr>
      <w:r>
        <w:t xml:space="preserve">Sanctions exposure through ownership chains</w:t>
      </w:r>
    </w:p>
    <w:p>
      <w:pPr>
        <w:pStyle w:val="ListParagraph"/>
        <w:numPr>
          <w:ilvl w:val="0"/>
          <w:numId w:val="8"/>
        </w:numPr>
      </w:pPr>
      <w:r>
        <w:t xml:space="preserve">Multilingual adverse-media search, including local press</w:t>
      </w:r>
    </w:p>
    <w:p>
      <w:pPr>
        <w:pStyle w:val="ListParagraph"/>
        <w:numPr>
          <w:ilvl w:val="0"/>
          <w:numId w:val="8"/>
        </w:numPr>
      </w:pPr>
      <w:r>
        <w:t xml:space="preserve">Litigation searches and related-party mapping across directors and representatives</w:t>
      </w:r>
    </w:p>
    <w:p>
      <w:pPr/>
      <w:r>
        <w:t xml:space="preserve">Users: P8, P9, P6 · Apps: Command Center, Expert Desk · Phase 1</w:t>
      </w:r>
    </w:p>
    <w:p>
      <w:pPr>
        <w:pStyle w:val="Heading3"/>
      </w:pPr>
      <w:r>
        <w:t xml:space="preserve">M08 · Geology and Resources</w:t>
      </w:r>
    </w:p>
    <w:p>
      <w:pPr/>
      <w:r>
        <w:t xml:space="preserve">Establish what is in the ground and how confidently it is known.</w:t>
      </w:r>
    </w:p>
    <w:p>
      <w:pPr>
        <w:pStyle w:val="ListParagraph"/>
        <w:numPr>
          <w:ilvl w:val="0"/>
          <w:numId w:val="9"/>
        </w:numPr>
      </w:pPr>
      <w:r>
        <w:t xml:space="preserve">Structured technical folder: drillholes, assays, QA/QC, reports</w:t>
      </w:r>
    </w:p>
    <w:p>
      <w:pPr>
        <w:pStyle w:val="ListParagraph"/>
        <w:numPr>
          <w:ilvl w:val="0"/>
          <w:numId w:val="9"/>
        </w:numPr>
      </w:pPr>
      <w:r>
        <w:t xml:space="preserve">Reporting-code status: none, historical, JORC, NI 43-101, SAMREC or S-K 1300, with the signing Competent or Qualified Person</w:t>
      </w:r>
    </w:p>
    <w:p>
      <w:pPr>
        <w:pStyle w:val="ListParagraph"/>
        <w:numPr>
          <w:ilvl w:val="0"/>
          <w:numId w:val="9"/>
        </w:numPr>
      </w:pPr>
      <w:r>
        <w:t xml:space="preserve">Extraction of resource tables from reports</w:t>
      </w:r>
    </w:p>
    <w:p>
      <w:pPr>
        <w:pStyle w:val="ListParagraph"/>
        <w:numPr>
          <w:ilvl w:val="0"/>
          <w:numId w:val="9"/>
        </w:numPr>
      </w:pPr>
      <w:r>
        <w:t xml:space="preserve">Automated sanity checks: QA/QC sample rates, outlier grades against regional analogues, duplicated data</w:t>
      </w:r>
    </w:p>
    <w:p>
      <w:pPr>
        <w:pStyle w:val="ListParagraph"/>
        <w:numPr>
          <w:ilvl w:val="0"/>
          <w:numId w:val="9"/>
        </w:numPr>
      </w:pPr>
      <w:r>
        <w:t xml:space="preserve">Assay certificates cross-checked with the issuing laboratory</w:t>
      </w:r>
    </w:p>
    <w:p>
      <w:pPr>
        <w:pStyle w:val="ListParagraph"/>
        <w:numPr>
          <w:ilvl w:val="0"/>
          <w:numId w:val="9"/>
        </w:numPr>
      </w:pPr>
      <w:r>
        <w:t xml:space="preserve">Commodity checks, such as graphite flake size or radioactivity in rare-earth ores</w:t>
      </w:r>
    </w:p>
    <w:p>
      <w:pPr/>
      <w:r>
        <w:t xml:space="preserve">Users: P5, P8, P2 · Apps: Expert Desk, Command Center, Owner App · Phase 1 (desk review), Phase 3 (automated checks)</w:t>
      </w:r>
    </w:p>
    <w:p>
      <w:pPr>
        <w:pStyle w:val="Heading3"/>
      </w:pPr>
      <w:r>
        <w:t xml:space="preserve">M09 · ESG and Social Licence</w:t>
      </w:r>
    </w:p>
    <w:p>
      <w:pPr/>
      <w:r>
        <w:t xml:space="preserve">Surface environmental, social and governance risks before an investor finds them.</w:t>
      </w:r>
    </w:p>
    <w:p>
      <w:pPr>
        <w:pStyle w:val="ListParagraph"/>
        <w:numPr>
          <w:ilvl w:val="0"/>
          <w:numId w:val="10"/>
        </w:numPr>
      </w:pPr>
      <w:r>
        <w:t xml:space="preserve">Environmental licence status and conditions</w:t>
      </w:r>
    </w:p>
    <w:p>
      <w:pPr>
        <w:pStyle w:val="ListParagraph"/>
        <w:numPr>
          <w:ilvl w:val="0"/>
          <w:numId w:val="10"/>
        </w:numPr>
      </w:pPr>
      <w:r>
        <w:t xml:space="preserve">Community development agreements, land and resettlement</w:t>
      </w:r>
    </w:p>
    <w:p>
      <w:pPr>
        <w:pStyle w:val="ListParagraph"/>
        <w:numPr>
          <w:ilvl w:val="0"/>
          <w:numId w:val="10"/>
        </w:numPr>
      </w:pPr>
      <w:r>
        <w:t xml:space="preserve">Artisanal miners on site, security arrangements, human-rights risks</w:t>
      </w:r>
    </w:p>
    <w:p>
      <w:pPr>
        <w:pStyle w:val="ListParagraph"/>
        <w:numPr>
          <w:ilvl w:val="0"/>
          <w:numId w:val="10"/>
        </w:numPr>
      </w:pPr>
      <w:r>
        <w:t xml:space="preserve">Water, tailings, biodiversity, protected areas, sacred and heritage sites</w:t>
      </w:r>
    </w:p>
    <w:p>
      <w:pPr>
        <w:pStyle w:val="ListParagraph"/>
        <w:numPr>
          <w:ilvl w:val="0"/>
          <w:numId w:val="10"/>
        </w:numPr>
      </w:pPr>
      <w:r>
        <w:t xml:space="preserve">Conflict-minerals risk for tin, tantalum, tungsten and gold</w:t>
      </w:r>
    </w:p>
    <w:p>
      <w:pPr>
        <w:pStyle w:val="ListParagraph"/>
        <w:numPr>
          <w:ilvl w:val="0"/>
          <w:numId w:val="10"/>
        </w:numPr>
      </w:pPr>
      <w:r>
        <w:t xml:space="preserve">Findings mapped to IFC Performance Standards; consented, anonymised community input</w:t>
      </w:r>
    </w:p>
    <w:p>
      <w:pPr/>
      <w:r>
        <w:t xml:space="preserve">Users: P7, P4, P8 · Apps: Expert Desk, Field App, Command Center · Phase 1 (desk), Phase 2 (field)</w:t>
      </w:r>
    </w:p>
    <w:p>
      <w:pPr>
        <w:pStyle w:val="Heading3"/>
      </w:pPr>
      <w:r>
        <w:t xml:space="preserve">M10 · Geospatial Intelligence</w:t>
      </w:r>
    </w:p>
    <w:p>
      <w:pPr/>
      <w:r>
        <w:t xml:space="preserve">One map showing the licence, its surroundings and what has changed.</w:t>
      </w:r>
    </w:p>
    <w:p>
      <w:pPr>
        <w:pStyle w:val="ListParagraph"/>
        <w:numPr>
          <w:ilvl w:val="0"/>
          <w:numId w:val="11"/>
        </w:numPr>
      </w:pPr>
      <w:r>
        <w:t xml:space="preserve">Registered and claimed boundaries</w:t>
      </w:r>
    </w:p>
    <w:p>
      <w:pPr>
        <w:pStyle w:val="ListParagraph"/>
        <w:numPr>
          <w:ilvl w:val="0"/>
          <w:numId w:val="11"/>
        </w:numPr>
      </w:pPr>
      <w:r>
        <w:t xml:space="preserve">Layers: protected areas, settlements, water, roads, rail, power lines, ports</w:t>
      </w:r>
    </w:p>
    <w:p>
      <w:pPr>
        <w:pStyle w:val="ListParagraph"/>
        <w:numPr>
          <w:ilvl w:val="0"/>
          <w:numId w:val="11"/>
        </w:numPr>
      </w:pPr>
      <w:r>
        <w:t xml:space="preserve">Free satellite imagery by default, high-resolution imagery on demand</w:t>
      </w:r>
    </w:p>
    <w:p>
      <w:pPr>
        <w:pStyle w:val="ListParagraph"/>
        <w:numPr>
          <w:ilvl w:val="0"/>
          <w:numId w:val="11"/>
        </w:numPr>
      </w:pPr>
      <w:r>
        <w:t xml:space="preserve">Change detection: new ground disturbance suggests mining activity, often artisanal</w:t>
      </w:r>
    </w:p>
    <w:p>
      <w:pPr>
        <w:pStyle w:val="ListParagraph"/>
        <w:numPr>
          <w:ilvl w:val="0"/>
          <w:numId w:val="11"/>
        </w:numPr>
      </w:pPr>
      <w:r>
        <w:t xml:space="preserve">Distance to port, power and rail; KML and GeoJSON export</w:t>
      </w:r>
    </w:p>
    <w:p>
      <w:pPr/>
      <w:r>
        <w:t xml:space="preserve">Users: P8, P7, P4, P12, P13 · Apps: Command Center, Field App, Investor Portal · Phase 1 (map), Phase 3 (change detection)</w:t>
      </w:r>
    </w:p>
    <w:p>
      <w:pPr>
        <w:pStyle w:val="Heading3"/>
      </w:pPr>
      <w:r>
        <w:t xml:space="preserve">M11 · Field Verification</w:t>
      </w:r>
    </w:p>
    <w:p>
      <w:pPr/>
      <w:r>
        <w:t xml:space="preserve">Put trusted eyes on the ground and bring back evidence that is hard to fake.</w:t>
      </w:r>
    </w:p>
    <w:p>
      <w:pPr>
        <w:pStyle w:val="ListParagraph"/>
        <w:numPr>
          <w:ilvl w:val="0"/>
          <w:numId w:val="12"/>
        </w:numPr>
      </w:pPr>
      <w:r>
        <w:t xml:space="preserve">Visit planning and offline briefing packs</w:t>
      </w:r>
    </w:p>
    <w:p>
      <w:pPr>
        <w:pStyle w:val="ListParagraph"/>
        <w:numPr>
          <w:ilvl w:val="0"/>
          <w:numId w:val="12"/>
        </w:numPr>
      </w:pPr>
      <w:r>
        <w:t xml:space="preserve">Check-in only inside the licence boundary</w:t>
      </w:r>
    </w:p>
    <w:p>
      <w:pPr>
        <w:pStyle w:val="ListParagraph"/>
        <w:numPr>
          <w:ilvl w:val="0"/>
          <w:numId w:val="12"/>
        </w:numPr>
      </w:pPr>
      <w:r>
        <w:t xml:space="preserve">Checklists by site type and commodity</w:t>
      </w:r>
    </w:p>
    <w:p>
      <w:pPr>
        <w:pStyle w:val="ListParagraph"/>
        <w:numPr>
          <w:ilvl w:val="0"/>
          <w:numId w:val="12"/>
        </w:numPr>
      </w:pPr>
      <w:r>
        <w:t xml:space="preserve">In-app capture only, stamped with time, GPS, device and fingerprint</w:t>
      </w:r>
    </w:p>
    <w:p>
      <w:pPr>
        <w:pStyle w:val="ListParagraph"/>
        <w:numPr>
          <w:ilvl w:val="0"/>
          <w:numId w:val="12"/>
        </w:numPr>
      </w:pPr>
      <w:r>
        <w:t xml:space="preserve">Boundary beacons, workings, artisanal activity, equipment</w:t>
      </w:r>
    </w:p>
    <w:p>
      <w:pPr>
        <w:pStyle w:val="ListParagraph"/>
        <w:numPr>
          <w:ilvl w:val="0"/>
          <w:numId w:val="12"/>
        </w:numPr>
      </w:pPr>
      <w:r>
        <w:t xml:space="preserve">Sample chain of custody: IDs, seals, photos, courier handover, laboratory receipt</w:t>
      </w:r>
    </w:p>
    <w:p>
      <w:pPr>
        <w:pStyle w:val="ListParagraph"/>
        <w:numPr>
          <w:ilvl w:val="0"/>
          <w:numId w:val="12"/>
        </w:numPr>
      </w:pPr>
      <w:r>
        <w:t xml:space="preserve">Safety check-in timer and SOS; random repeat visits to audit verifiers</w:t>
      </w:r>
    </w:p>
    <w:p>
      <w:pPr/>
      <w:r>
        <w:t xml:space="preserve">Users: P4, P7, P8 · Apps: Field App, Command Center · Phase 1 (off-the-shelf mobile forms), Phase 2 (Field App)</w:t>
      </w:r>
    </w:p>
    <w:p>
      <w:pPr>
        <w:pStyle w:val="Heading3"/>
      </w:pPr>
      <w:r>
        <w:t xml:space="preserve">M12 · Expert Network and Review</w:t>
      </w:r>
    </w:p>
    <w:p>
      <w:pPr/>
      <w:r>
        <w:t xml:space="preserve">Bring credentialed independent experts in, scoped and accountable.</w:t>
      </w:r>
    </w:p>
    <w:p>
      <w:pPr>
        <w:pStyle w:val="ListParagraph"/>
        <w:numPr>
          <w:ilvl w:val="0"/>
          <w:numId w:val="13"/>
        </w:numPr>
      </w:pPr>
      <w:r>
        <w:t xml:space="preserve">Registry of experts with verified credentials and rates</w:t>
      </w:r>
    </w:p>
    <w:p>
      <w:pPr>
        <w:pStyle w:val="ListParagraph"/>
        <w:numPr>
          <w:ilvl w:val="0"/>
          <w:numId w:val="13"/>
        </w:numPr>
      </w:pPr>
      <w:r>
        <w:t xml:space="preserve">Assignment offers and conflict-of-interest declarations</w:t>
      </w:r>
    </w:p>
    <w:p>
      <w:pPr>
        <w:pStyle w:val="ListParagraph"/>
        <w:numPr>
          <w:ilvl w:val="0"/>
          <w:numId w:val="13"/>
        </w:numPr>
      </w:pPr>
      <w:r>
        <w:t xml:space="preserve">Access limited to one asset and one task, expiring automatically</w:t>
      </w:r>
    </w:p>
    <w:p>
      <w:pPr>
        <w:pStyle w:val="ListParagraph"/>
        <w:numPr>
          <w:ilvl w:val="0"/>
          <w:numId w:val="13"/>
        </w:numPr>
      </w:pPr>
      <w:r>
        <w:t xml:space="preserve">Structured templates: resource review, title opinion, environmental and social review</w:t>
      </w:r>
    </w:p>
    <w:p>
      <w:pPr>
        <w:pStyle w:val="ListParagraph"/>
        <w:numPr>
          <w:ilvl w:val="0"/>
          <w:numId w:val="13"/>
        </w:numPr>
      </w:pPr>
      <w:r>
        <w:t xml:space="preserve">Claim-by-claim comments and a signed opinion carrying the expert's credentials</w:t>
      </w:r>
    </w:p>
    <w:p>
      <w:pPr>
        <w:pStyle w:val="ListParagraph"/>
        <w:numPr>
          <w:ilvl w:val="0"/>
          <w:numId w:val="13"/>
        </w:numPr>
      </w:pPr>
      <w:r>
        <w:t xml:space="preserve">Quality ratings and payouts</w:t>
      </w:r>
    </w:p>
    <w:p>
      <w:pPr/>
      <w:r>
        <w:t xml:space="preserve">Users: P5, P6, P7, P8, P11 · Apps: Expert Desk, Command Center · Phase 1 (guest links), Phase 2 (Expert Desk)</w:t>
      </w:r>
    </w:p>
    <w:p>
      <w:pPr>
        <w:pStyle w:val="Heading3"/>
      </w:pPr>
      <w:r>
        <w:t xml:space="preserve">M13 · Mine Passport</w:t>
      </w:r>
    </w:p>
    <w:p>
      <w:pPr/>
      <w:r>
        <w:t xml:space="preserve">The product itself: a versioned dossier of verified claims, each linked to its evidence.</w:t>
      </w:r>
    </w:p>
    <w:p>
      <w:pPr>
        <w:pStyle w:val="ListParagraph"/>
        <w:numPr>
          <w:ilvl w:val="0"/>
          <w:numId w:val="14"/>
        </w:numPr>
      </w:pPr>
      <w:r>
        <w:t xml:space="preserve">Seven workstreams: title and tenure; ownership and control; integrity and sanctions; geology and resources; technical and infrastructure; environment and social; legal, fiscal and market access</w:t>
      </w:r>
    </w:p>
    <w:p>
      <w:pPr>
        <w:pStyle w:val="ListParagraph"/>
        <w:numPr>
          <w:ilvl w:val="0"/>
          <w:numId w:val="14"/>
        </w:numPr>
      </w:pPr>
      <w:r>
        <w:t xml:space="preserve">Red-flag register, evidence strength per claim, freshness and expiry dates</w:t>
      </w:r>
    </w:p>
    <w:p>
      <w:pPr>
        <w:pStyle w:val="ListParagraph"/>
        <w:numPr>
          <w:ilvl w:val="0"/>
          <w:numId w:val="14"/>
        </w:numPr>
      </w:pPr>
      <w:r>
        <w:t xml:space="preserve">Owner's right of reply before release; compliance release gate</w:t>
      </w:r>
    </w:p>
    <w:p>
      <w:pPr>
        <w:pStyle w:val="ListParagraph"/>
        <w:numPr>
          <w:ilvl w:val="0"/>
          <w:numId w:val="14"/>
        </w:numPr>
      </w:pPr>
      <w:r>
        <w:t xml:space="preserve">Views by disclosure level: library, teaser, full (after NDA)</w:t>
      </w:r>
    </w:p>
    <w:p>
      <w:pPr>
        <w:pStyle w:val="ListParagraph"/>
        <w:numPr>
          <w:ilvl w:val="0"/>
          <w:numId w:val="14"/>
        </w:numPr>
      </w:pPr>
      <w:r>
        <w:t xml:space="preserve">Version history, change log, watermarked PDF export</w:t>
      </w:r>
    </w:p>
    <w:p>
      <w:pPr/>
      <w:r>
        <w:t xml:space="preserve">Users: P8, P9, P1, P2, P12–P15 · Apps: Command Center, Investor Portal, Owner App (preview) · Phase 1 (internal and PDF), Phase 2 (online)</w:t>
      </w:r>
    </w:p>
    <w:p>
      <w:pPr>
        <w:pStyle w:val="Heading2"/>
      </w:pPr>
      <w:r>
        <w:t xml:space="preserve">Catalogue, part 2: deal flow, compliance, intelligence, platform</w:t>
      </w:r>
    </w:p>
    <w:p>
      <w:pPr/>
      <w:r>
        <w:t xml:space="preserve">Modules M14–M28 take a released passport to a qualified investor under control, keep it true afterwards, and run the whole system.</w:t>
      </w:r>
    </w:p>
    <w:p>
      <w:pPr>
        <w:pStyle w:val="Heading3"/>
      </w:pPr>
      <w:r>
        <w:t xml:space="preserve">M14 · Investor Qualification</w:t>
      </w:r>
    </w:p>
    <w:p>
      <w:pPr/>
      <w:r>
        <w:t xml:space="preserve">Establish, document and date the relationship before an investor sees anything about a specific opportunity.</w:t>
      </w:r>
    </w:p>
    <w:p>
      <w:pPr>
        <w:pStyle w:val="ListParagraph"/>
        <w:numPr>
          <w:ilvl w:val="0"/>
          <w:numId w:val="15"/>
        </w:numPr>
      </w:pPr>
      <w:r>
        <w:t xml:space="preserve">Private invitations from SSD partners; single-use registration links</w:t>
      </w:r>
    </w:p>
    <w:p>
      <w:pPr>
        <w:pStyle w:val="ListParagraph"/>
        <w:numPr>
          <w:ilvl w:val="0"/>
          <w:numId w:val="15"/>
        </w:numPr>
      </w:pPr>
      <w:r>
        <w:t xml:space="preserve">Identity and company checks through M02</w:t>
      </w:r>
    </w:p>
    <w:p>
      <w:pPr>
        <w:pStyle w:val="ListParagraph"/>
        <w:numPr>
          <w:ilvl w:val="0"/>
          <w:numId w:val="15"/>
        </w:numPr>
      </w:pPr>
      <w:r>
        <w:t xml:space="preserve">Questionnaire: investor type, experience, accreditation basis, investment mandate</w:t>
      </w:r>
    </w:p>
    <w:p>
      <w:pPr>
        <w:pStyle w:val="ListParagraph"/>
        <w:numPr>
          <w:ilvl w:val="0"/>
          <w:numId w:val="15"/>
        </w:numPr>
      </w:pPr>
      <w:r>
        <w:t xml:space="preserve">Relationship review record: who spoke to whom, when, how, and what was learned</w:t>
      </w:r>
    </w:p>
    <w:p>
      <w:pPr>
        <w:pStyle w:val="ListParagraph"/>
        <w:numPr>
          <w:ilvl w:val="0"/>
          <w:numId w:val="15"/>
        </w:numPr>
      </w:pPr>
      <w:r>
        <w:t xml:space="preserve">Qualification decision with a named approver; periodic re-qualification</w:t>
      </w:r>
    </w:p>
    <w:p>
      <w:pPr>
        <w:pStyle w:val="ListParagraph"/>
        <w:numPr>
          <w:ilvl w:val="0"/>
          <w:numId w:val="15"/>
        </w:numPr>
      </w:pPr>
      <w:r>
        <w:t xml:space="preserve">Mandate profile: commodities, countries, stage, ticket size, deal structures, ESG limits, product specifications</w:t>
      </w:r>
    </w:p>
    <w:p>
      <w:pPr/>
      <w:r>
        <w:t xml:space="preserve">Users: P10, P9, P12–P14 · Apps: Investor Portal, Command Center · Phase 2 (records kept in the Command Center from Phase 1)</w:t>
      </w:r>
    </w:p>
    <w:p>
      <w:pPr>
        <w:pStyle w:val="Heading3"/>
      </w:pPr>
      <w:r>
        <w:t xml:space="preserve">M15 · Verified Library</w:t>
      </w:r>
    </w:p>
    <w:p>
      <w:pPr/>
      <w:r>
        <w:t xml:space="preserve">Let qualified investors find verified assets themselves. Built in Phase 3, switched on only after counsel approves.</w:t>
      </w:r>
    </w:p>
    <w:p>
      <w:pPr>
        <w:pStyle w:val="ListParagraph"/>
        <w:numPr>
          <w:ilvl w:val="0"/>
          <w:numId w:val="16"/>
        </w:numPr>
      </w:pPr>
      <w:r>
        <w:t xml:space="preserve">Search and map over released passports at library level: facts and verification status, never terms or capital sought</w:t>
      </w:r>
    </w:p>
    <w:p>
      <w:pPr>
        <w:pStyle w:val="ListParagraph"/>
        <w:numPr>
          <w:ilvl w:val="0"/>
          <w:numId w:val="16"/>
        </w:numPr>
      </w:pPr>
      <w:r>
        <w:t xml:space="preserve">Investor-defined saved searches; no "recommended for you"</w:t>
      </w:r>
    </w:p>
    <w:p>
      <w:pPr>
        <w:pStyle w:val="ListParagraph"/>
        <w:numPr>
          <w:ilvl w:val="0"/>
          <w:numId w:val="16"/>
        </w:numPr>
      </w:pPr>
      <w:r>
        <w:t xml:space="preserve">Anonymous profiles by default; owners choose their visibility</w:t>
      </w:r>
    </w:p>
    <w:p>
      <w:pPr>
        <w:pStyle w:val="ListParagraph"/>
        <w:numPr>
          <w:ilvl w:val="0"/>
          <w:numId w:val="16"/>
        </w:numPr>
      </w:pPr>
      <w:r>
        <w:t xml:space="preserve">"Request an introduction" routes to SSD for review</w:t>
      </w:r>
    </w:p>
    <w:p>
      <w:pPr>
        <w:pStyle w:val="ListParagraph"/>
        <w:numPr>
          <w:ilvl w:val="0"/>
          <w:numId w:val="16"/>
        </w:numPr>
      </w:pPr>
      <w:r>
        <w:t xml:space="preserve">Access log and a kill switch</w:t>
      </w:r>
    </w:p>
    <w:p>
      <w:pPr/>
      <w:r>
        <w:t xml:space="preserve">Users: P12–P14; P1–P3 set visibility; P9, P11 control the switch · Apps: Investor Portal · Phase 3, off by default</w:t>
      </w:r>
    </w:p>
    <w:p>
      <w:pPr>
        <w:pStyle w:val="Heading3"/>
      </w:pPr>
      <w:r>
        <w:t xml:space="preserve">M16 · Matching and Introductions</w:t>
      </w:r>
    </w:p>
    <w:p>
      <w:pPr/>
      <w:r>
        <w:t xml:space="preserve">Pair assets with investors, then introduce them through one controlled, logged step.</w:t>
      </w:r>
    </w:p>
    <w:p>
      <w:pPr>
        <w:pStyle w:val="ListParagraph"/>
        <w:numPr>
          <w:ilvl w:val="0"/>
          <w:numId w:val="17"/>
        </w:numPr>
      </w:pPr>
      <w:r>
        <w:t xml:space="preserve">Fit suggestions from mandate against passport, visible only to SSD</w:t>
      </w:r>
    </w:p>
    <w:p>
      <w:pPr>
        <w:pStyle w:val="ListParagraph"/>
        <w:numPr>
          <w:ilvl w:val="0"/>
          <w:numId w:val="17"/>
        </w:numPr>
      </w:pPr>
      <w:r>
        <w:t xml:space="preserve">Analyst shortlist and partner approval</w:t>
      </w:r>
    </w:p>
    <w:p>
      <w:pPr>
        <w:pStyle w:val="ListParagraph"/>
        <w:numPr>
          <w:ilvl w:val="0"/>
          <w:numId w:val="17"/>
        </w:numPr>
      </w:pPr>
      <w:r>
        <w:t xml:space="preserve">Compliance gate: qualification predates the offer, disclosure level is right, no conflicts</w:t>
      </w:r>
    </w:p>
    <w:p>
      <w:pPr>
        <w:pStyle w:val="ListParagraph"/>
        <w:numPr>
          <w:ilvl w:val="0"/>
          <w:numId w:val="17"/>
        </w:numPr>
      </w:pPr>
      <w:r>
        <w:t xml:space="preserve">Anonymised teaser builder with language checks; owner approves the wording</w:t>
      </w:r>
    </w:p>
    <w:p>
      <w:pPr>
        <w:pStyle w:val="ListParagraph"/>
        <w:numPr>
          <w:ilvl w:val="0"/>
          <w:numId w:val="17"/>
        </w:numPr>
      </w:pPr>
      <w:r>
        <w:t xml:space="preserve">Send, then track opened, declined and interested; capture reasons for declining</w:t>
      </w:r>
    </w:p>
    <w:p>
      <w:pPr/>
      <w:r>
        <w:t xml:space="preserve">Users: P8, P10, P9; P1, P2 approve teasers; P12–P14 receive them · Apps: Command Center, Investor Portal, Owner App · Phase 2 (rules-based), Phase 4 (learned ranking)</w:t>
      </w:r>
    </w:p>
    <w:p>
      <w:pPr>
        <w:pStyle w:val="Heading3"/>
      </w:pPr>
      <w:r>
        <w:t xml:space="preserve">M17 · NDA and Deal Rooms</w:t>
      </w:r>
    </w:p>
    <w:p>
      <w:pPr/>
      <w:r>
        <w:t xml:space="preserve">Open the full file only under a signed NDA, and record every view.</w:t>
      </w:r>
    </w:p>
    <w:p>
      <w:pPr>
        <w:pStyle w:val="ListParagraph"/>
        <w:numPr>
          <w:ilvl w:val="0"/>
          <w:numId w:val="18"/>
        </w:numPr>
      </w:pPr>
      <w:r>
        <w:t xml:space="preserve">NDA templates and e-signature</w:t>
      </w:r>
    </w:p>
    <w:p>
      <w:pPr>
        <w:pStyle w:val="ListParagraph"/>
        <w:numPr>
          <w:ilvl w:val="0"/>
          <w:numId w:val="18"/>
        </w:numPr>
      </w:pPr>
      <w:r>
        <w:t xml:space="preserve">One deal room per asset–investor pair, with folder permissions and expiry</w:t>
      </w:r>
    </w:p>
    <w:p>
      <w:pPr>
        <w:pStyle w:val="ListParagraph"/>
        <w:numPr>
          <w:ilvl w:val="0"/>
          <w:numId w:val="18"/>
        </w:numPr>
      </w:pPr>
      <w:r>
        <w:t xml:space="preserve">Watermark on every page: viewer name, email, time</w:t>
      </w:r>
    </w:p>
    <w:p>
      <w:pPr>
        <w:pStyle w:val="ListParagraph"/>
        <w:numPr>
          <w:ilvl w:val="0"/>
          <w:numId w:val="18"/>
        </w:numPr>
      </w:pPr>
      <w:r>
        <w:t xml:space="preserve">View-only, print and download controls; view analytics</w:t>
      </w:r>
    </w:p>
    <w:p>
      <w:pPr>
        <w:pStyle w:val="ListParagraph"/>
        <w:numPr>
          <w:ilvl w:val="0"/>
          <w:numId w:val="18"/>
        </w:numPr>
      </w:pPr>
      <w:r>
        <w:t xml:space="preserve">Question-and-answer threads, moderated by SSD</w:t>
      </w:r>
    </w:p>
    <w:p>
      <w:pPr>
        <w:pStyle w:val="ListParagraph"/>
        <w:numPr>
          <w:ilvl w:val="0"/>
          <w:numId w:val="18"/>
        </w:numPr>
      </w:pPr>
      <w:r>
        <w:t xml:space="preserve">Adviser guest access, site-visit requests, close-out and revocation</w:t>
      </w:r>
    </w:p>
    <w:p>
      <w:pPr/>
      <w:r>
        <w:t xml:space="preserve">Users: P12–P15, P2, P8 · Apps: Investor Portal, Owner App, Command Center · Phase 2</w:t>
      </w:r>
    </w:p>
    <w:p>
      <w:pPr>
        <w:pStyle w:val="Heading3"/>
      </w:pPr>
      <w:r>
        <w:t xml:space="preserve">M18 · Investor Workspace</w:t>
      </w:r>
    </w:p>
    <w:p>
      <w:pPr/>
      <w:r>
        <w:t xml:space="preserve">A private place for each investor team to run its own diligence.</w:t>
      </w:r>
    </w:p>
    <w:p>
      <w:pPr>
        <w:pStyle w:val="ListParagraph"/>
        <w:numPr>
          <w:ilvl w:val="0"/>
          <w:numId w:val="19"/>
        </w:numPr>
      </w:pPr>
      <w:r>
        <w:t xml:space="preserve">Diligence checklist, private notes and findings, never visible to SSD or owners unless shared</w:t>
      </w:r>
    </w:p>
    <w:p>
      <w:pPr>
        <w:pStyle w:val="ListParagraph"/>
        <w:numPr>
          <w:ilvl w:val="0"/>
          <w:numId w:val="19"/>
        </w:numPr>
      </w:pPr>
      <w:r>
        <w:t xml:space="preserve">Side-by-side comparison of assets</w:t>
      </w:r>
    </w:p>
    <w:p>
      <w:pPr>
        <w:pStyle w:val="ListParagraph"/>
        <w:numPr>
          <w:ilvl w:val="0"/>
          <w:numId w:val="19"/>
        </w:numPr>
      </w:pPr>
      <w:r>
        <w:t xml:space="preserve">Exports: investment-committee pack as PDF, data as Excel</w:t>
      </w:r>
    </w:p>
    <w:p>
      <w:pPr>
        <w:pStyle w:val="ListParagraph"/>
        <w:numPr>
          <w:ilvl w:val="0"/>
          <w:numId w:val="19"/>
        </w:numPr>
      </w:pPr>
      <w:r>
        <w:t xml:space="preserve">Team management and watchlist</w:t>
      </w:r>
    </w:p>
    <w:p>
      <w:pPr/>
      <w:r>
        <w:t xml:space="preserve">Users: P12–P15 · Apps: Investor Portal · Phase 2 (basic), Phase 3 (compare and export)</w:t>
      </w:r>
    </w:p>
    <w:p>
      <w:pPr>
        <w:pStyle w:val="Heading3"/>
      </w:pPr>
      <w:r>
        <w:t xml:space="preserve">M19 · Pipeline and CRM</w:t>
      </w:r>
    </w:p>
    <w:p>
      <w:pPr/>
      <w:r>
        <w:t xml:space="preserve">See every asset and relationship moving through its stages.</w:t>
      </w:r>
    </w:p>
    <w:p>
      <w:pPr>
        <w:pStyle w:val="ListParagraph"/>
        <w:numPr>
          <w:ilvl w:val="0"/>
          <w:numId w:val="20"/>
        </w:numPr>
      </w:pPr>
      <w:r>
        <w:t xml:space="preserve">Boards for assets (submitted to released) and deals (introduced to closed or lost)</w:t>
      </w:r>
    </w:p>
    <w:p>
      <w:pPr>
        <w:pStyle w:val="ListParagraph"/>
        <w:numPr>
          <w:ilvl w:val="0"/>
          <w:numId w:val="20"/>
        </w:numPr>
      </w:pPr>
      <w:r>
        <w:t xml:space="preserve">Activity timeline and a log of emails and messages</w:t>
      </w:r>
    </w:p>
    <w:p>
      <w:pPr>
        <w:pStyle w:val="ListParagraph"/>
        <w:numPr>
          <w:ilvl w:val="0"/>
          <w:numId w:val="20"/>
        </w:numPr>
      </w:pPr>
      <w:r>
        <w:t xml:space="preserve">Tasks, reminders, relationship history, win and loss reasons</w:t>
      </w:r>
    </w:p>
    <w:p>
      <w:pPr/>
      <w:r>
        <w:t xml:space="preserve">Users: P8, P10 · Apps: Command Center · Phase 1 (basic), Phase 2</w:t>
      </w:r>
    </w:p>
    <w:p>
      <w:pPr>
        <w:pStyle w:val="Heading3"/>
      </w:pPr>
      <w:r>
        <w:t xml:space="preserve">M20 · Compliance Rules and Counsel Escalation</w:t>
      </w:r>
    </w:p>
    <w:p>
      <w:pPr/>
      <w:r>
        <w:t xml:space="preserve">Turn legal constraints into rules that run on every relevant action.</w:t>
      </w:r>
    </w:p>
    <w:p>
      <w:pPr>
        <w:pStyle w:val="ListParagraph"/>
        <w:numPr>
          <w:ilvl w:val="0"/>
          <w:numId w:val="21"/>
        </w:numPr>
      </w:pPr>
      <w:r>
        <w:t xml:space="preserve">Rule levels: hard stop, counsel review, warning, log only</w:t>
      </w:r>
    </w:p>
    <w:p>
      <w:pPr>
        <w:pStyle w:val="ListParagraph"/>
        <w:numPr>
          <w:ilvl w:val="0"/>
          <w:numId w:val="21"/>
        </w:numPr>
      </w:pPr>
      <w:r>
        <w:t xml:space="preserve">Rules as versioned configuration, each with test cases</w:t>
      </w:r>
    </w:p>
    <w:p>
      <w:pPr>
        <w:pStyle w:val="ListParagraph"/>
        <w:numPr>
          <w:ilvl w:val="0"/>
          <w:numId w:val="21"/>
        </w:numPr>
      </w:pPr>
      <w:r>
        <w:t xml:space="preserve">Evaluated on events: adding a fee, sending a teaser, sharing a document, inviting an investor</w:t>
      </w:r>
    </w:p>
    <w:p>
      <w:pPr>
        <w:pStyle w:val="ListParagraph"/>
        <w:numPr>
          <w:ilvl w:val="0"/>
          <w:numId w:val="21"/>
        </w:numPr>
      </w:pPr>
      <w:r>
        <w:t xml:space="preserve">Plain-English explanation of every hit, with the compliant alternative</w:t>
      </w:r>
    </w:p>
    <w:p>
      <w:pPr>
        <w:pStyle w:val="ListParagraph"/>
        <w:numPr>
          <w:ilvl w:val="0"/>
          <w:numId w:val="21"/>
        </w:numPr>
      </w:pPr>
      <w:r>
        <w:t xml:space="preserve">Escalation queue with deadlines; counsel dashboard; two-person approvals</w:t>
      </w:r>
    </w:p>
    <w:p>
      <w:pPr>
        <w:pStyle w:val="ListParagraph"/>
        <w:numPr>
          <w:ilvl w:val="0"/>
          <w:numId w:val="21"/>
        </w:numPr>
      </w:pPr>
      <w:r>
        <w:t xml:space="preserve">Screening of outgoing messages for promotional language such as "guaranteed returns"</w:t>
      </w:r>
    </w:p>
    <w:p>
      <w:pPr/>
      <w:r>
        <w:t xml:space="preserve">Users: P9, outside counsel, P8 · Apps: Command Center; enforced in every app · Phase 1</w:t>
      </w:r>
    </w:p>
    <w:p>
      <w:pPr>
        <w:pStyle w:val="Heading3"/>
      </w:pPr>
      <w:r>
        <w:t xml:space="preserve">M21 · Engagements, Fees and Payouts</w:t>
      </w:r>
    </w:p>
    <w:p>
      <w:pPr/>
      <w:r>
        <w:t xml:space="preserve">Money in and money out in one ledger, paid only in ways counsel has approved.</w:t>
      </w:r>
    </w:p>
    <w:p>
      <w:pPr>
        <w:pStyle w:val="ListParagraph"/>
        <w:numPr>
          <w:ilvl w:val="0"/>
          <w:numId w:val="22"/>
        </w:numPr>
      </w:pPr>
      <w:r>
        <w:t xml:space="preserve">Engagement letters from templates</w:t>
      </w:r>
    </w:p>
    <w:p>
      <w:pPr>
        <w:pStyle w:val="ListParagraph"/>
        <w:numPr>
          <w:ilvl w:val="0"/>
          <w:numId w:val="22"/>
        </w:numPr>
      </w:pPr>
      <w:r>
        <w:t xml:space="preserve">Fee schedule: verification tiers, investor subscriptions, fixed advisory fees</w:t>
      </w:r>
    </w:p>
    <w:p>
      <w:pPr>
        <w:pStyle w:val="ListParagraph"/>
        <w:numPr>
          <w:ilvl w:val="0"/>
          <w:numId w:val="22"/>
        </w:numPr>
      </w:pPr>
      <w:r>
        <w:t xml:space="preserve">Each fee line carries its trigger (date, milestone, deal closing); a closing trigger is a hard stop</w:t>
      </w:r>
    </w:p>
    <w:p>
      <w:pPr>
        <w:pStyle w:val="ListParagraph"/>
        <w:numPr>
          <w:ilvl w:val="0"/>
          <w:numId w:val="22"/>
        </w:numPr>
      </w:pPr>
      <w:r>
        <w:t xml:space="preserve">Invoices, card and ACH payments for US parties, M-Pesa for Kenyan parties</w:t>
      </w:r>
    </w:p>
    <w:p>
      <w:pPr>
        <w:pStyle w:val="ListParagraph"/>
        <w:numPr>
          <w:ilvl w:val="0"/>
          <w:numId w:val="22"/>
        </w:numPr>
      </w:pPr>
      <w:r>
        <w:t xml:space="preserve">Payouts to field verifiers and experts; fee disclosure to counterparties</w:t>
      </w:r>
    </w:p>
    <w:p>
      <w:pPr/>
      <w:r>
        <w:t xml:space="preserve">Users: P9, P10, P1, P2, P4–P7, P12–P14 · Apps: Command Center, Owner App, Investor Portal, Expert Desk · Phase 1 (fixed fees, invoices, M-Pesa and card)</w:t>
      </w:r>
    </w:p>
    <w:p>
      <w:pPr>
        <w:pStyle w:val="Heading3"/>
      </w:pPr>
      <w:r>
        <w:t xml:space="preserve">M22 · Audit Trail and Records</w:t>
      </w:r>
    </w:p>
    <w:p>
      <w:pPr/>
      <w:r>
        <w:t xml:space="preserve">Prove who did what, when and why, for at least six years.</w:t>
      </w:r>
    </w:p>
    <w:p>
      <w:pPr>
        <w:pStyle w:val="ListParagraph"/>
        <w:numPr>
          <w:ilvl w:val="0"/>
          <w:numId w:val="23"/>
        </w:numPr>
      </w:pPr>
      <w:r>
        <w:t xml:space="preserve">Append-only, hash-chained event log on write-once storage</w:t>
      </w:r>
    </w:p>
    <w:p>
      <w:pPr>
        <w:pStyle w:val="ListParagraph"/>
        <w:numPr>
          <w:ilvl w:val="0"/>
          <w:numId w:val="23"/>
        </w:numPr>
      </w:pPr>
      <w:r>
        <w:t xml:space="preserve">Covers sign-ins, views, downloads, approvals, rule results, AI outputs and configuration changes</w:t>
      </w:r>
    </w:p>
    <w:p>
      <w:pPr>
        <w:pStyle w:val="ListParagraph"/>
        <w:numPr>
          <w:ilvl w:val="0"/>
          <w:numId w:val="23"/>
        </w:numPr>
      </w:pPr>
      <w:r>
        <w:t xml:space="preserve">Retention schedules, legal holds, and a one-step export of any matter</w:t>
      </w:r>
    </w:p>
    <w:p>
      <w:pPr>
        <w:pStyle w:val="ListParagraph"/>
        <w:numPr>
          <w:ilvl w:val="0"/>
          <w:numId w:val="23"/>
        </w:numPr>
      </w:pPr>
      <w:r>
        <w:t xml:space="preserve">A tool that verifies the log has not been altered</w:t>
      </w:r>
    </w:p>
    <w:p>
      <w:pPr/>
      <w:r>
        <w:t xml:space="preserve">Users: P9, P11, outside counsel · Apps: Command Center · Phase 1</w:t>
      </w:r>
    </w:p>
    <w:p>
      <w:pPr>
        <w:pStyle w:val="Heading3"/>
      </w:pPr>
      <w:r>
        <w:t xml:space="preserve">M23 · AI Services and Copilots</w:t>
      </w:r>
    </w:p>
    <w:p>
      <w:pPr/>
      <w:r>
        <w:t xml:space="preserve">Shared AI capabilities that every module calls, always with citations and a person accountable.</w:t>
      </w:r>
    </w:p>
    <w:p>
      <w:pPr>
        <w:pStyle w:val="ListParagraph"/>
        <w:numPr>
          <w:ilvl w:val="0"/>
          <w:numId w:val="24"/>
        </w:numPr>
      </w:pPr>
      <w:r>
        <w:t xml:space="preserve">Document classification, field extraction, translation (English and Swahili first)</w:t>
      </w:r>
    </w:p>
    <w:p>
      <w:pPr>
        <w:pStyle w:val="ListParagraph"/>
        <w:numPr>
          <w:ilvl w:val="0"/>
          <w:numId w:val="24"/>
        </w:numPr>
      </w:pPr>
      <w:r>
        <w:t xml:space="preserve">Summaries in plain English for owners and non-technical investors</w:t>
      </w:r>
    </w:p>
    <w:p>
      <w:pPr>
        <w:pStyle w:val="ListParagraph"/>
        <w:numPr>
          <w:ilvl w:val="0"/>
          <w:numId w:val="24"/>
        </w:numPr>
      </w:pPr>
      <w:r>
        <w:t xml:space="preserve">Analyst copilot: ask questions of a passport and get cited answers</w:t>
      </w:r>
    </w:p>
    <w:p>
      <w:pPr>
        <w:pStyle w:val="ListParagraph"/>
        <w:numPr>
          <w:ilvl w:val="0"/>
          <w:numId w:val="24"/>
        </w:numPr>
      </w:pPr>
      <w:r>
        <w:t xml:space="preserve">Drafting of information requests and teasers, checked against compliance rules</w:t>
      </w:r>
    </w:p>
    <w:p>
      <w:pPr>
        <w:pStyle w:val="ListParagraph"/>
        <w:numPr>
          <w:ilvl w:val="0"/>
          <w:numId w:val="24"/>
        </w:numPr>
      </w:pPr>
      <w:r>
        <w:t xml:space="preserve">Voice-note transcription for owners and relationship notes</w:t>
      </w:r>
    </w:p>
    <w:p>
      <w:pPr>
        <w:pStyle w:val="ListParagraph"/>
        <w:numPr>
          <w:ilvl w:val="0"/>
          <w:numId w:val="24"/>
        </w:numPr>
      </w:pPr>
      <w:r>
        <w:t xml:space="preserve">Defences against instructions hidden inside uploaded documents</w:t>
      </w:r>
    </w:p>
    <w:p>
      <w:pPr/>
      <w:r>
        <w:t xml:space="preserve">Users: P8, P9, P1, P2, P5, P14 · Apps: all · Phase 1 (extraction, translation), Phase 2 (copilot), Phase 4 (internal match ranking and fraud models)</w:t>
      </w:r>
    </w:p>
    <w:p>
      <w:pPr>
        <w:pStyle w:val="Heading3"/>
      </w:pPr>
      <w:r>
        <w:t xml:space="preserve">M24 · Monitoring and Alerts</w:t>
      </w:r>
    </w:p>
    <w:p>
      <w:pPr/>
      <w:r>
        <w:t xml:space="preserve">Keep passports true after release.</w:t>
      </w:r>
    </w:p>
    <w:p>
      <w:pPr>
        <w:pStyle w:val="ListParagraph"/>
        <w:numPr>
          <w:ilvl w:val="0"/>
          <w:numId w:val="25"/>
        </w:numPr>
      </w:pPr>
      <w:r>
        <w:t xml:space="preserve">Watch rules per claim: licence expiry, registry changes, sanctions hits, adverse media, satellite-detected disturbance, new export rules</w:t>
      </w:r>
    </w:p>
    <w:p>
      <w:pPr>
        <w:pStyle w:val="ListParagraph"/>
        <w:numPr>
          <w:ilvl w:val="0"/>
          <w:numId w:val="25"/>
        </w:numPr>
      </w:pPr>
      <w:r>
        <w:t xml:space="preserve">Ageing evidence creates re-verification tasks automatically</w:t>
      </w:r>
    </w:p>
    <w:p>
      <w:pPr>
        <w:pStyle w:val="ListParagraph"/>
        <w:numPr>
          <w:ilvl w:val="0"/>
          <w:numId w:val="25"/>
        </w:numPr>
      </w:pPr>
      <w:r>
        <w:t xml:space="preserve">Investor watchlists and alerts; owner reminders for renewals</w:t>
      </w:r>
    </w:p>
    <w:p>
      <w:pPr>
        <w:pStyle w:val="ListParagraph"/>
        <w:numPr>
          <w:ilvl w:val="0"/>
          <w:numId w:val="25"/>
        </w:numPr>
      </w:pPr>
      <w:r>
        <w:t xml:space="preserve">A change log on every passport</w:t>
      </w:r>
    </w:p>
    <w:p>
      <w:pPr/>
      <w:r>
        <w:t xml:space="preserve">Users: P8, P12–P14, P1, P2 · Apps: Command Center, Investor Portal, Owner App · Phase 3</w:t>
      </w:r>
    </w:p>
    <w:p>
      <w:pPr>
        <w:pStyle w:val="Heading3"/>
      </w:pPr>
      <w:r>
        <w:t xml:space="preserve">M25 · Jurisdiction and Market Intelligence</w:t>
      </w:r>
    </w:p>
    <w:p>
      <w:pPr/>
      <w:r>
        <w:t xml:space="preserve">Hold each country's rules as configuration, so adding a country is content work, not code.</w:t>
      </w:r>
    </w:p>
    <w:p>
      <w:pPr>
        <w:pStyle w:val="ListParagraph"/>
        <w:numPr>
          <w:ilvl w:val="0"/>
          <w:numId w:val="26"/>
        </w:numPr>
      </w:pPr>
      <w:r>
        <w:t xml:space="preserve">Country packs: licence types and terms, consents, state participation, royalties, export rules, required documents, registry access methods, counsel panel</w:t>
      </w:r>
    </w:p>
    <w:p>
      <w:pPr>
        <w:pStyle w:val="ListParagraph"/>
        <w:numPr>
          <w:ilvl w:val="0"/>
          <w:numId w:val="26"/>
        </w:numPr>
      </w:pPr>
      <w:r>
        <w:t xml:space="preserve">Commodity packs with commodity-specific checks</w:t>
      </w:r>
    </w:p>
    <w:p>
      <w:pPr>
        <w:pStyle w:val="ListParagraph"/>
        <w:numPr>
          <w:ilvl w:val="0"/>
          <w:numId w:val="26"/>
        </w:numPr>
      </w:pPr>
      <w:r>
        <w:t xml:space="preserve">Versions with effective dates, reviewed by local counsel</w:t>
      </w:r>
    </w:p>
    <w:p>
      <w:pPr>
        <w:pStyle w:val="ListParagraph"/>
        <w:numPr>
          <w:ilvl w:val="0"/>
          <w:numId w:val="26"/>
        </w:numPr>
      </w:pPr>
      <w:r>
        <w:t xml:space="preserve">Watch for rule changes; commodity prices for reference only</w:t>
      </w:r>
    </w:p>
    <w:p>
      <w:pPr/>
      <w:r>
        <w:t xml:space="preserve">Users: P11, P6, P8; P12, P13 read summaries · Apps: Command Center, Investor Portal · Phase 1 (Kenya), Phase 3 (Tanzania, Zambia), Phase 4 (Uganda)</w:t>
      </w:r>
    </w:p>
    <w:p>
      <w:pPr>
        <w:pStyle w:val="Heading3"/>
      </w:pPr>
      <w:r>
        <w:t xml:space="preserve">M26 · Analytics and Reporting</w:t>
      </w:r>
    </w:p>
    <w:p>
      <w:pPr/>
      <w:r>
        <w:t xml:space="preserve">Measure the machine and how satisfied its users are.</w:t>
      </w:r>
    </w:p>
    <w:p>
      <w:pPr>
        <w:pStyle w:val="ListParagraph"/>
        <w:numPr>
          <w:ilvl w:val="0"/>
          <w:numId w:val="27"/>
        </w:numPr>
      </w:pPr>
      <w:r>
        <w:t xml:space="preserve">Operations: cycle times, missed deadlines, cost per passport</w:t>
      </w:r>
    </w:p>
    <w:p>
      <w:pPr>
        <w:pStyle w:val="ListParagraph"/>
        <w:numPr>
          <w:ilvl w:val="0"/>
          <w:numId w:val="27"/>
        </w:numPr>
      </w:pPr>
      <w:r>
        <w:t xml:space="preserve">Funnel: submission, release, introduction, NDA, deal</w:t>
      </w:r>
    </w:p>
    <w:p>
      <w:pPr>
        <w:pStyle w:val="ListParagraph"/>
        <w:numPr>
          <w:ilvl w:val="0"/>
          <w:numId w:val="27"/>
        </w:numPr>
      </w:pPr>
      <w:r>
        <w:t xml:space="preserve">Quality: claims later disputed or overturned</w:t>
      </w:r>
    </w:p>
    <w:p>
      <w:pPr>
        <w:pStyle w:val="ListParagraph"/>
        <w:numPr>
          <w:ilvl w:val="0"/>
          <w:numId w:val="27"/>
        </w:numPr>
      </w:pPr>
      <w:r>
        <w:t xml:space="preserve">Satisfaction surveys at defined moments; compliance indicators; export to BI tools</w:t>
      </w:r>
    </w:p>
    <w:p>
      <w:pPr/>
      <w:r>
        <w:t xml:space="preserve">Users: P8–P11 · Apps: Command Center · Phase 1 (operations), Phase 3 (full)</w:t>
      </w:r>
    </w:p>
    <w:p>
      <w:pPr>
        <w:pStyle w:val="Heading3"/>
      </w:pPr>
      <w:r>
        <w:t xml:space="preserve">M27 · Communications Hub</w:t>
      </w:r>
    </w:p>
    <w:p>
      <w:pPr/>
      <w:r>
        <w:t xml:space="preserve">Reach people on the channel they use, with one record of what was said.</w:t>
      </w:r>
    </w:p>
    <w:p>
      <w:pPr>
        <w:pStyle w:val="ListParagraph"/>
        <w:numPr>
          <w:ilvl w:val="0"/>
          <w:numId w:val="28"/>
        </w:numPr>
      </w:pPr>
      <w:r>
        <w:t xml:space="preserve">Email, SMS, WhatsApp and in-app messages</w:t>
      </w:r>
    </w:p>
    <w:p>
      <w:pPr>
        <w:pStyle w:val="ListParagraph"/>
        <w:numPr>
          <w:ilvl w:val="0"/>
          <w:numId w:val="28"/>
        </w:numPr>
      </w:pPr>
      <w:r>
        <w:t xml:space="preserve">Versioned, multilingual, compliance-approved templates</w:t>
      </w:r>
    </w:p>
    <w:p>
      <w:pPr>
        <w:pStyle w:val="ListParagraph"/>
        <w:numPr>
          <w:ilvl w:val="0"/>
          <w:numId w:val="28"/>
        </w:numPr>
      </w:pPr>
      <w:r>
        <w:t xml:space="preserve">Preferences, quiet hours, delivery tracking</w:t>
      </w:r>
    </w:p>
    <w:p>
      <w:pPr>
        <w:pStyle w:val="ListParagraph"/>
        <w:numPr>
          <w:ilvl w:val="0"/>
          <w:numId w:val="28"/>
        </w:numPr>
      </w:pPr>
      <w:r>
        <w:t xml:space="preserve">Documents sent by WhatsApp routed into the Evidence Vault; every message logged</w:t>
      </w:r>
    </w:p>
    <w:p>
      <w:pPr/>
      <w:r>
        <w:t xml:space="preserve">Users: everyone · Apps: all five · Phase 1 (email, SMS, a logged WhatsApp support line), Phase 3 (WhatsApp templates and document intake)</w:t>
      </w:r>
    </w:p>
    <w:p>
      <w:pPr>
        <w:pStyle w:val="Heading3"/>
      </w:pPr>
      <w:r>
        <w:t xml:space="preserve">M28 · Administration, Configuration and Integrations</w:t>
      </w:r>
    </w:p>
    <w:p>
      <w:pPr/>
      <w:r>
        <w:t xml:space="preserve">Run the platform without code changes.</w:t>
      </w:r>
    </w:p>
    <w:p>
      <w:pPr>
        <w:pStyle w:val="ListParagraph"/>
        <w:numPr>
          <w:ilvl w:val="0"/>
          <w:numId w:val="29"/>
        </w:numPr>
      </w:pPr>
      <w:r>
        <w:t xml:space="preserve">Users, roles, workflow and checklist templates</w:t>
      </w:r>
    </w:p>
    <w:p>
      <w:pPr>
        <w:pStyle w:val="ListParagraph"/>
        <w:numPr>
          <w:ilvl w:val="0"/>
          <w:numId w:val="29"/>
        </w:numPr>
      </w:pPr>
      <w:r>
        <w:t xml:space="preserve">Feature flags, including the posture switch that opens the library</w:t>
      </w:r>
    </w:p>
    <w:p>
      <w:pPr>
        <w:pStyle w:val="ListParagraph"/>
        <w:numPr>
          <w:ilvl w:val="0"/>
          <w:numId w:val="29"/>
        </w:numPr>
      </w:pPr>
      <w:r>
        <w:t xml:space="preserve">Integration keys, health and cost per check</w:t>
      </w:r>
    </w:p>
    <w:p>
      <w:pPr>
        <w:pStyle w:val="ListParagraph"/>
        <w:numPr>
          <w:ilvl w:val="0"/>
          <w:numId w:val="29"/>
        </w:numPr>
      </w:pPr>
      <w:r>
        <w:t xml:space="preserve">Configuration drafts, diffs, approvals and rollback</w:t>
      </w:r>
    </w:p>
    <w:p>
      <w:pPr/>
      <w:r>
        <w:t xml:space="preserve">Users: P11, P9 · Apps: Command Center · Phase 1</w:t>
      </w:r>
    </w:p>
    <w:p>
      <w:pPr>
        <w:pStyle w:val="Heading2"/>
      </w:pPr>
      <w:r>
        <w:t xml:space="preserve">Who uses what</w:t>
      </w:r>
    </w:p>
    <w:p>
      <w:pPr/>
      <w:r>
        <w:t xml:space="preserve">SSD staff touch 27 of the 28 modules, investors 17, owners 16 and verifiers 16. The walls matter as much as the doors: investors never touch supply-side intake, and owners never see the matching engine, only the teaser it produces.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1872"/>
        <w:gridCol w:w="1872"/>
        <w:gridCol w:w="1872"/>
        <w:gridCol w:w="1872"/>
        <w:gridCol w:w="1872"/>
      </w:tblGrid>
      <w:tr>
        <w:trPr>
          <w:tblHeader/>
        </w:trPr>
        <w:tc>
          <w:tcPr>
            <w:tcW w:w="1872" w:type="dxa"/>
            <w:shd w:val="clear" w:color="auto" w:fill="F2F2F2"/>
          </w:tcPr>
          <w:p>
            <w:pPr/>
            <w:r>
              <w:t xml:space="preserve">Module</w:t>
            </w:r>
          </w:p>
        </w:tc>
        <w:tc>
          <w:tcPr>
            <w:tcW w:w="1872" w:type="dxa"/>
            <w:shd w:val="clear" w:color="auto" w:fill="F2F2F2"/>
          </w:tcPr>
          <w:p>
            <w:pPr/>
            <w:r>
              <w:t xml:space="preserve">Supply (P1–P3)</w:t>
            </w:r>
          </w:p>
        </w:tc>
        <w:tc>
          <w:tcPr>
            <w:tcW w:w="1872" w:type="dxa"/>
            <w:shd w:val="clear" w:color="auto" w:fill="F2F2F2"/>
          </w:tcPr>
          <w:p>
            <w:pPr/>
            <w:r>
              <w:t xml:space="preserve">Verifiers (P4–P7)</w:t>
            </w:r>
          </w:p>
        </w:tc>
        <w:tc>
          <w:tcPr>
            <w:tcW w:w="1872" w:type="dxa"/>
            <w:shd w:val="clear" w:color="auto" w:fill="F2F2F2"/>
          </w:tcPr>
          <w:p>
            <w:pPr/>
            <w:r>
              <w:t xml:space="preserve">SSD (P8–P11)</w:t>
            </w:r>
          </w:p>
        </w:tc>
        <w:tc>
          <w:tcPr>
            <w:tcW w:w="1872" w:type="dxa"/>
            <w:shd w:val="clear" w:color="auto" w:fill="F2F2F2"/>
          </w:tcPr>
          <w:p>
            <w:pPr/>
            <w:r>
              <w:t xml:space="preserve">Investors (P12–P15)</w:t>
            </w:r>
          </w:p>
        </w:tc>
      </w:tr>
      <w:tr>
        <w:tc>
          <w:tcPr>
            <w:tcW w:w="1872" w:type="dxa"/>
          </w:tcPr>
          <w:p>
            <w:pPr/>
            <w:r>
              <w:t xml:space="preserve">M01 Identity and Access</w:t>
            </w:r>
          </w:p>
        </w:tc>
        <w:tc>
          <w:tcPr>
            <w:tcW w:w="1872" w:type="dxa"/>
          </w:tcPr>
          <w:p>
            <w:pPr/>
            <w:r>
              <w:t xml:space="preserve">P1–P3</w:t>
            </w:r>
          </w:p>
        </w:tc>
        <w:tc>
          <w:tcPr>
            <w:tcW w:w="1872" w:type="dxa"/>
          </w:tcPr>
          <w:p>
            <w:pPr/>
            <w:r>
              <w:t xml:space="preserve">P4–P7</w:t>
            </w:r>
          </w:p>
        </w:tc>
        <w:tc>
          <w:tcPr>
            <w:tcW w:w="1872" w:type="dxa"/>
          </w:tcPr>
          <w:p>
            <w:pPr/>
            <w:r>
              <w:t xml:space="preserve">P8–P11</w:t>
            </w:r>
          </w:p>
        </w:tc>
        <w:tc>
          <w:tcPr>
            <w:tcW w:w="1872" w:type="dxa"/>
          </w:tcPr>
          <w:p>
            <w:pPr/>
            <w:r>
              <w:t xml:space="preserve">P12–P15</w:t>
            </w:r>
          </w:p>
        </w:tc>
      </w:tr>
      <w:tr>
        <w:tc>
          <w:tcPr>
            <w:tcW w:w="1872" w:type="dxa"/>
          </w:tcPr>
          <w:p>
            <w:pPr/>
            <w:r>
              <w:t xml:space="preserve">M02 KYC, KYB and Screening</w:t>
            </w:r>
          </w:p>
        </w:tc>
        <w:tc>
          <w:tcPr>
            <w:tcW w:w="1872" w:type="dxa"/>
          </w:tcPr>
          <w:p>
            <w:pPr/>
            <w:r>
              <w:t xml:space="preserve">P1–P3 (checked)</w:t>
            </w:r>
          </w:p>
        </w:tc>
        <w:tc>
          <w:tcPr>
            <w:tcW w:w="1872" w:type="dxa"/>
          </w:tcPr>
          <w:p>
            <w:pPr/>
            <w:r>
              <w:t xml:space="preserve">P4–P7 (credentials checked)</w:t>
            </w:r>
          </w:p>
        </w:tc>
        <w:tc>
          <w:tcPr>
            <w:tcW w:w="1872" w:type="dxa"/>
          </w:tcPr>
          <w:p>
            <w:pPr/>
            <w:r>
              <w:t xml:space="preserve">P8, P9 (review)</w:t>
            </w:r>
          </w:p>
        </w:tc>
        <w:tc>
          <w:tcPr>
            <w:tcW w:w="1872" w:type="dxa"/>
          </w:tcPr>
          <w:p>
            <w:pPr/>
            <w:r>
              <w:t xml:space="preserve">P12–P15 (checked)</w:t>
            </w:r>
          </w:p>
        </w:tc>
      </w:tr>
      <w:tr>
        <w:tc>
          <w:tcPr>
            <w:tcW w:w="1872" w:type="dxa"/>
          </w:tcPr>
          <w:p>
            <w:pPr/>
            <w:r>
              <w:t xml:space="preserve">M03 Asset Intake</w:t>
            </w:r>
          </w:p>
        </w:tc>
        <w:tc>
          <w:tcPr>
            <w:tcW w:w="1872" w:type="dxa"/>
          </w:tcPr>
          <w:p>
            <w:pPr/>
            <w:r>
              <w:t xml:space="preserve">P1, P2, P3</w:t>
            </w:r>
          </w:p>
        </w:tc>
        <w:tc>
          <w:tcPr>
            <w:tcW w:w="1872" w:type="dxa"/>
          </w:tcPr>
          <w:p>
            <w:pPr/>
            <w:r>
              <w:t xml:space="preserve">—</w:t>
            </w:r>
          </w:p>
        </w:tc>
        <w:tc>
          <w:tcPr>
            <w:tcW w:w="1872" w:type="dxa"/>
          </w:tcPr>
          <w:p>
            <w:pPr/>
            <w:r>
              <w:t xml:space="preserve">P8</w:t>
            </w:r>
          </w:p>
        </w:tc>
        <w:tc>
          <w:tcPr>
            <w:tcW w:w="1872" w:type="dxa"/>
          </w:tcPr>
          <w:p>
            <w:pPr/>
            <w:r>
              <w:t xml:space="preserve">—</w:t>
            </w:r>
          </w:p>
        </w:tc>
      </w:tr>
      <w:tr>
        <w:tc>
          <w:tcPr>
            <w:tcW w:w="1872" w:type="dxa"/>
          </w:tcPr>
          <w:p>
            <w:pPr/>
            <w:r>
              <w:t xml:space="preserve">M04 Evidence Vault</w:t>
            </w:r>
          </w:p>
        </w:tc>
        <w:tc>
          <w:tcPr>
            <w:tcW w:w="1872" w:type="dxa"/>
          </w:tcPr>
          <w:p>
            <w:pPr/>
            <w:r>
              <w:t xml:space="preserve">P1–P3 (upload)</w:t>
            </w:r>
          </w:p>
        </w:tc>
        <w:tc>
          <w:tcPr>
            <w:tcW w:w="1872" w:type="dxa"/>
          </w:tcPr>
          <w:p>
            <w:pPr/>
            <w:r>
              <w:t xml:space="preserve">P4–P7 (upload, review)</w:t>
            </w:r>
          </w:p>
        </w:tc>
        <w:tc>
          <w:tcPr>
            <w:tcW w:w="1872" w:type="dxa"/>
          </w:tcPr>
          <w:p>
            <w:pPr/>
            <w:r>
              <w:t xml:space="preserve">P8, P9, P11</w:t>
            </w:r>
          </w:p>
        </w:tc>
        <w:tc>
          <w:tcPr>
            <w:tcW w:w="1872" w:type="dxa"/>
          </w:tcPr>
          <w:p>
            <w:pPr/>
            <w:r>
              <w:t xml:space="preserve">P12–P15 (view after NDA)</w:t>
            </w:r>
          </w:p>
        </w:tc>
      </w:tr>
      <w:tr>
        <w:tc>
          <w:tcPr>
            <w:tcW w:w="1872" w:type="dxa"/>
          </w:tcPr>
          <w:p>
            <w:pPr/>
            <w:r>
              <w:t xml:space="preserve">M05 Verification Orchestrator</w:t>
            </w:r>
          </w:p>
        </w:tc>
        <w:tc>
          <w:tcPr>
            <w:tcW w:w="1872" w:type="dxa"/>
          </w:tcPr>
          <w:p>
            <w:pPr/>
            <w:r>
              <w:t xml:space="preserve">P1–P3 (answer requests)</w:t>
            </w:r>
          </w:p>
        </w:tc>
        <w:tc>
          <w:tcPr>
            <w:tcW w:w="1872" w:type="dxa"/>
          </w:tcPr>
          <w:p>
            <w:pPr/>
            <w:r>
              <w:t xml:space="preserve">P4–P7 (tasks)</w:t>
            </w:r>
          </w:p>
        </w:tc>
        <w:tc>
          <w:tcPr>
            <w:tcW w:w="1872" w:type="dxa"/>
          </w:tcPr>
          <w:p>
            <w:pPr/>
            <w:r>
              <w:t xml:space="preserve">P8, P11</w:t>
            </w:r>
          </w:p>
        </w:tc>
        <w:tc>
          <w:tcPr>
            <w:tcW w:w="1872" w:type="dxa"/>
          </w:tcPr>
          <w:p>
            <w:pPr/>
            <w:r>
              <w:t xml:space="preserve">—</w:t>
            </w:r>
          </w:p>
        </w:tc>
      </w:tr>
      <w:tr>
        <w:tc>
          <w:tcPr>
            <w:tcW w:w="1872" w:type="dxa"/>
          </w:tcPr>
          <w:p>
            <w:pPr/>
            <w:r>
              <w:t xml:space="preserve">M06 Title and Tenure</w:t>
            </w:r>
          </w:p>
        </w:tc>
        <w:tc>
          <w:tcPr>
            <w:tcW w:w="1872" w:type="dxa"/>
          </w:tcPr>
          <w:p>
            <w:pPr/>
            <w:r>
              <w:t xml:space="preserve">—</w:t>
            </w:r>
          </w:p>
        </w:tc>
        <w:tc>
          <w:tcPr>
            <w:tcW w:w="1872" w:type="dxa"/>
          </w:tcPr>
          <w:p>
            <w:pPr/>
            <w:r>
              <w:t xml:space="preserve">P6</w:t>
            </w:r>
          </w:p>
        </w:tc>
        <w:tc>
          <w:tcPr>
            <w:tcW w:w="1872" w:type="dxa"/>
          </w:tcPr>
          <w:p>
            <w:pPr/>
            <w:r>
              <w:t xml:space="preserve">P8</w:t>
            </w:r>
          </w:p>
        </w:tc>
        <w:tc>
          <w:tcPr>
            <w:tcW w:w="1872" w:type="dxa"/>
          </w:tcPr>
          <w:p>
            <w:pPr/>
            <w:r>
              <w:t xml:space="preserve">—</w:t>
            </w:r>
          </w:p>
        </w:tc>
      </w:tr>
      <w:tr>
        <w:tc>
          <w:tcPr>
            <w:tcW w:w="1872" w:type="dxa"/>
          </w:tcPr>
          <w:p>
            <w:pPr/>
            <w:r>
              <w:t xml:space="preserve">M07 Ownership and Integrity</w:t>
            </w:r>
          </w:p>
        </w:tc>
        <w:tc>
          <w:tcPr>
            <w:tcW w:w="1872" w:type="dxa"/>
          </w:tcPr>
          <w:p>
            <w:pPr/>
            <w:r>
              <w:t xml:space="preserve">—</w:t>
            </w:r>
          </w:p>
        </w:tc>
        <w:tc>
          <w:tcPr>
            <w:tcW w:w="1872" w:type="dxa"/>
          </w:tcPr>
          <w:p>
            <w:pPr/>
            <w:r>
              <w:t xml:space="preserve">P6</w:t>
            </w:r>
          </w:p>
        </w:tc>
        <w:tc>
          <w:tcPr>
            <w:tcW w:w="1872" w:type="dxa"/>
          </w:tcPr>
          <w:p>
            <w:pPr/>
            <w:r>
              <w:t xml:space="preserve">P8, P9</w:t>
            </w:r>
          </w:p>
        </w:tc>
        <w:tc>
          <w:tcPr>
            <w:tcW w:w="1872" w:type="dxa"/>
          </w:tcPr>
          <w:p>
            <w:pPr/>
            <w:r>
              <w:t xml:space="preserve">—</w:t>
            </w:r>
          </w:p>
        </w:tc>
      </w:tr>
      <w:tr>
        <w:tc>
          <w:tcPr>
            <w:tcW w:w="1872" w:type="dxa"/>
          </w:tcPr>
          <w:p>
            <w:pPr/>
            <w:r>
              <w:t xml:space="preserve">M08 Geology and Resources</w:t>
            </w:r>
          </w:p>
        </w:tc>
        <w:tc>
          <w:tcPr>
            <w:tcW w:w="1872" w:type="dxa"/>
          </w:tcPr>
          <w:p>
            <w:pPr/>
            <w:r>
              <w:t xml:space="preserve">P2</w:t>
            </w:r>
          </w:p>
        </w:tc>
        <w:tc>
          <w:tcPr>
            <w:tcW w:w="1872" w:type="dxa"/>
          </w:tcPr>
          <w:p>
            <w:pPr/>
            <w:r>
              <w:t xml:space="preserve">P5</w:t>
            </w:r>
          </w:p>
        </w:tc>
        <w:tc>
          <w:tcPr>
            <w:tcW w:w="1872" w:type="dxa"/>
          </w:tcPr>
          <w:p>
            <w:pPr/>
            <w:r>
              <w:t xml:space="preserve">P8</w:t>
            </w:r>
          </w:p>
        </w:tc>
        <w:tc>
          <w:tcPr>
            <w:tcW w:w="1872" w:type="dxa"/>
          </w:tcPr>
          <w:p>
            <w:pPr/>
            <w:r>
              <w:t xml:space="preserve">P13, P15 (read)</w:t>
            </w:r>
          </w:p>
        </w:tc>
      </w:tr>
      <w:tr>
        <w:tc>
          <w:tcPr>
            <w:tcW w:w="1872" w:type="dxa"/>
          </w:tcPr>
          <w:p>
            <w:pPr/>
            <w:r>
              <w:t xml:space="preserve">M09 ESG and Social Licence</w:t>
            </w:r>
          </w:p>
        </w:tc>
        <w:tc>
          <w:tcPr>
            <w:tcW w:w="1872" w:type="dxa"/>
          </w:tcPr>
          <w:p>
            <w:pPr/>
            <w:r>
              <w:t xml:space="preserve">P1, P2 (respond)</w:t>
            </w:r>
          </w:p>
        </w:tc>
        <w:tc>
          <w:tcPr>
            <w:tcW w:w="1872" w:type="dxa"/>
          </w:tcPr>
          <w:p>
            <w:pPr/>
            <w:r>
              <w:t xml:space="preserve">P4, P7</w:t>
            </w:r>
          </w:p>
        </w:tc>
        <w:tc>
          <w:tcPr>
            <w:tcW w:w="1872" w:type="dxa"/>
          </w:tcPr>
          <w:p>
            <w:pPr/>
            <w:r>
              <w:t xml:space="preserve">P8</w:t>
            </w:r>
          </w:p>
        </w:tc>
        <w:tc>
          <w:tcPr>
            <w:tcW w:w="1872" w:type="dxa"/>
          </w:tcPr>
          <w:p>
            <w:pPr/>
            <w:r>
              <w:t xml:space="preserve">P12 (read)</w:t>
            </w:r>
          </w:p>
        </w:tc>
      </w:tr>
      <w:tr>
        <w:tc>
          <w:tcPr>
            <w:tcW w:w="1872" w:type="dxa"/>
          </w:tcPr>
          <w:p>
            <w:pPr/>
            <w:r>
              <w:t xml:space="preserve">M10 Geospatial Intelligence</w:t>
            </w:r>
          </w:p>
        </w:tc>
        <w:tc>
          <w:tcPr>
            <w:tcW w:w="1872" w:type="dxa"/>
          </w:tcPr>
          <w:p>
            <w:pPr/>
            <w:r>
              <w:t xml:space="preserve">P1–P3 (mark site)</w:t>
            </w:r>
          </w:p>
        </w:tc>
        <w:tc>
          <w:tcPr>
            <w:tcW w:w="1872" w:type="dxa"/>
          </w:tcPr>
          <w:p>
            <w:pPr/>
            <w:r>
              <w:t xml:space="preserve">P4, P7</w:t>
            </w:r>
          </w:p>
        </w:tc>
        <w:tc>
          <w:tcPr>
            <w:tcW w:w="1872" w:type="dxa"/>
          </w:tcPr>
          <w:p>
            <w:pPr/>
            <w:r>
              <w:t xml:space="preserve">P8</w:t>
            </w:r>
          </w:p>
        </w:tc>
        <w:tc>
          <w:tcPr>
            <w:tcW w:w="1872" w:type="dxa"/>
          </w:tcPr>
          <w:p>
            <w:pPr/>
            <w:r>
              <w:t xml:space="preserve">P12, P13, P15</w:t>
            </w:r>
          </w:p>
        </w:tc>
      </w:tr>
      <w:tr>
        <w:tc>
          <w:tcPr>
            <w:tcW w:w="1872" w:type="dxa"/>
          </w:tcPr>
          <w:p>
            <w:pPr/>
            <w:r>
              <w:t xml:space="preserve">M11 Field Verification</w:t>
            </w:r>
          </w:p>
        </w:tc>
        <w:tc>
          <w:tcPr>
            <w:tcW w:w="1872" w:type="dxa"/>
          </w:tcPr>
          <w:p>
            <w:pPr/>
            <w:r>
              <w:t xml:space="preserve">—</w:t>
            </w:r>
          </w:p>
        </w:tc>
        <w:tc>
          <w:tcPr>
            <w:tcW w:w="1872" w:type="dxa"/>
          </w:tcPr>
          <w:p>
            <w:pPr/>
            <w:r>
              <w:t xml:space="preserve">P4, P7</w:t>
            </w:r>
          </w:p>
        </w:tc>
        <w:tc>
          <w:tcPr>
            <w:tcW w:w="1872" w:type="dxa"/>
          </w:tcPr>
          <w:p>
            <w:pPr/>
            <w:r>
              <w:t xml:space="preserve">P8</w:t>
            </w:r>
          </w:p>
        </w:tc>
        <w:tc>
          <w:tcPr>
            <w:tcW w:w="1872" w:type="dxa"/>
          </w:tcPr>
          <w:p>
            <w:pPr/>
            <w:r>
              <w:t xml:space="preserve">—</w:t>
            </w:r>
          </w:p>
        </w:tc>
      </w:tr>
      <w:tr>
        <w:tc>
          <w:tcPr>
            <w:tcW w:w="1872" w:type="dxa"/>
          </w:tcPr>
          <w:p>
            <w:pPr/>
            <w:r>
              <w:t xml:space="preserve">M12 Expert Network and Review</w:t>
            </w:r>
          </w:p>
        </w:tc>
        <w:tc>
          <w:tcPr>
            <w:tcW w:w="1872" w:type="dxa"/>
          </w:tcPr>
          <w:p>
            <w:pPr/>
            <w:r>
              <w:t xml:space="preserve">—</w:t>
            </w:r>
          </w:p>
        </w:tc>
        <w:tc>
          <w:tcPr>
            <w:tcW w:w="1872" w:type="dxa"/>
          </w:tcPr>
          <w:p>
            <w:pPr/>
            <w:r>
              <w:t xml:space="preserve">P5, P6, P7</w:t>
            </w:r>
          </w:p>
        </w:tc>
        <w:tc>
          <w:tcPr>
            <w:tcW w:w="1872" w:type="dxa"/>
          </w:tcPr>
          <w:p>
            <w:pPr/>
            <w:r>
              <w:t xml:space="preserve">P8, P11</w:t>
            </w:r>
          </w:p>
        </w:tc>
        <w:tc>
          <w:tcPr>
            <w:tcW w:w="1872" w:type="dxa"/>
          </w:tcPr>
          <w:p>
            <w:pPr/>
            <w:r>
              <w:t xml:space="preserve">—</w:t>
            </w:r>
          </w:p>
        </w:tc>
      </w:tr>
      <w:tr>
        <w:tc>
          <w:tcPr>
            <w:tcW w:w="1872" w:type="dxa"/>
          </w:tcPr>
          <w:p>
            <w:pPr/>
            <w:r>
              <w:t xml:space="preserve">M13 Mine Passport</w:t>
            </w:r>
          </w:p>
        </w:tc>
        <w:tc>
          <w:tcPr>
            <w:tcW w:w="1872" w:type="dxa"/>
          </w:tcPr>
          <w:p>
            <w:pPr/>
            <w:r>
              <w:t xml:space="preserve">P1, P2 (preview, reply)</w:t>
            </w:r>
          </w:p>
        </w:tc>
        <w:tc>
          <w:tcPr>
            <w:tcW w:w="1872" w:type="dxa"/>
          </w:tcPr>
          <w:p>
            <w:pPr/>
            <w:r>
              <w:t xml:space="preserve">P5–P7 (sign-offs shown)</w:t>
            </w:r>
          </w:p>
        </w:tc>
        <w:tc>
          <w:tcPr>
            <w:tcW w:w="1872" w:type="dxa"/>
          </w:tcPr>
          <w:p>
            <w:pPr/>
            <w:r>
              <w:t xml:space="preserve">P8, P9, P10</w:t>
            </w:r>
          </w:p>
        </w:tc>
        <w:tc>
          <w:tcPr>
            <w:tcW w:w="1872" w:type="dxa"/>
          </w:tcPr>
          <w:p>
            <w:pPr/>
            <w:r>
              <w:t xml:space="preserve">P12–P15</w:t>
            </w:r>
          </w:p>
        </w:tc>
      </w:tr>
      <w:tr>
        <w:tc>
          <w:tcPr>
            <w:tcW w:w="1872" w:type="dxa"/>
          </w:tcPr>
          <w:p>
            <w:pPr/>
            <w:r>
              <w:t xml:space="preserve">M14 Investor Qualification</w:t>
            </w:r>
          </w:p>
        </w:tc>
        <w:tc>
          <w:tcPr>
            <w:tcW w:w="1872" w:type="dxa"/>
          </w:tcPr>
          <w:p>
            <w:pPr/>
            <w:r>
              <w:t xml:space="preserve">—</w:t>
            </w:r>
          </w:p>
        </w:tc>
        <w:tc>
          <w:tcPr>
            <w:tcW w:w="1872" w:type="dxa"/>
          </w:tcPr>
          <w:p>
            <w:pPr/>
            <w:r>
              <w:t xml:space="preserve">—</w:t>
            </w:r>
          </w:p>
        </w:tc>
        <w:tc>
          <w:tcPr>
            <w:tcW w:w="1872" w:type="dxa"/>
          </w:tcPr>
          <w:p>
            <w:pPr/>
            <w:r>
              <w:t xml:space="preserve">P9, P10</w:t>
            </w:r>
          </w:p>
        </w:tc>
        <w:tc>
          <w:tcPr>
            <w:tcW w:w="1872" w:type="dxa"/>
          </w:tcPr>
          <w:p>
            <w:pPr/>
            <w:r>
              <w:t xml:space="preserve">P12–P14</w:t>
            </w:r>
          </w:p>
        </w:tc>
      </w:tr>
      <w:tr>
        <w:tc>
          <w:tcPr>
            <w:tcW w:w="1872" w:type="dxa"/>
          </w:tcPr>
          <w:p>
            <w:pPr/>
            <w:r>
              <w:t xml:space="preserve">M15 Verified Library</w:t>
            </w:r>
          </w:p>
        </w:tc>
        <w:tc>
          <w:tcPr>
            <w:tcW w:w="1872" w:type="dxa"/>
          </w:tcPr>
          <w:p>
            <w:pPr/>
            <w:r>
              <w:t xml:space="preserve">P1–P3 (visibility)</w:t>
            </w:r>
          </w:p>
        </w:tc>
        <w:tc>
          <w:tcPr>
            <w:tcW w:w="1872" w:type="dxa"/>
          </w:tcPr>
          <w:p>
            <w:pPr/>
            <w:r>
              <w:t xml:space="preserve">—</w:t>
            </w:r>
          </w:p>
        </w:tc>
        <w:tc>
          <w:tcPr>
            <w:tcW w:w="1872" w:type="dxa"/>
          </w:tcPr>
          <w:p>
            <w:pPr/>
            <w:r>
              <w:t xml:space="preserve">P9, P11 (switch)</w:t>
            </w:r>
          </w:p>
        </w:tc>
        <w:tc>
          <w:tcPr>
            <w:tcW w:w="1872" w:type="dxa"/>
          </w:tcPr>
          <w:p>
            <w:pPr/>
            <w:r>
              <w:t xml:space="preserve">P12–P14</w:t>
            </w:r>
          </w:p>
        </w:tc>
      </w:tr>
      <w:tr>
        <w:tc>
          <w:tcPr>
            <w:tcW w:w="1872" w:type="dxa"/>
          </w:tcPr>
          <w:p>
            <w:pPr/>
            <w:r>
              <w:t xml:space="preserve">M16 Matching and Introductions</w:t>
            </w:r>
          </w:p>
        </w:tc>
        <w:tc>
          <w:tcPr>
            <w:tcW w:w="1872" w:type="dxa"/>
          </w:tcPr>
          <w:p>
            <w:pPr/>
            <w:r>
              <w:t xml:space="preserve">P1, P2 (approve teaser)</w:t>
            </w:r>
          </w:p>
        </w:tc>
        <w:tc>
          <w:tcPr>
            <w:tcW w:w="1872" w:type="dxa"/>
          </w:tcPr>
          <w:p>
            <w:pPr/>
            <w:r>
              <w:t xml:space="preserve">—</w:t>
            </w:r>
          </w:p>
        </w:tc>
        <w:tc>
          <w:tcPr>
            <w:tcW w:w="1872" w:type="dxa"/>
          </w:tcPr>
          <w:p>
            <w:pPr/>
            <w:r>
              <w:t xml:space="preserve">P8, P9, P10</w:t>
            </w:r>
          </w:p>
        </w:tc>
        <w:tc>
          <w:tcPr>
            <w:tcW w:w="1872" w:type="dxa"/>
          </w:tcPr>
          <w:p>
            <w:pPr/>
            <w:r>
              <w:t xml:space="preserve">P12–P14 (receive)</w:t>
            </w:r>
          </w:p>
        </w:tc>
      </w:tr>
      <w:tr>
        <w:tc>
          <w:tcPr>
            <w:tcW w:w="1872" w:type="dxa"/>
          </w:tcPr>
          <w:p>
            <w:pPr/>
            <w:r>
              <w:t xml:space="preserve">M17 NDA and Deal Rooms</w:t>
            </w:r>
          </w:p>
        </w:tc>
        <w:tc>
          <w:tcPr>
            <w:tcW w:w="1872" w:type="dxa"/>
          </w:tcPr>
          <w:p>
            <w:pPr/>
            <w:r>
              <w:t xml:space="preserve">P1, P2 (answer questions)</w:t>
            </w:r>
          </w:p>
        </w:tc>
        <w:tc>
          <w:tcPr>
            <w:tcW w:w="1872" w:type="dxa"/>
          </w:tcPr>
          <w:p>
            <w:pPr/>
            <w:r>
              <w:t xml:space="preserve">—</w:t>
            </w:r>
          </w:p>
        </w:tc>
        <w:tc>
          <w:tcPr>
            <w:tcW w:w="1872" w:type="dxa"/>
          </w:tcPr>
          <w:p>
            <w:pPr/>
            <w:r>
              <w:t xml:space="preserve">P8</w:t>
            </w:r>
          </w:p>
        </w:tc>
        <w:tc>
          <w:tcPr>
            <w:tcW w:w="1872" w:type="dxa"/>
          </w:tcPr>
          <w:p>
            <w:pPr/>
            <w:r>
              <w:t xml:space="preserve">P12–P15</w:t>
            </w:r>
          </w:p>
        </w:tc>
      </w:tr>
      <w:tr>
        <w:tc>
          <w:tcPr>
            <w:tcW w:w="1872" w:type="dxa"/>
          </w:tcPr>
          <w:p>
            <w:pPr/>
            <w:r>
              <w:t xml:space="preserve">M18 Investor Workspace</w:t>
            </w:r>
          </w:p>
        </w:tc>
        <w:tc>
          <w:tcPr>
            <w:tcW w:w="1872" w:type="dxa"/>
          </w:tcPr>
          <w:p>
            <w:pPr/>
            <w:r>
              <w:t xml:space="preserve">—</w:t>
            </w:r>
          </w:p>
        </w:tc>
        <w:tc>
          <w:tcPr>
            <w:tcW w:w="1872" w:type="dxa"/>
          </w:tcPr>
          <w:p>
            <w:pPr/>
            <w:r>
              <w:t xml:space="preserve">—</w:t>
            </w:r>
          </w:p>
        </w:tc>
        <w:tc>
          <w:tcPr>
            <w:tcW w:w="1872" w:type="dxa"/>
          </w:tcPr>
          <w:p>
            <w:pPr/>
            <w:r>
              <w:t xml:space="preserve">—</w:t>
            </w:r>
          </w:p>
        </w:tc>
        <w:tc>
          <w:tcPr>
            <w:tcW w:w="1872" w:type="dxa"/>
          </w:tcPr>
          <w:p>
            <w:pPr/>
            <w:r>
              <w:t xml:space="preserve">P12–P15</w:t>
            </w:r>
          </w:p>
        </w:tc>
      </w:tr>
      <w:tr>
        <w:tc>
          <w:tcPr>
            <w:tcW w:w="1872" w:type="dxa"/>
          </w:tcPr>
          <w:p>
            <w:pPr/>
            <w:r>
              <w:t xml:space="preserve">M19 Pipeline and CRM</w:t>
            </w:r>
          </w:p>
        </w:tc>
        <w:tc>
          <w:tcPr>
            <w:tcW w:w="1872" w:type="dxa"/>
          </w:tcPr>
          <w:p>
            <w:pPr/>
            <w:r>
              <w:t xml:space="preserve">—</w:t>
            </w:r>
          </w:p>
        </w:tc>
        <w:tc>
          <w:tcPr>
            <w:tcW w:w="1872" w:type="dxa"/>
          </w:tcPr>
          <w:p>
            <w:pPr/>
            <w:r>
              <w:t xml:space="preserve">—</w:t>
            </w:r>
          </w:p>
        </w:tc>
        <w:tc>
          <w:tcPr>
            <w:tcW w:w="1872" w:type="dxa"/>
          </w:tcPr>
          <w:p>
            <w:pPr/>
            <w:r>
              <w:t xml:space="preserve">P8, P10</w:t>
            </w:r>
          </w:p>
        </w:tc>
        <w:tc>
          <w:tcPr>
            <w:tcW w:w="1872" w:type="dxa"/>
          </w:tcPr>
          <w:p>
            <w:pPr/>
            <w:r>
              <w:t xml:space="preserve">—</w:t>
            </w:r>
          </w:p>
        </w:tc>
      </w:tr>
      <w:tr>
        <w:tc>
          <w:tcPr>
            <w:tcW w:w="1872" w:type="dxa"/>
          </w:tcPr>
          <w:p>
            <w:pPr/>
            <w:r>
              <w:t xml:space="preserve">M20 Compliance Rules and Escalation</w:t>
            </w:r>
          </w:p>
        </w:tc>
        <w:tc>
          <w:tcPr>
            <w:tcW w:w="1872" w:type="dxa"/>
          </w:tcPr>
          <w:p>
            <w:pPr/>
            <w:r>
              <w:t xml:space="preserve">—</w:t>
            </w:r>
          </w:p>
        </w:tc>
        <w:tc>
          <w:tcPr>
            <w:tcW w:w="1872" w:type="dxa"/>
          </w:tcPr>
          <w:p>
            <w:pPr/>
            <w:r>
              <w:t xml:space="preserve">—</w:t>
            </w:r>
          </w:p>
        </w:tc>
        <w:tc>
          <w:tcPr>
            <w:tcW w:w="1872" w:type="dxa"/>
          </w:tcPr>
          <w:p>
            <w:pPr/>
            <w:r>
              <w:t xml:space="preserve">P8, P9</w:t>
            </w:r>
          </w:p>
        </w:tc>
        <w:tc>
          <w:tcPr>
            <w:tcW w:w="1872" w:type="dxa"/>
          </w:tcPr>
          <w:p>
            <w:pPr/>
            <w:r>
              <w:t xml:space="preserve">—</w:t>
            </w:r>
          </w:p>
        </w:tc>
      </w:tr>
      <w:tr>
        <w:tc>
          <w:tcPr>
            <w:tcW w:w="1872" w:type="dxa"/>
          </w:tcPr>
          <w:p>
            <w:pPr/>
            <w:r>
              <w:t xml:space="preserve">M21 Engagements, Fees and Payouts</w:t>
            </w:r>
          </w:p>
        </w:tc>
        <w:tc>
          <w:tcPr>
            <w:tcW w:w="1872" w:type="dxa"/>
          </w:tcPr>
          <w:p>
            <w:pPr/>
            <w:r>
              <w:t xml:space="preserve">P1, P2 (sign, pay)</w:t>
            </w:r>
          </w:p>
        </w:tc>
        <w:tc>
          <w:tcPr>
            <w:tcW w:w="1872" w:type="dxa"/>
          </w:tcPr>
          <w:p>
            <w:pPr/>
            <w:r>
              <w:t xml:space="preserve">P4–P7 (get paid)</w:t>
            </w:r>
          </w:p>
        </w:tc>
        <w:tc>
          <w:tcPr>
            <w:tcW w:w="1872" w:type="dxa"/>
          </w:tcPr>
          <w:p>
            <w:pPr/>
            <w:r>
              <w:t xml:space="preserve">P9, P10</w:t>
            </w:r>
          </w:p>
        </w:tc>
        <w:tc>
          <w:tcPr>
            <w:tcW w:w="1872" w:type="dxa"/>
          </w:tcPr>
          <w:p>
            <w:pPr/>
            <w:r>
              <w:t xml:space="preserve">P12–P14 (subscribe)</w:t>
            </w:r>
          </w:p>
        </w:tc>
      </w:tr>
      <w:tr>
        <w:tc>
          <w:tcPr>
            <w:tcW w:w="1872" w:type="dxa"/>
          </w:tcPr>
          <w:p>
            <w:pPr/>
            <w:r>
              <w:t xml:space="preserve">M22 Audit Trail and Records</w:t>
            </w:r>
          </w:p>
        </w:tc>
        <w:tc>
          <w:tcPr>
            <w:tcW w:w="1872" w:type="dxa"/>
          </w:tcPr>
          <w:p>
            <w:pPr/>
            <w:r>
              <w:t xml:space="preserve">—</w:t>
            </w:r>
          </w:p>
        </w:tc>
        <w:tc>
          <w:tcPr>
            <w:tcW w:w="1872" w:type="dxa"/>
          </w:tcPr>
          <w:p>
            <w:pPr/>
            <w:r>
              <w:t xml:space="preserve">—</w:t>
            </w:r>
          </w:p>
        </w:tc>
        <w:tc>
          <w:tcPr>
            <w:tcW w:w="1872" w:type="dxa"/>
          </w:tcPr>
          <w:p>
            <w:pPr/>
            <w:r>
              <w:t xml:space="preserve">P9, P11</w:t>
            </w:r>
          </w:p>
        </w:tc>
        <w:tc>
          <w:tcPr>
            <w:tcW w:w="1872" w:type="dxa"/>
          </w:tcPr>
          <w:p>
            <w:pPr/>
            <w:r>
              <w:t xml:space="preserve">—</w:t>
            </w:r>
          </w:p>
        </w:tc>
      </w:tr>
      <w:tr>
        <w:tc>
          <w:tcPr>
            <w:tcW w:w="1872" w:type="dxa"/>
          </w:tcPr>
          <w:p>
            <w:pPr/>
            <w:r>
              <w:t xml:space="preserve">M23 AI Services and Copilots</w:t>
            </w:r>
          </w:p>
        </w:tc>
        <w:tc>
          <w:tcPr>
            <w:tcW w:w="1872" w:type="dxa"/>
          </w:tcPr>
          <w:p>
            <w:pPr/>
            <w:r>
              <w:t xml:space="preserve">P1, P2 (translate, voice)</w:t>
            </w:r>
          </w:p>
        </w:tc>
        <w:tc>
          <w:tcPr>
            <w:tcW w:w="1872" w:type="dxa"/>
          </w:tcPr>
          <w:p>
            <w:pPr/>
            <w:r>
              <w:t xml:space="preserve">P5 (data checks)</w:t>
            </w:r>
          </w:p>
        </w:tc>
        <w:tc>
          <w:tcPr>
            <w:tcW w:w="1872" w:type="dxa"/>
          </w:tcPr>
          <w:p>
            <w:pPr/>
            <w:r>
              <w:t xml:space="preserve">P8, P9</w:t>
            </w:r>
          </w:p>
        </w:tc>
        <w:tc>
          <w:tcPr>
            <w:tcW w:w="1872" w:type="dxa"/>
          </w:tcPr>
          <w:p>
            <w:pPr/>
            <w:r>
              <w:t xml:space="preserve">P14 (explain this)</w:t>
            </w:r>
          </w:p>
        </w:tc>
      </w:tr>
      <w:tr>
        <w:tc>
          <w:tcPr>
            <w:tcW w:w="1872" w:type="dxa"/>
          </w:tcPr>
          <w:p>
            <w:pPr/>
            <w:r>
              <w:t xml:space="preserve">M24 Monitoring and Alerts</w:t>
            </w:r>
          </w:p>
        </w:tc>
        <w:tc>
          <w:tcPr>
            <w:tcW w:w="1872" w:type="dxa"/>
          </w:tcPr>
          <w:p>
            <w:pPr/>
            <w:r>
              <w:t xml:space="preserve">P1, P2 (renewals)</w:t>
            </w:r>
          </w:p>
        </w:tc>
        <w:tc>
          <w:tcPr>
            <w:tcW w:w="1872" w:type="dxa"/>
          </w:tcPr>
          <w:p>
            <w:pPr/>
            <w:r>
              <w:t xml:space="preserve">—</w:t>
            </w:r>
          </w:p>
        </w:tc>
        <w:tc>
          <w:tcPr>
            <w:tcW w:w="1872" w:type="dxa"/>
          </w:tcPr>
          <w:p>
            <w:pPr/>
            <w:r>
              <w:t xml:space="preserve">P8</w:t>
            </w:r>
          </w:p>
        </w:tc>
        <w:tc>
          <w:tcPr>
            <w:tcW w:w="1872" w:type="dxa"/>
          </w:tcPr>
          <w:p>
            <w:pPr/>
            <w:r>
              <w:t xml:space="preserve">P12–P14</w:t>
            </w:r>
          </w:p>
        </w:tc>
      </w:tr>
      <w:tr>
        <w:tc>
          <w:tcPr>
            <w:tcW w:w="1872" w:type="dxa"/>
          </w:tcPr>
          <w:p>
            <w:pPr/>
            <w:r>
              <w:t xml:space="preserve">M25 Jurisdiction and Market Intelligence</w:t>
            </w:r>
          </w:p>
        </w:tc>
        <w:tc>
          <w:tcPr>
            <w:tcW w:w="1872" w:type="dxa"/>
          </w:tcPr>
          <w:p>
            <w:pPr/>
            <w:r>
              <w:t xml:space="preserve">—</w:t>
            </w:r>
          </w:p>
        </w:tc>
        <w:tc>
          <w:tcPr>
            <w:tcW w:w="1872" w:type="dxa"/>
          </w:tcPr>
          <w:p>
            <w:pPr/>
            <w:r>
              <w:t xml:space="preserve">P6 (review packs)</w:t>
            </w:r>
          </w:p>
        </w:tc>
        <w:tc>
          <w:tcPr>
            <w:tcW w:w="1872" w:type="dxa"/>
          </w:tcPr>
          <w:p>
            <w:pPr/>
            <w:r>
              <w:t xml:space="preserve">P8, P11</w:t>
            </w:r>
          </w:p>
        </w:tc>
        <w:tc>
          <w:tcPr>
            <w:tcW w:w="1872" w:type="dxa"/>
          </w:tcPr>
          <w:p>
            <w:pPr/>
            <w:r>
              <w:t xml:space="preserve">P12, P13 (read)</w:t>
            </w:r>
          </w:p>
        </w:tc>
      </w:tr>
      <w:tr>
        <w:tc>
          <w:tcPr>
            <w:tcW w:w="1872" w:type="dxa"/>
          </w:tcPr>
          <w:p>
            <w:pPr/>
            <w:r>
              <w:t xml:space="preserve">M26 Analytics and Reporting</w:t>
            </w:r>
          </w:p>
        </w:tc>
        <w:tc>
          <w:tcPr>
            <w:tcW w:w="1872" w:type="dxa"/>
          </w:tcPr>
          <w:p>
            <w:pPr/>
            <w:r>
              <w:t xml:space="preserve">—</w:t>
            </w:r>
          </w:p>
        </w:tc>
        <w:tc>
          <w:tcPr>
            <w:tcW w:w="1872" w:type="dxa"/>
          </w:tcPr>
          <w:p>
            <w:pPr/>
            <w:r>
              <w:t xml:space="preserve">—</w:t>
            </w:r>
          </w:p>
        </w:tc>
        <w:tc>
          <w:tcPr>
            <w:tcW w:w="1872" w:type="dxa"/>
          </w:tcPr>
          <w:p>
            <w:pPr/>
            <w:r>
              <w:t xml:space="preserve">P8–P11</w:t>
            </w:r>
          </w:p>
        </w:tc>
        <w:tc>
          <w:tcPr>
            <w:tcW w:w="1872" w:type="dxa"/>
          </w:tcPr>
          <w:p>
            <w:pPr/>
            <w:r>
              <w:t xml:space="preserve">—</w:t>
            </w:r>
          </w:p>
        </w:tc>
      </w:tr>
      <w:tr>
        <w:tc>
          <w:tcPr>
            <w:tcW w:w="1872" w:type="dxa"/>
          </w:tcPr>
          <w:p>
            <w:pPr/>
            <w:r>
              <w:t xml:space="preserve">M27 Communications Hub</w:t>
            </w:r>
          </w:p>
        </w:tc>
        <w:tc>
          <w:tcPr>
            <w:tcW w:w="1872" w:type="dxa"/>
          </w:tcPr>
          <w:p>
            <w:pPr/>
            <w:r>
              <w:t xml:space="preserve">P1–P3</w:t>
            </w:r>
          </w:p>
        </w:tc>
        <w:tc>
          <w:tcPr>
            <w:tcW w:w="1872" w:type="dxa"/>
          </w:tcPr>
          <w:p>
            <w:pPr/>
            <w:r>
              <w:t xml:space="preserve">P4–P7</w:t>
            </w:r>
          </w:p>
        </w:tc>
        <w:tc>
          <w:tcPr>
            <w:tcW w:w="1872" w:type="dxa"/>
          </w:tcPr>
          <w:p>
            <w:pPr/>
            <w:r>
              <w:t xml:space="preserve">P8–P11</w:t>
            </w:r>
          </w:p>
        </w:tc>
        <w:tc>
          <w:tcPr>
            <w:tcW w:w="1872" w:type="dxa"/>
          </w:tcPr>
          <w:p>
            <w:pPr/>
            <w:r>
              <w:t xml:space="preserve">P12–P15</w:t>
            </w:r>
          </w:p>
        </w:tc>
      </w:tr>
      <w:tr>
        <w:tc>
          <w:tcPr>
            <w:tcW w:w="1872" w:type="dxa"/>
          </w:tcPr>
          <w:p>
            <w:pPr/>
            <w:r>
              <w:t xml:space="preserve">M28 Administration and Configuration</w:t>
            </w:r>
          </w:p>
        </w:tc>
        <w:tc>
          <w:tcPr>
            <w:tcW w:w="1872" w:type="dxa"/>
          </w:tcPr>
          <w:p>
            <w:pPr/>
            <w:r>
              <w:t xml:space="preserve">—</w:t>
            </w:r>
          </w:p>
        </w:tc>
        <w:tc>
          <w:tcPr>
            <w:tcW w:w="1872" w:type="dxa"/>
          </w:tcPr>
          <w:p>
            <w:pPr/>
            <w:r>
              <w:t xml:space="preserve">—</w:t>
            </w:r>
          </w:p>
        </w:tc>
        <w:tc>
          <w:tcPr>
            <w:tcW w:w="1872" w:type="dxa"/>
          </w:tcPr>
          <w:p>
            <w:pPr/>
            <w:r>
              <w:t xml:space="preserve">P9, P11</w:t>
            </w:r>
          </w:p>
        </w:tc>
        <w:tc>
          <w:tcPr>
            <w:tcW w:w="1872" w:type="dxa"/>
          </w:tcPr>
          <w:p>
            <w:pPr/>
            <w:r>
              <w:t xml:space="preserve">—</w:t>
            </w:r>
          </w:p>
        </w:tc>
      </w:tr>
    </w:tbl>
    <w:p>
      <w:pPr/>
      <w:r>
        <w:t xml:space="preserve">Outside securities counsel works only in M20 and M22, through a read-only counsel queue.</w:t>
      </w:r>
    </w:p>
    <w:p>
      <w:pPr>
        <w:pStyle w:val="Heading2"/>
      </w:pPr>
      <w:r>
        <w:t xml:space="preserve">Build order</w:t>
      </w:r>
    </w:p>
    <w:p>
      <w:pPr/>
      <w:r>
        <w:t xml:space="preserve">Build verification first and deal flow second: a passport investors trust is the asset, and everything else distributes it. This reorders the original summary, which put the internal app first and all AI last; document AI is cheap and useful on day one, while predictive scoring needs data SSD does not yet have.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1872"/>
        <w:gridCol w:w="1872"/>
        <w:gridCol w:w="1872"/>
        <w:gridCol w:w="1872"/>
        <w:gridCol w:w="1872"/>
      </w:tblGrid>
      <w:tr>
        <w:trPr>
          <w:tblHeader/>
        </w:trPr>
        <w:tc>
          <w:tcPr>
            <w:tcW w:w="1872" w:type="dxa"/>
            <w:shd w:val="clear" w:color="auto" w:fill="F2F2F2"/>
          </w:tcPr>
          <w:p>
            <w:pPr/>
            <w:r>
              <w:t xml:space="preserve">Phase</w:t>
            </w:r>
          </w:p>
        </w:tc>
        <w:tc>
          <w:tcPr>
            <w:tcW w:w="1872" w:type="dxa"/>
            <w:shd w:val="clear" w:color="auto" w:fill="F2F2F2"/>
          </w:tcPr>
          <w:p>
            <w:pPr/>
            <w:r>
              <w:t xml:space="preserve">Window</w:t>
            </w:r>
          </w:p>
        </w:tc>
        <w:tc>
          <w:tcPr>
            <w:tcW w:w="1872" w:type="dxa"/>
            <w:shd w:val="clear" w:color="auto" w:fill="F2F2F2"/>
          </w:tcPr>
          <w:p>
            <w:pPr/>
            <w:r>
              <w:t xml:space="preserve">Ships</w:t>
            </w:r>
          </w:p>
        </w:tc>
        <w:tc>
          <w:tcPr>
            <w:tcW w:w="1872" w:type="dxa"/>
            <w:shd w:val="clear" w:color="auto" w:fill="F2F2F2"/>
          </w:tcPr>
          <w:p>
            <w:pPr/>
            <w:r>
              <w:t xml:space="preserve">Why now</w:t>
            </w:r>
          </w:p>
        </w:tc>
        <w:tc>
          <w:tcPr>
            <w:tcW w:w="1872" w:type="dxa"/>
            <w:shd w:val="clear" w:color="auto" w:fill="F2F2F2"/>
          </w:tcPr>
          <w:p>
            <w:pPr/>
            <w:r>
              <w:t xml:space="preserve">Exit criteria</w:t>
            </w:r>
          </w:p>
        </w:tc>
      </w:tr>
      <w:tr>
        <w:tc>
          <w:tcPr>
            <w:tcW w:w="1872" w:type="dxa"/>
          </w:tcPr>
          <w:p>
            <w:pPr/>
            <w:r>
              <w:t xml:space="preserve">0 · Concierge pilot</w:t>
            </w:r>
          </w:p>
        </w:tc>
        <w:tc>
          <w:tcPr>
            <w:tcW w:w="1872" w:type="dxa"/>
          </w:tcPr>
          <w:p>
            <w:pPr/>
            <w:r>
              <w:t xml:space="preserve">Weeks 0–8</w:t>
            </w:r>
          </w:p>
        </w:tc>
        <w:tc>
          <w:tcPr>
            <w:tcW w:w="1872" w:type="dxa"/>
          </w:tcPr>
          <w:p>
            <w:pPr/>
            <w:r>
              <w:t xml:space="preserve">No platform code beyond an intake form. SSD verifies 5–10 Kenyan assets by hand using the Kenya checklists; 3–5 investors SSD already knows review anonymised sample passports under NDA, after counsel's interim sign-off</w:t>
            </w:r>
          </w:p>
        </w:tc>
        <w:tc>
          <w:tcPr>
            <w:tcW w:w="1872" w:type="dxa"/>
          </w:tcPr>
          <w:p>
            <w:pPr/>
            <w:r>
              <w:t xml:space="preserve">Learn what investors read, what verification costs and where owners stall, before hard-coding it</w:t>
            </w:r>
          </w:p>
        </w:tc>
        <w:tc>
          <w:tcPr>
            <w:tcW w:w="1872" w:type="dxa"/>
          </w:tcPr>
          <w:p>
            <w:pPr/>
            <w:r>
              <w:t xml:space="preserve">5 passports; investor feedback on format; cost and days per passport measured; counsel memo on posture</w:t>
            </w:r>
          </w:p>
        </w:tc>
      </w:tr>
      <w:tr>
        <w:tc>
          <w:tcPr>
            <w:tcW w:w="1872" w:type="dxa"/>
          </w:tcPr>
          <w:p>
            <w:pPr/>
            <w:r>
              <w:t xml:space="preserve">1 · Verification MVP</w:t>
            </w:r>
          </w:p>
        </w:tc>
        <w:tc>
          <w:tcPr>
            <w:tcW w:w="1872" w:type="dxa"/>
          </w:tcPr>
          <w:p>
            <w:pPr/>
            <w:r>
              <w:t xml:space="preserve">Months 2–6</w:t>
            </w:r>
          </w:p>
        </w:tc>
        <w:tc>
          <w:tcPr>
            <w:tcW w:w="1872" w:type="dxa"/>
          </w:tcPr>
          <w:p>
            <w:pPr/>
            <w:r>
              <w:t xml:space="preserve">M01–M07; M08–M10 desk review and map; M11 via off-the-shelf mobile forms; M12 via guest links; M13 internal and PDF; M19 basic; M20 core rules; M21 fixed fees with M-Pesa and card; M22; M23 extraction and translation; M25 Kenya pack; M26 operations; M27 email, SMS and a logged WhatsApp support line; M28</w:t>
            </w:r>
          </w:p>
        </w:tc>
        <w:tc>
          <w:tcPr>
            <w:tcW w:w="1872" w:type="dxa"/>
          </w:tcPr>
          <w:p>
            <w:pPr/>
            <w:r>
              <w:t xml:space="preserve">The verification engine is the defensible core</w:t>
            </w:r>
          </w:p>
        </w:tc>
        <w:tc>
          <w:tcPr>
            <w:tcW w:w="1872" w:type="dxa"/>
          </w:tcPr>
          <w:p>
            <w:pPr/>
            <w:r>
              <w:t xml:space="preserve">20 passports released; median 30 days to a standard passport; no critical red flag found by an investor after release</w:t>
            </w:r>
          </w:p>
        </w:tc>
      </w:tr>
      <w:tr>
        <w:tc>
          <w:tcPr>
            <w:tcW w:w="1872" w:type="dxa"/>
          </w:tcPr>
          <w:p>
            <w:pPr/>
            <w:r>
              <w:t xml:space="preserve">2 · Gated deal flow</w:t>
            </w:r>
          </w:p>
        </w:tc>
        <w:tc>
          <w:tcPr>
            <w:tcW w:w="1872" w:type="dxa"/>
          </w:tcPr>
          <w:p>
            <w:pPr/>
            <w:r>
              <w:t xml:space="preserve">Months 6–9</w:t>
            </w:r>
          </w:p>
        </w:tc>
        <w:tc>
          <w:tcPr>
            <w:tcW w:w="1872" w:type="dxa"/>
          </w:tcPr>
          <w:p>
            <w:pPr/>
            <w:r>
              <w:t xml:space="preserve">M14; M16 rules-based; M17; M18 basic; online passports in the Investor Portal; native Field App; Expert Desk; M23 copilot</w:t>
            </w:r>
          </w:p>
        </w:tc>
        <w:tc>
          <w:tcPr>
            <w:tcW w:w="1872" w:type="dxa"/>
          </w:tcPr>
          <w:p>
            <w:pPr/>
            <w:r>
              <w:t xml:space="preserve">Open the demand side only once there is verified supply to show</w:t>
            </w:r>
          </w:p>
        </w:tc>
        <w:tc>
          <w:tcPr>
            <w:tcW w:w="1872" w:type="dxa"/>
          </w:tcPr>
          <w:p>
            <w:pPr/>
            <w:r>
              <w:t xml:space="preserve">10 qualified investors; 10 NDAs signed; counsel approval of all templates</w:t>
            </w:r>
          </w:p>
        </w:tc>
      </w:tr>
      <w:tr>
        <w:tc>
          <w:tcPr>
            <w:tcW w:w="1872" w:type="dxa"/>
          </w:tcPr>
          <w:p>
            <w:pPr/>
            <w:r>
              <w:t xml:space="preserve">3 · Scale and intelligence</w:t>
            </w:r>
          </w:p>
        </w:tc>
        <w:tc>
          <w:tcPr>
            <w:tcW w:w="1872" w:type="dxa"/>
          </w:tcPr>
          <w:p>
            <w:pPr/>
            <w:r>
              <w:t xml:space="preserve">Months 9–15</w:t>
            </w:r>
          </w:p>
        </w:tc>
        <w:tc>
          <w:tcPr>
            <w:tcW w:w="1872" w:type="dxa"/>
          </w:tcPr>
          <w:p>
            <w:pPr/>
            <w:r>
              <w:t xml:space="preserve">M24; M10 change detection; M08 automated checks; M15 built but switched off; M18 compare and export; M27 WhatsApp templates and document intake; M25 Tanzania and Zambia; M26 full</w:t>
            </w:r>
          </w:p>
        </w:tc>
        <w:tc>
          <w:tcPr>
            <w:tcW w:w="1872" w:type="dxa"/>
          </w:tcPr>
          <w:p>
            <w:pPr/>
            <w:r>
              <w:t xml:space="preserve">Keep passports fresh and widen coverage at low marginal cost</w:t>
            </w:r>
          </w:p>
        </w:tc>
        <w:tc>
          <w:tcPr>
            <w:tcW w:w="1872" w:type="dxa"/>
          </w:tcPr>
          <w:p>
            <w:pPr/>
            <w:r>
              <w:t xml:space="preserve">Three countries live; passports refresh automatically; security audit window open</w:t>
            </w:r>
          </w:p>
        </w:tc>
      </w:tr>
      <w:tr>
        <w:tc>
          <w:tcPr>
            <w:tcW w:w="1872" w:type="dxa"/>
          </w:tcPr>
          <w:p>
            <w:pPr/>
            <w:r>
              <w:t xml:space="preserve">4 · Network effects</w:t>
            </w:r>
          </w:p>
        </w:tc>
        <w:tc>
          <w:tcPr>
            <w:tcW w:w="1872" w:type="dxa"/>
          </w:tcPr>
          <w:p>
            <w:pPr/>
            <w:r>
              <w:t xml:space="preserve">Month 15 onward</w:t>
            </w:r>
          </w:p>
        </w:tc>
        <w:tc>
          <w:tcPr>
            <w:tcW w:w="1872" w:type="dxa"/>
          </w:tcPr>
          <w:p>
            <w:pPr/>
            <w:r>
              <w:t xml:space="preserve">Learned match ranking (internal only), anomaly models trained on SSD's own history, partner API for lenders and data partners, Uganda and more countries</w:t>
            </w:r>
          </w:p>
        </w:tc>
        <w:tc>
          <w:tcPr>
            <w:tcW w:w="1872" w:type="dxa"/>
          </w:tcPr>
          <w:p>
            <w:pPr/>
            <w:r>
              <w:t xml:space="preserve">Only now is there enough history to learn from</w:t>
            </w:r>
          </w:p>
        </w:tc>
        <w:tc>
          <w:tcPr>
            <w:tcW w:w="1872" w:type="dxa"/>
          </w:tcPr>
          <w:p>
            <w:pPr/>
            <w:r>
              <w:t xml:space="preserve">Measurable lift in teaser-to-NDA conversion; first partner integration</w:t>
            </w:r>
          </w:p>
        </w:tc>
      </w:tr>
    </w:tbl>
    <w:p>
      <w:pPr/>
      <w:r>
        <w:t xml:space="preserve">The verified library switches on at any point after Phase 3, and only with counsel's written approval; nothing else in the plan depends on it.</w:t>
      </w:r>
    </w:p>
    <w:sectPr>
      <w:pgSz w:w="12240" w:h="15840"/>
      <w:pgMar w:top="1440" w:right="1440" w:bottom="1440" w:left="1440" w:header="720" w:footer="720" w:gutter="0"/>
    </w:sectPr>
  </w:body>
</w:document>
</file>

<file path=word/numbering.xml><?xml version="1.0" encoding="utf-8"?>
<w:numbering xmlns:w="http://schemas.openxmlformats.org/wordprocessingml/2006/main">
  <w:abstractNum w:abstractNumId="0">
    <w:multiLevelType w:val="hybridMultilevel"/>
    <w:lvl w:ilvl="0">
      <w:start w:val="1"/>
      <w:numFmt w:val="bullet"/>
      <w:lvlText w:val="•"/>
      <w:lvlJc w:val="left"/>
      <w:pPr>
        <w:ind w:left="720" w:hanging="360"/>
      </w:pPr>
    </w:lvl>
    <w:lvl w:ilvl="1">
      <w:start w:val="1"/>
      <w:numFmt w:val="bullet"/>
      <w:lvlText w:val="o"/>
      <w:lvlJc w:val="left"/>
      <w:pPr>
        <w:ind w:left="1440" w:hanging="360"/>
      </w:pPr>
    </w:lvl>
    <w:lvl w:ilvl="2">
      <w:start w:val="1"/>
      <w:numFmt w:val="bullet"/>
      <w:lvlText w:val="▪"/>
      <w:lvlJc w:val="left"/>
      <w:pPr>
        <w:ind w:left="2160" w:hanging="360"/>
      </w:pPr>
    </w:lvl>
    <w:lvl w:ilvl="3">
      <w:start w:val="1"/>
      <w:numFmt w:val="bullet"/>
      <w:lvlText w:val="•"/>
      <w:lvlJc w:val="left"/>
      <w:pPr>
        <w:ind w:left="2880" w:hanging="360"/>
      </w:pPr>
    </w:lvl>
    <w:lvl w:ilvl="4">
      <w:start w:val="1"/>
      <w:numFmt w:val="bullet"/>
      <w:lvlText w:val="o"/>
      <w:lvlJc w:val="left"/>
      <w:pPr>
        <w:ind w:left="3600" w:hanging="360"/>
      </w:pPr>
    </w:lvl>
    <w:lvl w:ilvl="5">
      <w:start w:val="1"/>
      <w:numFmt w:val="bullet"/>
      <w:lvlText w:val="▪"/>
      <w:lvlJc w:val="left"/>
      <w:pPr>
        <w:ind w:left="4320" w:hanging="360"/>
      </w:pPr>
    </w:lvl>
    <w:lvl w:ilvl="6">
      <w:start w:val="1"/>
      <w:numFmt w:val="bullet"/>
      <w:lvlText w:val="•"/>
      <w:lvlJc w:val="left"/>
      <w:pPr>
        <w:ind w:left="5040" w:hanging="360"/>
      </w:pPr>
    </w:lvl>
    <w:lvl w:ilvl="7">
      <w:start w:val="1"/>
      <w:numFmt w:val="bullet"/>
      <w:lvlText w:val="o"/>
      <w:lvlJc w:val="left"/>
      <w:pPr>
        <w:ind w:left="5760" w:hanging="360"/>
      </w:pPr>
    </w:lvl>
    <w:lvl w:ilvl="8">
      <w:start w:val="1"/>
      <w:numFmt w:val="bullet"/>
      <w:lvlText w:val="▪"/>
      <w:lvlJc w:val="left"/>
      <w:pPr>
        <w:ind w:left="6480" w:hanging="360"/>
      </w:pPr>
    </w:lvl>
  </w:abstractNum>
  <w:abstractNum w:abstractNumId="1">
    <w:multiLevelType w:val="hybrid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left"/>
      <w:pPr>
        <w:ind w:left="6480" w:hanging="360"/>
      </w:pPr>
    </w:lvl>
  </w:abstractNum>
  <w:num w:numId="1">
    <w:abstractNumId w:val="0"/>
  </w:num>
  <w:num w:numId="2">
    <w:abstractNumId w:val="0"/>
  </w:num>
  <w:num w:numId="3">
    <w:abstractNumId w:val="0"/>
  </w:num>
  <w:num w:numId="4">
    <w:abstractNumId w:val="0"/>
  </w:num>
  <w:num w:numId="5">
    <w:abstractNumId w:val="0"/>
  </w:num>
  <w:num w:numId="6">
    <w:abstractNumId w:val="0"/>
  </w:num>
  <w:num w:numId="7">
    <w:abstractNumId w:val="0"/>
  </w:num>
  <w:num w:numId="8">
    <w:abstractNumId w:val="0"/>
  </w:num>
  <w:num w:numId="9">
    <w:abstractNumId w:val="0"/>
  </w:num>
  <w:num w:numId="10">
    <w:abstractNumId w:val="0"/>
  </w:num>
  <w:num w:numId="11">
    <w:abstractNumId w:val="0"/>
  </w:num>
  <w:num w:numId="12">
    <w:abstractNumId w:val="0"/>
  </w:num>
  <w:num w:numId="13">
    <w:abstractNumId w:val="0"/>
  </w:num>
  <w:num w:numId="14">
    <w:abstractNumId w:val="0"/>
  </w:num>
  <w:num w:numId="15">
    <w:abstractNumId w:val="0"/>
  </w:num>
  <w:num w:numId="16">
    <w:abstractNumId w:val="0"/>
  </w:num>
  <w:num w:numId="17">
    <w:abstractNumId w:val="0"/>
  </w:num>
  <w:num w:numId="18">
    <w:abstractNumId w:val="0"/>
  </w:num>
  <w:num w:numId="19">
    <w:abstractNumId w:val="0"/>
  </w:num>
  <w:num w:numId="20">
    <w:abstractNumId w:val="0"/>
  </w:num>
  <w:num w:numId="21">
    <w:abstractNumId w:val="0"/>
  </w:num>
  <w:num w:numId="22">
    <w:abstractNumId w:val="0"/>
  </w:num>
  <w:num w:numId="23">
    <w:abstractNumId w:val="0"/>
  </w:num>
  <w:num w:numId="24">
    <w:abstractNumId w:val="0"/>
  </w:num>
  <w:num w:numId="25">
    <w:abstractNumId w:val="0"/>
  </w:num>
  <w:num w:numId="26">
    <w:abstractNumId w:val="0"/>
  </w:num>
  <w:num w:numId="27">
    <w:abstractNumId w:val="0"/>
  </w:num>
  <w:num w:numId="28">
    <w:abstractNumId w:val="0"/>
  </w:num>
  <w:num w:numId="29">
    <w:abstractNumId w:val="0"/>
  </w:num>
</w:numbering>
</file>

<file path=word/styles.xml><?xml version="1.0" encoding="utf-8"?>
<w:styles xmlns:w="http://schemas.openxmlformats.org/wordprocessingml/2006/main">
  <w:docDefaults>
    <w:rPrDefault>
      <w:rPr>
        <w:rFonts w:ascii="Calibri" w:hAnsi="Calibri" w:eastAsia="Calibri" w:cs="Calibri"/>
        <w:sz w:val="22"/>
        <w:szCs w:val="22"/>
        <w:lang w:val="en-US"/>
      </w:rPr>
    </w:rPrDefault>
    <w:pPrDefault>
      <w:pPr>
        <w:spacing w:after="160" w:line="259" w:lineRule="auto"/>
      </w:pPr>
    </w:pPrDefault>
  </w:docDefaults>
  <w:style w:type="paragraph" w:default="1" w:styleId="Normal">
    <w:name w:val="Normal"/>
    <w:qFormat/>
  </w:style>
  <w:style w:type="paragraph" w:styleId="Heading1">
    <w:name w:val="heading 1"/>
    <w:basedOn w:val="Normal"/>
    <w:next w:val="Normal"/>
    <w:qFormat/>
    <w:pPr>
      <w:keepNext/>
      <w:spacing w:before="360" w:after="120"/>
      <w:outlineLvl w:val="0"/>
    </w:pPr>
    <w:rPr>
      <w:b/>
      <w:sz w:val="32"/>
    </w:rPr>
  </w:style>
  <w:style w:type="paragraph" w:styleId="Heading2">
    <w:name w:val="heading 2"/>
    <w:basedOn w:val="Normal"/>
    <w:next w:val="Normal"/>
    <w:qFormat/>
    <w:pPr>
      <w:keepNext/>
      <w:spacing w:before="280" w:after="100"/>
      <w:outlineLvl w:val="1"/>
    </w:pPr>
    <w:rPr>
      <w:b/>
      <w:sz w:val="26"/>
    </w:rPr>
  </w:style>
  <w:style w:type="paragraph" w:styleId="Heading3">
    <w:name w:val="heading 3"/>
    <w:basedOn w:val="Normal"/>
    <w:next w:val="Normal"/>
    <w:qFormat/>
    <w:pPr>
      <w:keepNext/>
      <w:spacing w:before="240" w:after="80"/>
      <w:outlineLvl w:val="2"/>
    </w:pPr>
    <w:rPr>
      <w:b/>
      <w:sz w:val="24"/>
    </w:rPr>
  </w:style>
  <w:style w:type="paragraph" w:styleId="Heading4">
    <w:name w:val="heading 4"/>
    <w:basedOn w:val="Normal"/>
    <w:next w:val="Normal"/>
    <w:qFormat/>
    <w:pPr>
      <w:keepNext/>
      <w:outlineLvl w:val="3"/>
    </w:pPr>
    <w:rPr>
      <w:b/>
      <w:sz w:val="22"/>
    </w:rPr>
  </w:style>
  <w:style w:type="paragraph" w:styleId="Heading5">
    <w:name w:val="heading 5"/>
    <w:basedOn w:val="Normal"/>
    <w:next w:val="Normal"/>
    <w:qFormat/>
    <w:pPr>
      <w:keepNext/>
      <w:outlineLvl w:val="4"/>
    </w:pPr>
    <w:rPr>
      <w:b/>
      <w:sz w:val="22"/>
    </w:rPr>
  </w:style>
  <w:style w:type="paragraph" w:styleId="Heading6">
    <w:name w:val="heading 6"/>
    <w:basedOn w:val="Normal"/>
    <w:next w:val="Normal"/>
    <w:qFormat/>
    <w:pPr>
      <w:keepNext/>
      <w:outlineLvl w:val="5"/>
    </w:pPr>
    <w:rPr>
      <w:i/>
      <w:sz w:val="22"/>
    </w:rPr>
  </w:style>
  <w:style w:type="paragraph" w:styleId="Title">
    <w:name w:val="Title"/>
    <w:basedOn w:val="Normal"/>
    <w:next w:val="Normal"/>
    <w:qFormat/>
    <w:pPr>
      <w:spacing w:after="80"/>
      <w:contextualSpacing/>
    </w:pPr>
    <w:rPr>
      <w:sz w:val="56"/>
    </w:rPr>
  </w:style>
  <w:style w:type="paragraph" w:styleId="Quote">
    <w:name w:val="Quote"/>
    <w:basedOn w:val="Normal"/>
    <w:qFormat/>
    <w:pPr>
      <w:ind w:left="720" w:right="720"/>
      <w:pBdr>
        <w:left w:val="single" w:sz="12" w:space="8" w:color="A0A0A0"/>
      </w:pBdr>
    </w:pPr>
    <w:rPr>
      <w:i/>
      <w:color w:val="404040"/>
    </w:rPr>
  </w:style>
  <w:style w:type="paragraph" w:styleId="Code">
    <w:name w:val="Code"/>
    <w:basedOn w:val="Normal"/>
    <w:link w:val="CodeChar"/>
    <w:pPr>
      <w:spacing w:after="0" w:line="240" w:lineRule="auto"/>
      <w:contextualSpacing/>
      <w:shd w:val="clear" w:color="auto" w:fill="F5F5F5"/>
    </w:pPr>
    <w:rPr>
      <w:rFonts w:ascii="Consolas" w:hAnsi="Consolas" w:eastAsia="Consolas" w:cs="Consolas"/>
      <w:sz w:val="20"/>
    </w:rPr>
  </w:style>
  <w:style w:type="character" w:styleId="CodeChar">
    <w:name w:val="Code Char"/>
    <w:link w:val="Code"/>
    <w:rPr>
      <w:rFonts w:ascii="Consolas" w:hAnsi="Consolas" w:eastAsia="Consolas" w:cs="Consolas"/>
      <w:sz w:val="20"/>
      <w:shd w:val="clear" w:color="auto" w:fill="F5F5F5"/>
    </w:rPr>
  </w:style>
  <w:style w:type="paragraph" w:styleId="ListParagraph">
    <w:name w:val="List Paragraph"/>
    <w:basedOn w:val="Normal"/>
    <w:qFormat/>
    <w:pPr>
      <w:ind w:left="720"/>
      <w:contextualSpacing/>
    </w:pPr>
  </w:style>
  <w:style w:type="character" w:styleId="Hyperlink">
    <w:name w:val="Hyperlink"/>
    <w:rPr>
      <w:color w:val="0563C1"/>
      <w:u w:val="single"/>
    </w:rPr>
  </w:style>
  <w:style w:type="paragraph" w:styleId="CommentText">
    <w:name w:val="annotation text"/>
    <w:basedOn w:val="Normal"/>
    <w:link w:val="CommentTextChar"/>
    <w:pPr>
      <w:spacing w:line="240" w:lineRule="auto"/>
    </w:pPr>
    <w:rPr>
      <w:sz w:val="20"/>
      <w:szCs w:val="20"/>
    </w:rPr>
  </w:style>
  <w:style w:type="character" w:styleId="CommentReference">
    <w:name w:val="annotation reference"/>
    <w:rPr>
      <w:sz w:val="16"/>
      <w:szCs w:val="16"/>
    </w:rPr>
  </w:style>
  <w:style w:type="table" w:default="1" w:styleId="TableNormal">
    <w:name w:val="Normal Table"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hyperlink" Target="https://www.ey.com/en_gl/technical/tax-alerts/kenya-business-registration-service-provides-timeline-for-companies-to-file-beneficial-ownership-information" TargetMode="External"/><Relationship Id="rId4" Type="http://schemas.openxmlformats.org/officeDocument/2006/relationships/hyperlink" Target="https://portal.miningcadastre.go.ke/Downloads/Mining_Act_2016_Full.pdf" TargetMode="External"/></Relationships>
</file>

<file path=docProps/app.xml><?xml version="1.0" encoding="utf-8"?>
<Properties xmlns="http://schemas.openxmlformats.org/officeDocument/2006/extended-properties">
  <Application>Claude Docs</Application>
  <AppVersion>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Modules</dc:title>
  <dc:description>Claude Docs node/df04d6ed-6049@18 docx-w6</dc:description>
  <cp:revision>18</cp:revision>
</cp:coreProperties>
</file>