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</w:p>
    <w:p>
      <w:pPr>
        <w:pStyle w:val="Heading1"/>
      </w:pPr>
      <w:r>
        <w:t xml:space="preserve">Mining Due Diligence Platform</w:t>
      </w:r>
    </w:p>
    <w:p>
      <w:pPr/>
      <w:r>
        <w:t xml:space="preserve">Sep 24, 2026</w:t>
      </w:r>
      <w:r>
        <w:t xml:space="preserve"> · </w:t>
      </w:r>
      <w:r>
        <w:t xml:space="preserve">@DENNIS</w:t>
      </w:r>
    </w:p>
    <w:p>
      <w:pPr/>
      <w:r>
        <w:t xml:space="preserve">The platform turns African mining assets into evidence-backed </w:t>
      </w:r>
      <w:r>
        <w:rPr>
          <w:b/>
        </w:rPr>
        <w:t xml:space="preserve">Mine Passports</w:t>
      </w:r>
      <w:r>
        <w:t xml:space="preserve"> that US investors can trust; SSD gates every introduction, NDA and data room. It launches in gatekeeper mode, opens a searchable verified-mine library only after securities counsel signs off, and pilots in Kenya before the rest of East Africa.</w:t>
      </w:r>
    </w:p>
    <w:p>
      <w:pPr/>
      <w:r>
        <w:t xml:space="preserve">In this doc: </w:t>
      </w:r>
      <w:r>
        <w:t xml:space="preserve">1 · User profiles</w:t>
      </w:r>
      <w:r>
        <w:t xml:space="preserve"> says who uses it; </w:t>
      </w:r>
      <w:r>
        <w:t xml:space="preserve">2 · Modules</w:t>
      </w:r>
      <w:r>
        <w:t xml:space="preserve"> lists every module; </w:t>
      </w:r>
      <w:r>
        <w:t xml:space="preserve">3 · Platform PRD</w:t>
      </w:r>
      <w:r>
        <w:t xml:space="preserve"> is the full product spec; </w:t>
      </w:r>
      <w:r>
        <w:t xml:space="preserve">4a · UI PRD</w:t>
      </w:r>
      <w:r>
        <w:t xml:space="preserve"> and </w:t>
      </w:r>
      <w:r>
        <w:t xml:space="preserve">4b · UI design prompts</w:t>
      </w:r>
      <w:r>
        <w:t xml:space="preserve"> cover the interface and copy-paste design prompts; </w:t>
      </w:r>
      <w:r>
        <w:t xml:space="preserve">Glossary</w:t>
      </w:r>
      <w:r>
        <w:t xml:space="preserve"> explains the jargon; </w:t>
      </w:r>
      <w:r>
        <w:t xml:space="preserve">Sources</w:t>
      </w:r>
      <w:r>
        <w:t xml:space="preserve"> lists what was checked.</w:t>
      </w:r>
    </w:p>
    <w:p>
      <w:pPr>
        <w:pStyle w:val="Heading2"/>
      </w:pPr>
      <w:r>
        <w:t xml:space="preserve">The picture</w:t>
      </w:r>
    </w:p>
    <w:p>
      <w:pPr/>
      <w:r>
        <w:t xml:space="preserve">Five apps sit on one shared core. Every fact about a mine enters that core as a claim with evidence attached, and investors only see what SSD releases.</w:t>
      </w:r>
    </w:p>
    <w:p>
      <w:pPr>
        <w:pStyle w:val="Code"/>
      </w:pPr>
      <w:bookmarkStart w:id="1" w:name="bongo_lang_mermaid_1"/>
      <w:bookmarkEnd w:id="1"/>
      <w:r>
        <w:t xml:space="preserve">flowchart LR</w:t>
        <w:br/>
        <w:t xml:space="preserve">    OA["Owner App&lt;br/&gt;licence holders, sponsors"] --&gt;|asset + documents| CORE</w:t>
        <w:br/>
        <w:t xml:space="preserve">    FA["Field App&lt;br/&gt;site verifiers"] --&gt;|geotagged evidence| CORE</w:t>
        <w:br/>
        <w:t xml:space="preserve">    ED["Expert Desk&lt;br/&gt;geologists, lawyers, ESG"] --&gt;|signed opinions| CORE</w:t>
        <w:br/>
        <w:t xml:space="preserve">    CC["Command Center&lt;br/&gt;SSD analysts, compliance"] --&gt;|orchestrates, approves| CORE</w:t>
        <w:br/>
        <w:t xml:space="preserve">    CORE["Shared core&lt;br/&gt;claims ledger, evidence vault&lt;br/&gt;rules engine, audit trail"] --&gt;|released Mine Passports| IP["Investor Portal&lt;br/&gt;invited US investors"]</w:t>
      </w:r>
    </w:p>
    <w:p>
      <w:pPr/>
      <w:r>
        <w:t xml:space="preserve">Four doors feed evidence in; one door lets verified results out, and only SSD holds the key to it.</w:t>
      </w:r>
    </w:p>
    <w:p>
      <w:pPr/>
      <w:r>
        <w:t xml:space="preserve">A </w:t>
      </w:r>
      <w:r>
        <w:rPr>
          <w:b/>
        </w:rPr>
        <w:t xml:space="preserve">Mine Passport</w:t>
      </w:r>
      <w:r>
        <w:t xml:space="preserve"> works like a travel passport. Each fact carries a stamp saying who checked it, how and when, and stamps expire. An investor reads the stamps, not the seller's pitch.</w:t>
      </w:r>
    </w:p>
    <w:p>
      <w:pPr/>
      <w:r>
        <w:t xml:space="preserve">A mine moves through seven stages before a deal conversation starts:</w:t>
      </w:r>
    </w:p>
    <w:p>
      <w:pPr>
        <w:pStyle w:val="Code"/>
      </w:pPr>
      <w:bookmarkStart w:id="2" w:name="bongo_lang_mermaid_2"/>
      <w:bookmarkEnd w:id="2"/>
      <w:r>
        <w:t xml:space="preserve">flowchart LR</w:t>
        <w:br/>
        <w:t xml:space="preserve">    A["1 Submitted"] --&gt; B["2 Screened&lt;br/&gt;desk checks"] --&gt; C["3 Verified&lt;br/&gt;experts + site visit"] --&gt; D["4 Passport&lt;br/&gt;released"] --&gt; E["5 Introduced&lt;br/&gt;teaser via SSD"] --&gt; F["6 NDA +&lt;br/&gt;data room"] --&gt; G["7 Deal talks&lt;br/&gt;between parties"]</w:t>
      </w:r>
    </w:p>
    <w:p>
      <w:pPr/>
      <w:r>
        <w:t xml:space="preserve">Stages 1–4 build trust in the asset. Stages 5–7 carry the most US securities-law risk, so SSD gates each step and the platform logs it; even library profiles at stage 4 need counsel's approval before investors can search them.</w:t>
      </w:r>
    </w:p>
    <w:p>
      <w:pPr>
        <w:pStyle w:val="Heading2"/>
      </w:pPr>
      <w:r>
        <w:t xml:space="preserve">One platform or several apps</w:t>
      </w:r>
    </w:p>
    <w:p>
      <w:pPr/>
      <w:r>
        <w:t xml:space="preserve">Build one platform with five front doors: a single backend, identity service, data model and audit trail, with five apps shaped to each user's context. Your instinct was right on both counts; the split belongs in the front ends, not the core.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App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Primary users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Device and context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Why it stands alone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Owner App</w:t>
            </w:r>
          </w:p>
        </w:tc>
        <w:tc>
          <w:tcPr>
            <w:tcW w:w="2340" w:type="dxa"/>
          </w:tcPr>
          <w:p>
            <w:pPr/>
            <w:r>
              <w:t xml:space="preserve">Licence holders, junior-company CEOs, authorised representatives</w:t>
            </w:r>
          </w:p>
        </w:tc>
        <w:tc>
          <w:tcPr>
            <w:tcW w:w="2340" w:type="dxa"/>
          </w:tcPr>
          <w:p>
            <w:pPr/>
            <w:r>
              <w:t xml:space="preserve">Android phone on 3G, WhatsApp, M-Pesa; English and Swahili</w:t>
            </w:r>
          </w:p>
        </w:tc>
        <w:tc>
          <w:tcPr>
            <w:tcW w:w="2340" w:type="dxa"/>
          </w:tcPr>
          <w:p>
            <w:pPr/>
            <w:r>
              <w:t xml:space="preserve">Public sign-up, low bandwidth, plain language, assisted onboarding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Field App</w:t>
            </w:r>
          </w:p>
        </w:tc>
        <w:tc>
          <w:tcPr>
            <w:tcW w:w="2340" w:type="dxa"/>
          </w:tcPr>
          <w:p>
            <w:pPr/>
            <w:r>
              <w:t xml:space="preserve">Field geologists and site verifiers</w:t>
            </w:r>
          </w:p>
        </w:tc>
        <w:tc>
          <w:tcPr>
            <w:tcW w:w="2340" w:type="dxa"/>
          </w:tcPr>
          <w:p>
            <w:pPr/>
            <w:r>
              <w:t xml:space="preserve">Android phone, offline for days at a site</w:t>
            </w:r>
          </w:p>
        </w:tc>
        <w:tc>
          <w:tcPr>
            <w:tcW w:w="2340" w:type="dxa"/>
          </w:tcPr>
          <w:p>
            <w:pPr/>
            <w:r>
              <w:t xml:space="preserve">Offline capture, GPS, tamper-evident photos, sample custody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Expert Desk</w:t>
            </w:r>
          </w:p>
        </w:tc>
        <w:tc>
          <w:tcPr>
            <w:tcW w:w="2340" w:type="dxa"/>
          </w:tcPr>
          <w:p>
            <w:pPr/>
            <w:r>
              <w:t xml:space="preserve">Resource geologists, mining lawyers, ESG specialists</w:t>
            </w:r>
          </w:p>
        </w:tc>
        <w:tc>
          <w:tcPr>
            <w:tcW w:w="2340" w:type="dxa"/>
          </w:tcPr>
          <w:p>
            <w:pPr/>
            <w:r>
              <w:t xml:space="preserve">Laptop, paid per assignment</w:t>
            </w:r>
          </w:p>
        </w:tc>
        <w:tc>
          <w:tcPr>
            <w:tcW w:w="2340" w:type="dxa"/>
          </w:tcPr>
          <w:p>
            <w:pPr/>
            <w:r>
              <w:t xml:space="preserve">Access scoped to one asset and one task, expiring; structured sign-off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Command Center</w:t>
            </w:r>
          </w:p>
        </w:tc>
        <w:tc>
          <w:tcPr>
            <w:tcW w:w="2340" w:type="dxa"/>
          </w:tcPr>
          <w:p>
            <w:pPr/>
            <w:r>
              <w:t xml:space="preserve">SSD analysts, compliance, partners, operations</w:t>
            </w:r>
          </w:p>
        </w:tc>
        <w:tc>
          <w:tcPr>
            <w:tcW w:w="2340" w:type="dxa"/>
          </w:tcPr>
          <w:p>
            <w:pPr/>
            <w:r>
              <w:t xml:space="preserve">Desktop, all day</w:t>
            </w:r>
          </w:p>
        </w:tc>
        <w:tc>
          <w:tcPr>
            <w:tcW w:w="2340" w:type="dxa"/>
          </w:tcPr>
          <w:p>
            <w:pPr/>
            <w:r>
              <w:t xml:space="preserve">Dense workbench; the only place gates are approved and rules configured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Investor Portal</w:t>
            </w:r>
          </w:p>
        </w:tc>
        <w:tc>
          <w:tcPr>
            <w:tcW w:w="2340" w:type="dxa"/>
          </w:tcPr>
          <w:p>
            <w:pPr/>
            <w:r>
              <w:t xml:space="preserve">Invited US investors and their advisers</w:t>
            </w:r>
          </w:p>
        </w:tc>
        <w:tc>
          <w:tcPr>
            <w:tcW w:w="2340" w:type="dxa"/>
          </w:tcPr>
          <w:p>
            <w:pPr/>
            <w:r>
              <w:t xml:space="preserve">Desktop, occasional deep sessions</w:t>
            </w:r>
          </w:p>
        </w:tc>
        <w:tc>
          <w:tcPr>
            <w:tcW w:w="2340" w:type="dxa"/>
          </w:tcPr>
          <w:p>
            <w:pPr/>
            <w:r>
              <w:t xml:space="preserve">Invitation-only and never indexed; every screen respects disclosure levels</w:t>
            </w:r>
          </w:p>
        </w:tc>
      </w:tr>
    </w:tbl>
    <w:p>
      <w:pPr/>
      <w:r>
        <w:rPr>
          <w:b/>
        </w:rPr>
        <w:t xml:space="preserve">Why not one big role-based app.</w:t>
      </w:r>
      <w:r>
        <w:t xml:space="preserve"> A mine owner on a phone in Migori and a fund associate on a 27-inch screen in Denver need different density, language, bandwidth and security. One codebase serving both makes every screen a compromise, and one permission bug could expose investor data to the public side.</w:t>
      </w:r>
    </w:p>
    <w:p>
      <w:pPr/>
      <w:r>
        <w:rPr>
          <w:b/>
        </w:rPr>
        <w:t xml:space="preserve">Why not separate products.</w:t>
      </w:r>
      <w:r>
        <w:t xml:space="preserve"> Separate databases would split the audit trail, which is the compliance backbone. A fact verified in one product would have to be re-keyed in another, and the two would drift.</w:t>
      </w:r>
    </w:p>
    <w:p>
      <w:pPr/>
      <w:r>
        <w:rPr>
          <w:b/>
        </w:rPr>
        <w:t xml:space="preserve">How to build it.</w:t>
      </w:r>
      <w:r>
        <w:t xml:space="preserve"> One monorepo holds a shared API, a shared design-system package and five independently deployed apps. Permissions are enforced in the API, never only in the screen, so a front end cannot leak what the core refuses to send.</w:t>
      </w:r>
    </w:p>
    <w:p>
      <w:pPr>
        <w:pStyle w:val="Heading2"/>
      </w:pPr>
      <w:r>
        <w:t xml:space="preserve">Decisions</w:t>
      </w:r>
    </w:p>
    <w:p>
      <w:pPr/>
      <w:r>
        <w:t xml:space="preserve">Two decisions are settled and six are open, four of them waiting on counsel; the build can start now because each open one sits behind a switch or a template, not inside the architecture.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Decision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What it means for the build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Posture: hybrid, launched in gatekeeper mode</w:t>
            </w:r>
          </w:p>
        </w:tc>
        <w:tc>
          <w:tcPr>
            <w:tcW w:w="2340" w:type="dxa"/>
          </w:tcPr>
          <w:p>
            <w:pPr/>
            <w:r>
              <w:t xml:space="preserve">Settled</w:t>
            </w:r>
          </w:p>
        </w:tc>
        <w:tc>
          <w:tcPr>
            <w:tcW w:w="2340" w:type="dxa"/>
          </w:tcPr>
          <w:p>
            <w:pPr/>
            <w:r>
              <w:t xml:space="preserve">You</w:t>
            </w:r>
          </w:p>
        </w:tc>
        <w:tc>
          <w:tcPr>
            <w:tcW w:w="2340" w:type="dxa"/>
          </w:tcPr>
          <w:p>
            <w:pPr/>
            <w:r>
              <w:t xml:space="preserve">The verified library ships behind a feature flag, off at launch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Pilot: Kenya first, then Tanzania, Zambia, Uganda</w:t>
            </w:r>
          </w:p>
        </w:tc>
        <w:tc>
          <w:tcPr>
            <w:tcW w:w="2340" w:type="dxa"/>
          </w:tcPr>
          <w:p>
            <w:pPr/>
            <w:r>
              <w:t xml:space="preserve">Settled</w:t>
            </w:r>
          </w:p>
        </w:tc>
        <w:tc>
          <w:tcPr>
            <w:tcW w:w="2340" w:type="dxa"/>
          </w:tcPr>
          <w:p>
            <w:pPr/>
            <w:r>
              <w:t xml:space="preserve">You</w:t>
            </w:r>
          </w:p>
        </w:tc>
        <w:tc>
          <w:tcPr>
            <w:tcW w:w="2340" w:type="dxa"/>
          </w:tcPr>
          <w:p>
            <w:pPr/>
            <w:r>
              <w:t xml:space="preserve">Kenya's rules are the first jurisdiction pack; others are configuration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Switching the library on</w:t>
            </w:r>
          </w:p>
        </w:tc>
        <w:tc>
          <w:tcPr>
            <w:tcW w:w="2340" w:type="dxa"/>
          </w:tcPr>
          <w:p>
            <w:pPr/>
            <w:r>
              <w:t xml:space="preserve">Needs counsel</w:t>
            </w:r>
          </w:p>
        </w:tc>
        <w:tc>
          <w:tcPr>
            <w:tcW w:w="2340" w:type="dxa"/>
          </w:tcPr>
          <w:p>
            <w:pPr/>
            <w:r>
              <w:t xml:space="preserve">US securities counsel</w:t>
            </w:r>
          </w:p>
        </w:tc>
        <w:tc>
          <w:tcPr>
            <w:tcW w:w="2340" w:type="dxa"/>
          </w:tcPr>
          <w:p>
            <w:pPr/>
            <w:r>
              <w:t xml:space="preserve">Written opinion on what library profiles may show, and to whom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Revenue: investor subscriptions and fixed verification fees, no success fees</w:t>
            </w:r>
          </w:p>
        </w:tc>
        <w:tc>
          <w:tcPr>
            <w:tcW w:w="2340" w:type="dxa"/>
          </w:tcPr>
          <w:p>
            <w:pPr/>
            <w:r>
              <w:t xml:space="preserve">Needs counsel</w:t>
            </w:r>
          </w:p>
        </w:tc>
        <w:tc>
          <w:tcPr>
            <w:tcW w:w="2340" w:type="dxa"/>
          </w:tcPr>
          <w:p>
            <w:pPr/>
            <w:r>
              <w:t xml:space="preserve">SSD and counsel</w:t>
            </w:r>
          </w:p>
        </w:tc>
        <w:tc>
          <w:tcPr>
            <w:tcW w:w="2340" w:type="dxa"/>
          </w:tcPr>
          <w:p>
            <w:pPr/>
            <w:r>
              <w:t xml:space="preserve">Billing blocks any fee tied to a deal closing unless a registered broker-dealer partner handles it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Who pays for verification</w:t>
            </w:r>
          </w:p>
        </w:tc>
        <w:tc>
          <w:tcPr>
            <w:tcW w:w="2340" w:type="dxa"/>
          </w:tcPr>
          <w:p>
            <w:pPr/>
            <w:r>
              <w:t xml:space="preserve">Open</w:t>
            </w:r>
          </w:p>
        </w:tc>
        <w:tc>
          <w:tcPr>
            <w:tcW w:w="2340" w:type="dxa"/>
          </w:tcPr>
          <w:p>
            <w:pPr/>
            <w:r>
              <w:t xml:space="preserve">SSD</w:t>
            </w:r>
          </w:p>
        </w:tc>
        <w:tc>
          <w:tcPr>
            <w:tcW w:w="2340" w:type="dxa"/>
          </w:tcPr>
          <w:p>
            <w:pPr/>
            <w:r>
              <w:t xml:space="preserve">If owners pay, fees are fixed and disclosed so a good verdict cannot be bought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Liability for what a passport says</w:t>
            </w:r>
          </w:p>
        </w:tc>
        <w:tc>
          <w:tcPr>
            <w:tcW w:w="2340" w:type="dxa"/>
          </w:tcPr>
          <w:p>
            <w:pPr/>
            <w:r>
              <w:t xml:space="preserve">Needs counsel</w:t>
            </w:r>
          </w:p>
        </w:tc>
        <w:tc>
          <w:tcPr>
            <w:tcW w:w="2340" w:type="dxa"/>
          </w:tcPr>
          <w:p>
            <w:pPr/>
            <w:r>
              <w:t xml:space="preserve">Counsel and insurers</w:t>
            </w:r>
          </w:p>
        </w:tc>
        <w:tc>
          <w:tcPr>
            <w:tcW w:w="2340" w:type="dxa"/>
          </w:tcPr>
          <w:p>
            <w:pPr/>
            <w:r>
              <w:t xml:space="preserve">Disclaimers, expert engagement terms, professional indemnity cover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Where data is hosted</w:t>
            </w:r>
          </w:p>
        </w:tc>
        <w:tc>
          <w:tcPr>
            <w:tcW w:w="2340" w:type="dxa"/>
          </w:tcPr>
          <w:p>
            <w:pPr/>
            <w:r>
              <w:t xml:space="preserve">Needs counsel</w:t>
            </w:r>
          </w:p>
        </w:tc>
        <w:tc>
          <w:tcPr>
            <w:tcW w:w="2340" w:type="dxa"/>
          </w:tcPr>
          <w:p>
            <w:pPr/>
            <w:r>
              <w:t xml:space="preserve">Counsel and tech lead</w:t>
            </w:r>
          </w:p>
        </w:tc>
        <w:tc>
          <w:tcPr>
            <w:tcW w:w="2340" w:type="dxa"/>
          </w:tcPr>
          <w:p>
            <w:pPr/>
            <w:r>
              <w:t xml:space="preserve">Registration with Kenya's data regulator and safeguards for transfers abroad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Working name</w:t>
            </w:r>
          </w:p>
        </w:tc>
        <w:tc>
          <w:tcPr>
            <w:tcW w:w="2340" w:type="dxa"/>
          </w:tcPr>
          <w:p>
            <w:pPr/>
            <w:r>
              <w:t xml:space="preserve">Open</w:t>
            </w:r>
          </w:p>
        </w:tc>
        <w:tc>
          <w:tcPr>
            <w:tcW w:w="2340" w:type="dxa"/>
          </w:tcPr>
          <w:p>
            <w:pPr/>
            <w:r>
              <w:t xml:space="preserve">You</w:t>
            </w:r>
          </w:p>
        </w:tc>
        <w:tc>
          <w:tcPr>
            <w:tcW w:w="2340" w:type="dxa"/>
          </w:tcPr>
          <w:p>
            <w:pPr/>
            <w:r>
              <w:t xml:space="preserve">"Touchstone" suggested: the dark stone assayers used to test gold</w:t>
            </w:r>
          </w:p>
        </w:tc>
      </w:tr>
    </w:tbl>
    <w:p>
      <w:pPr/>
      <w:r>
        <w:t xml:space="preserve">Three 2025–26 facts shape these calls. SEC staff now let issuers verify accredited investors through minimum investments of $200,000 (individuals) or $1 million (entities) plus written representations (</w:t>
      </w:r>
      <w:hyperlink r:id="rId3" w:history="1">
        <w:r>
          <w:rPr>
            <w:rStyle w:val="Hyperlink"/>
          </w:rPr>
          <w:t xml:space="preserve">Morgan Lewis</w:t>
        </w:r>
      </w:hyperlink>
      <w:r>
        <w:t xml:space="preserve">). No exemption for unregistered finders exists in 2026, though an SEC advisory committee recommended one in February 2026 (</w:t>
      </w:r>
      <w:hyperlink r:id="rId4" w:history="1">
        <w:r>
          <w:rPr>
            <w:rStyle w:val="Hyperlink"/>
          </w:rPr>
          <w:t xml:space="preserve">SECLaw</w:t>
        </w:r>
      </w:hyperlink>
      <w:r>
        <w:t xml:space="preserve">). And a direct competitor, </w:t>
      </w:r>
      <w:hyperlink r:id="rId5" w:history="1">
        <w:r>
          <w:rPr>
            <w:rStyle w:val="Hyperlink"/>
          </w:rPr>
          <w:t xml:space="preserve">STRATUM</w:t>
        </w:r>
      </w:hyperlink>
      <w:r>
        <w:t xml:space="preserve">, launched in August 2026 with 17 verified African assets and mediated deal rooms.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www.morganlewis.com/pubs/2025/03/new-sec-guidance-eases-burden-in-rule-506c-accredited-investor-verification-requirements" TargetMode="External"/><Relationship Id="rId4" Type="http://schemas.openxmlformats.org/officeDocument/2006/relationships/hyperlink" Target="https://seclaw.com/finder-registration-2026-update/" TargetMode="External"/><Relationship Id="rId5" Type="http://schemas.openxmlformats.org/officeDocument/2006/relationships/hyperlink" Target="https://www.newsfilecorp.com/release/309815/STRATUM-Launches-Strategic-Asset-Intelligence-Platform-for-African-Mining-and-EV-Battery-Minerals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Mining Due Diligence Platform</dc:title>
  <dc:description>Claude Docs node/7ebe23f5-1c76@11 docx-w6</dc:description>
  <cp:revision>11</cp:revision>
</cp:coreProperties>
</file>