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pBdr>
          <w:bottom w:val="single" w:color="1a365d" w:sz="6" w:space="8"/>
        </w:pBdr>
        <w:spacing w:after="200"/>
        <w:jc w:val="center"/>
      </w:pPr>
      <w:r>
        <w:rPr>
          <w:rFonts w:ascii="Arial" w:cs="Arial" w:eastAsia="Arial" w:hAnsi="Arial"/>
          <w:b/>
          <w:bCs/>
          <w:color w:val="1a365d"/>
          <w:sz w:val="72"/>
          <w:szCs w:val="72"/>
        </w:rPr>
        <w:t xml:space="preserve">BetsPlug</w:t>
      </w:r>
    </w:p>
    <w:p>
      <w:pPr>
        <w:spacing w:after="100"/>
        <w:jc w:val="center"/>
      </w:pPr>
      <w:r>
        <w:rPr>
          <w:rFonts w:ascii="Arial" w:cs="Arial" w:eastAsia="Arial" w:hAnsi="Arial"/>
          <w:color w:val="444444"/>
          <w:sz w:val="40"/>
          <w:szCs w:val="40"/>
        </w:rPr>
        <w:t xml:space="preserve">Technical &amp; Legal Framework</w:t>
      </w:r>
    </w:p>
    <w:p>
      <w:pPr>
        <w:spacing w:after="400"/>
        <w:jc w:val="center"/>
      </w:pPr>
      <w:r>
        <w:rPr>
          <w:rFonts w:ascii="Arial" w:cs="Arial" w:eastAsia="Arial" w:hAnsi="Arial"/>
          <w:i/>
          <w:iCs/>
          <w:color w:val="666666"/>
          <w:sz w:val="24"/>
          <w:szCs w:val="24"/>
        </w:rPr>
        <w:t xml:space="preserve">AI-Powered Football Prediction Platform</w:t>
      </w:r>
    </w:p>
    <w:p>
      <w:pPr>
        <w:spacing w:before="1200"/>
      </w:pPr>
    </w:p>
    <w:p>
      <w:pPr>
        <w:spacing w:after="100"/>
        <w:jc w:val="center"/>
      </w:pPr>
      <w:r>
        <w:rPr>
          <w:rFonts w:ascii="Arial" w:cs="Arial" w:eastAsia="Arial" w:hAnsi="Arial"/>
          <w:b/>
          <w:bCs/>
          <w:color w:val="cc0000"/>
          <w:sz w:val="20"/>
          <w:szCs w:val="20"/>
        </w:rPr>
        <w:t xml:space="preserve">CONFIDENTIAL</w:t>
      </w:r>
    </w:p>
    <w:p>
      <w:pPr>
        <w:spacing w:after="200"/>
        <w:jc w:val="center"/>
      </w:pPr>
      <w:r>
        <w:rPr>
          <w:rFonts w:ascii="Arial" w:cs="Arial" w:eastAsia="Arial" w:hAnsi="Arial"/>
          <w:color w:val="666666"/>
          <w:sz w:val="20"/>
          <w:szCs w:val="20"/>
        </w:rPr>
        <w:t xml:space="preserve">For Authorized Stakeholders Only</w:t>
      </w:r>
    </w:p>
    <w:p>
      <w:pPr>
        <w:spacing w:before="600"/>
      </w:pPr>
    </w:p>
    <w:p>
      <w:pPr>
        <w:jc w:val="center"/>
      </w:pPr>
      <w:r>
        <w:rPr>
          <w:rFonts w:ascii="Arial" w:cs="Arial" w:eastAsia="Arial" w:hAnsi="Arial"/>
          <w:color w:val="444444"/>
          <w:sz w:val="22"/>
          <w:szCs w:val="22"/>
        </w:rPr>
        <w:t xml:space="preserve">Version 7.0  |  April 2026</w:t>
      </w:r>
    </w:p>
    <w:p>
      <w:pPr>
        <w:spacing w:after="100"/>
        <w:jc w:val="center"/>
      </w:pPr>
      <w:r>
        <w:rPr>
          <w:rFonts w:ascii="Arial" w:cs="Arial" w:eastAsia="Arial" w:hAnsi="Arial"/>
          <w:b/>
          <w:bCs/>
          <w:color w:val="1a365d"/>
          <w:sz w:val="22"/>
          <w:szCs w:val="22"/>
        </w:rPr>
        <w:t xml:space="preserve">BetsPlug B.V.</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1. Executive Summary</w:t>
      </w:r>
    </w:p>
    <w:p>
      <w:pPr>
        <w:spacing w:after="120"/>
      </w:pPr>
      <w:r>
        <w:rPr>
          <w:rFonts w:ascii="Arial" w:cs="Arial" w:eastAsia="Arial" w:hAnsi="Arial"/>
          <w:sz w:val="22"/>
          <w:szCs w:val="22"/>
        </w:rPr>
        <w:t xml:space="preserve">BetsPlug is an AI-driven football prediction platform designed exclusively for educational and simulation purposes. The platform does NOT facilitate gambling, accept wagers, or process betting transactions. All predictions are clearly labeled as simulations with mandatory disclaimers displayed on every output.</w:t>
      </w:r>
    </w:p>
    <w:p>
      <w:pPr>
        <w:spacing w:after="120"/>
      </w:pPr>
      <w:r>
        <w:rPr>
          <w:rFonts w:ascii="Arial" w:cs="Arial" w:eastAsia="Arial" w:hAnsi="Arial"/>
          <w:sz w:val="22"/>
          <w:szCs w:val="22"/>
        </w:rPr>
        <w:t xml:space="preserve">The prediction engine uses a statistically validated ensemble of mathematical models, rigorously evaluated against historical data with strict temporal separation between training and validation periods. A grid search across 1,295 weight configurations confirmed the optimal model setup, validated on out-of-sample 2026 data.</w:t>
      </w:r>
    </w:p>
    <w:p>
      <w:pPr>
        <w:pStyle w:val="Heading1"/>
        <w:spacing w:after="200" w:before="360"/>
      </w:pPr>
      <w:r>
        <w:rPr>
          <w:rFonts w:ascii="Arial" w:cs="Arial" w:eastAsia="Arial" w:hAnsi="Arial"/>
          <w:b/>
          <w:bCs/>
          <w:color w:val="1a365d"/>
          <w:sz w:val="32"/>
          <w:szCs w:val="32"/>
        </w:rPr>
        <w:t xml:space="preserve">2. Platform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frontend, FastAPI (Python) backend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Tiers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Silver, Gold, Platinum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League Coverage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football leagues worldwide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Sources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API-Football (Pro), Football-Data.org, The Odds API</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Infrastructure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Railway (backend), Vercel (frontend), PostgreSQL, Redis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(PCI-DSS compliant, no card data stored)</w:t>
            </w:r>
          </w:p>
        </w:tc>
      </w:tr>
    </w:tbl>
    <w:p>
      <w:pPr>
        <w:pStyle w:val="Heading1"/>
        <w:spacing w:after="200" w:before="360"/>
      </w:pPr>
      <w:r>
        <w:rPr>
          <w:rFonts w:ascii="Arial" w:cs="Arial" w:eastAsia="Arial" w:hAnsi="Arial"/>
          <w:b/>
          <w:bCs/>
          <w:color w:val="1a365d"/>
          <w:sz w:val="32"/>
          <w:szCs w:val="32"/>
        </w:rPr>
        <w:t xml:space="preserve">3. Prediction Engine — Technical Specification</w:t>
      </w:r>
    </w:p>
    <w:p>
      <w:pPr>
        <w:pStyle w:val="Heading2"/>
        <w:spacing w:after="160" w:before="280"/>
      </w:pPr>
      <w:r>
        <w:rPr>
          <w:rFonts w:ascii="Arial" w:cs="Arial" w:eastAsia="Arial" w:hAnsi="Arial"/>
          <w:b/>
          <w:bCs/>
          <w:color w:val="1a365d"/>
          <w:sz w:val="26"/>
          <w:szCs w:val="26"/>
        </w:rPr>
        <w:t xml:space="preserve">3.1 Model Architecture</w:t>
      </w:r>
    </w:p>
    <w:p>
      <w:pPr>
        <w:spacing w:after="120"/>
      </w:pPr>
      <w:r>
        <w:rPr>
          <w:rFonts w:ascii="Arial" w:cs="Arial" w:eastAsia="Arial" w:hAnsi="Arial"/>
          <w:sz w:val="22"/>
          <w:szCs w:val="22"/>
        </w:rPr>
        <w:t xml:space="preserve">The engine employs a weighted ensemble of two active statistical models:</w:t>
      </w:r>
    </w:p>
    <w:p>
      <w:pPr>
        <w:pStyle w:val="ListParagraph"/>
        <w:numPr>
          <w:ilvl w:val="0"/>
          <w:numId w:val="2"/>
        </w:numPr>
        <w:spacing w:after="60"/>
      </w:pPr>
      <w:r>
        <w:rPr>
          <w:rFonts w:ascii="Arial" w:cs="Arial" w:eastAsia="Arial" w:hAnsi="Arial"/>
          <w:sz w:val="22"/>
          <w:szCs w:val="22"/>
        </w:rPr>
        <w:t xml:space="preserve">Elo Rating System (weight: 1.2) — Adaptive team strength ratings with 65-point home advantage calibration, point-in-time enforcement, and K-factor of 20.</w:t>
      </w:r>
    </w:p>
    <w:p>
      <w:pPr>
        <w:pStyle w:val="ListParagraph"/>
        <w:numPr>
          <w:ilvl w:val="0"/>
          <w:numId w:val="2"/>
        </w:numPr>
        <w:spacing w:after="60"/>
      </w:pPr>
      <w:r>
        <w:rPr>
          <w:rFonts w:ascii="Arial" w:cs="Arial" w:eastAsia="Arial" w:hAnsi="Arial"/>
          <w:sz w:val="22"/>
          <w:szCs w:val="22"/>
        </w:rPr>
        <w:t xml:space="preserve">Logistic Regression (weight: 2.0) — 43-feature classifier trained on historical match data including team form, head-to-head records, league standings, and Elo differentials.</w:t>
      </w:r>
    </w:p>
    <w:p>
      <w:pPr>
        <w:spacing w:after="120"/>
      </w:pPr>
      <w:r>
        <w:rPr>
          <w:rFonts w:ascii="Arial" w:cs="Arial" w:eastAsia="Arial" w:hAnsi="Arial"/>
          <w:sz w:val="22"/>
          <w:szCs w:val="22"/>
        </w:rPr>
        <w:t xml:space="preserve">Two additional models (Poisson and XGBoost) were evaluated but disabled after grid search optimization demonstrated they introduce noise without improving accuracy.</w:t>
      </w:r>
    </w:p>
    <w:p>
      <w:pPr>
        <w:pStyle w:val="Heading2"/>
        <w:spacing w:after="160" w:before="280"/>
      </w:pPr>
      <w:r>
        <w:rPr>
          <w:rFonts w:ascii="Arial" w:cs="Arial" w:eastAsia="Arial" w:hAnsi="Arial"/>
          <w:b/>
          <w:bCs/>
          <w:color w:val="1a365d"/>
          <w:sz w:val="26"/>
          <w:szCs w:val="26"/>
        </w:rPr>
        <w:t xml:space="preserve">3.2 Anti-Leakage Safeguards</w:t>
      </w:r>
    </w:p>
    <w:p>
      <w:pPr>
        <w:spacing w:after="120"/>
      </w:pPr>
      <w:r>
        <w:rPr>
          <w:rFonts w:ascii="Arial" w:cs="Arial" w:eastAsia="Arial" w:hAnsi="Arial"/>
          <w:sz w:val="22"/>
          <w:szCs w:val="22"/>
        </w:rPr>
        <w:t xml:space="preserve">Data integrity is enforced through multiple safeguards to prevent future information from contaminating predictions:</w:t>
      </w:r>
    </w:p>
    <w:p>
      <w:pPr>
        <w:pStyle w:val="ListParagraph"/>
        <w:numPr>
          <w:ilvl w:val="0"/>
          <w:numId w:val="2"/>
        </w:numPr>
        <w:spacing w:after="60"/>
      </w:pPr>
      <w:r>
        <w:rPr>
          <w:rFonts w:ascii="Arial" w:cs="Arial" w:eastAsia="Arial" w:hAnsi="Arial"/>
          <w:sz w:val="22"/>
          <w:szCs w:val="22"/>
        </w:rPr>
        <w:t xml:space="preserve">Elo ratings: queried with strict effective_at &lt; kickoff temporal filter</w:t>
      </w:r>
    </w:p>
    <w:p>
      <w:pPr>
        <w:pStyle w:val="ListParagraph"/>
        <w:numPr>
          <w:ilvl w:val="0"/>
          <w:numId w:val="2"/>
        </w:numPr>
        <w:spacing w:after="60"/>
      </w:pPr>
      <w:r>
        <w:rPr>
          <w:rFonts w:ascii="Arial" w:cs="Arial" w:eastAsia="Arial" w:hAnsi="Arial"/>
          <w:sz w:val="22"/>
          <w:szCs w:val="22"/>
        </w:rPr>
        <w:t xml:space="preserve">FeatureLeakageError: runtime exception raised if any data integrity violation is detected</w:t>
      </w:r>
    </w:p>
    <w:p>
      <w:pPr>
        <w:pStyle w:val="ListParagraph"/>
        <w:numPr>
          <w:ilvl w:val="0"/>
          <w:numId w:val="2"/>
        </w:numPr>
        <w:spacing w:after="60"/>
      </w:pPr>
      <w:r>
        <w:rPr>
          <w:rFonts w:ascii="Arial" w:cs="Arial" w:eastAsia="Arial" w:hAnsi="Arial"/>
          <w:sz w:val="22"/>
          <w:szCs w:val="22"/>
        </w:rPr>
        <w:t xml:space="preserve">Team form: filtered with before=scheduled_at to ensure only pre-match data</w:t>
      </w:r>
    </w:p>
    <w:p>
      <w:pPr>
        <w:pStyle w:val="ListParagraph"/>
        <w:numPr>
          <w:ilvl w:val="0"/>
          <w:numId w:val="2"/>
        </w:numPr>
        <w:spacing w:after="60"/>
      </w:pPr>
      <w:r>
        <w:rPr>
          <w:rFonts w:ascii="Arial" w:cs="Arial" w:eastAsia="Arial" w:hAnsi="Arial"/>
          <w:sz w:val="22"/>
          <w:szCs w:val="22"/>
        </w:rPr>
        <w:t xml:space="preserve">Head-to-head: restricted to historical encounters only</w:t>
      </w:r>
    </w:p>
    <w:p>
      <w:pPr>
        <w:pStyle w:val="ListParagraph"/>
        <w:numPr>
          <w:ilvl w:val="0"/>
          <w:numId w:val="2"/>
        </w:numPr>
        <w:spacing w:after="60"/>
      </w:pPr>
      <w:r>
        <w:rPr>
          <w:rFonts w:ascii="Arial" w:cs="Arial" w:eastAsia="Arial" w:hAnsi="Arial"/>
          <w:sz w:val="22"/>
          <w:szCs w:val="22"/>
        </w:rPr>
        <w:t xml:space="preserve">All 43 features verified as point-in-time safe through code-level enforcement</w:t>
      </w:r>
    </w:p>
    <w:p>
      <w:pPr>
        <w:pStyle w:val="Heading2"/>
        <w:spacing w:after="160" w:before="280"/>
      </w:pPr>
      <w:r>
        <w:rPr>
          <w:rFonts w:ascii="Arial" w:cs="Arial" w:eastAsia="Arial" w:hAnsi="Arial"/>
          <w:b/>
          <w:bCs/>
          <w:color w:val="1a365d"/>
          <w:sz w:val="26"/>
          <w:szCs w:val="26"/>
        </w:rPr>
        <w:t xml:space="preserve">3.3 Prediction Source Classification</w:t>
      </w:r>
    </w:p>
    <w:p>
      <w:pPr>
        <w:spacing w:after="120"/>
      </w:pPr>
      <w:r>
        <w:rPr>
          <w:rFonts w:ascii="Arial" w:cs="Arial" w:eastAsia="Arial" w:hAnsi="Arial"/>
          <w:sz w:val="22"/>
          <w:szCs w:val="22"/>
        </w:rPr>
        <w:t xml:space="preserve">Every prediction is immutably classified at creation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prediction_source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(pre-match) or 'backtest' (retroactive simulation)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locked_at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proof when live prediction was frozen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match_scheduled_at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Immutable snapshot of kickoff time at prediction moment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lead_time_hours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Hours before kickoff the prediction was generated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closing_odds_snapshot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Bookmaker odds and value analysis at prediction time</w:t>
            </w:r>
          </w:p>
        </w:tc>
      </w:tr>
    </w:tbl>
    <w:p>
      <w:pPr>
        <w:pStyle w:val="Heading2"/>
        <w:spacing w:after="160" w:before="280"/>
      </w:pPr>
      <w:r>
        <w:rPr>
          <w:rFonts w:ascii="Arial" w:cs="Arial" w:eastAsia="Arial" w:hAnsi="Arial"/>
          <w:b/>
          <w:bCs/>
          <w:color w:val="1a365d"/>
          <w:sz w:val="26"/>
          <w:szCs w:val="26"/>
        </w:rPr>
        <w:t xml:space="preserve">3.4 Validated Performance Metrics</w:t>
      </w:r>
    </w:p>
    <w:p>
      <w:pPr>
        <w:spacing w:after="120"/>
      </w:pPr>
      <w:r>
        <w:rPr>
          <w:rFonts w:ascii="Arial" w:cs="Arial" w:eastAsia="Arial" w:hAnsi="Arial"/>
          <w:sz w:val="22"/>
          <w:szCs w:val="22"/>
        </w:rPr>
        <w:t xml:space="preserve">Optimization was performed via exhaustive grid search across 1,295 weight configurations on 6,502 evaluated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Configurations tested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1,295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predictions evaluated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6,502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Backtest accuracy (Aug 2024 – Dec 2025)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50.4% (3,743 predictions)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 accuracy (Jan 2026 – Apr 2026)</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48.9% (2,759 predictions)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BOTD backtest accuracy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70.1% (432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BOTD validation accuracy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71.1% (232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baseline (3-way)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Backtest-validation gap</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percentage points (no overfitting)</w:t>
            </w:r>
          </w:p>
        </w:tc>
      </w:tr>
    </w:tbl>
    <w:p>
      <w:pPr>
        <w:pStyle w:val="Heading1"/>
        <w:spacing w:after="200" w:before="360"/>
      </w:pPr>
      <w:r>
        <w:rPr>
          <w:rFonts w:ascii="Arial" w:cs="Arial" w:eastAsia="Arial" w:hAnsi="Arial"/>
          <w:b/>
          <w:bCs/>
          <w:color w:val="1a365d"/>
          <w:sz w:val="32"/>
          <w:szCs w:val="32"/>
        </w:rPr>
        <w:t xml:space="preserve">4. Data Integrity &amp; Transparency</w:t>
      </w:r>
    </w:p>
    <w:p>
      <w:pPr>
        <w:pStyle w:val="Heading2"/>
        <w:spacing w:after="160" w:before="280"/>
      </w:pPr>
      <w:r>
        <w:rPr>
          <w:rFonts w:ascii="Arial" w:cs="Arial" w:eastAsia="Arial" w:hAnsi="Arial"/>
          <w:b/>
          <w:bCs/>
          <w:color w:val="1a365d"/>
          <w:sz w:val="26"/>
          <w:szCs w:val="26"/>
        </w:rPr>
        <w:t xml:space="preserve">4.1 Two-Track Record System</w:t>
      </w:r>
    </w:p>
    <w:p>
      <w:pPr>
        <w:pStyle w:val="ListParagraph"/>
        <w:numPr>
          <w:ilvl w:val="0"/>
          <w:numId w:val="2"/>
        </w:numPr>
        <w:spacing w:after="60"/>
      </w:pPr>
      <w:r>
        <w:rPr>
          <w:rFonts w:ascii="Arial" w:cs="Arial" w:eastAsia="Arial" w:hAnsi="Arial"/>
          <w:sz w:val="22"/>
          <w:szCs w:val="22"/>
        </w:rPr>
        <w:t xml:space="preserve">Live track record: only genuine pre-match predictions with timestamp proof</w:t>
      </w:r>
    </w:p>
    <w:p>
      <w:pPr>
        <w:pStyle w:val="ListParagraph"/>
        <w:numPr>
          <w:ilvl w:val="0"/>
          <w:numId w:val="2"/>
        </w:numPr>
        <w:spacing w:after="60"/>
      </w:pPr>
      <w:r>
        <w:rPr>
          <w:rFonts w:ascii="Arial" w:cs="Arial" w:eastAsia="Arial" w:hAnsi="Arial"/>
          <w:sz w:val="22"/>
          <w:szCs w:val="22"/>
        </w:rPr>
        <w:t xml:space="preserve">Backtest track record: historical simulations clearly labeled as such</w:t>
      </w:r>
    </w:p>
    <w:p>
      <w:pPr>
        <w:pStyle w:val="ListParagraph"/>
        <w:numPr>
          <w:ilvl w:val="0"/>
          <w:numId w:val="2"/>
        </w:numPr>
        <w:spacing w:after="60"/>
      </w:pPr>
      <w:r>
        <w:rPr>
          <w:rFonts w:ascii="Arial" w:cs="Arial" w:eastAsia="Arial" w:hAnsi="Arial"/>
          <w:sz w:val="22"/>
          <w:szCs w:val="22"/>
        </w:rPr>
        <w:t xml:space="preserve">API filtering: ?source=live or ?source=backtest for all metrics endpoints</w:t>
      </w:r>
    </w:p>
    <w:p>
      <w:pPr>
        <w:pStyle w:val="ListParagraph"/>
        <w:numPr>
          <w:ilvl w:val="0"/>
          <w:numId w:val="2"/>
        </w:numPr>
        <w:spacing w:after="60"/>
      </w:pPr>
      <w:r>
        <w:rPr>
          <w:rFonts w:ascii="Arial" w:cs="Arial" w:eastAsia="Arial" w:hAnsi="Arial"/>
          <w:sz w:val="22"/>
          <w:szCs w:val="22"/>
        </w:rPr>
        <w:t xml:space="preserve">CSV export: includes prediction source, lead time, and all evaluation metrics</w:t>
      </w:r>
    </w:p>
    <w:p>
      <w:pPr>
        <w:pStyle w:val="Heading2"/>
        <w:spacing w:after="160" w:before="280"/>
      </w:pPr>
      <w:r>
        <w:rPr>
          <w:rFonts w:ascii="Arial" w:cs="Arial" w:eastAsia="Arial" w:hAnsi="Arial"/>
          <w:b/>
          <w:bCs/>
          <w:color w:val="1a365d"/>
          <w:sz w:val="26"/>
          <w:szCs w:val="26"/>
        </w:rPr>
        <w:t xml:space="preserve">4.2 Financial Calculations</w:t>
      </w:r>
    </w:p>
    <w:p>
      <w:pPr>
        <w:pStyle w:val="ListParagraph"/>
        <w:numPr>
          <w:ilvl w:val="0"/>
          <w:numId w:val="2"/>
        </w:numPr>
        <w:spacing w:after="60"/>
      </w:pPr>
      <w:r>
        <w:rPr>
          <w:rFonts w:ascii="Arial" w:cs="Arial" w:eastAsia="Arial" w:hAnsi="Arial"/>
          <w:sz w:val="22"/>
          <w:szCs w:val="22"/>
        </w:rPr>
        <w:t xml:space="preserve">P/L calculated exclusively with real bookmaker odds from licensed data sources</w:t>
      </w:r>
    </w:p>
    <w:p>
      <w:pPr>
        <w:pStyle w:val="ListParagraph"/>
        <w:numPr>
          <w:ilvl w:val="0"/>
          <w:numId w:val="2"/>
        </w:numPr>
        <w:spacing w:after="60"/>
      </w:pPr>
      <w:r>
        <w:rPr>
          <w:rFonts w:ascii="Arial" w:cs="Arial" w:eastAsia="Arial" w:hAnsi="Arial"/>
          <w:sz w:val="22"/>
          <w:szCs w:val="22"/>
        </w:rPr>
        <w:t xml:space="preserve">No circular implied-odds calculations (model evaluating itself)</w:t>
      </w:r>
    </w:p>
    <w:p>
      <w:pPr>
        <w:pStyle w:val="ListParagraph"/>
        <w:numPr>
          <w:ilvl w:val="0"/>
          <w:numId w:val="2"/>
        </w:numPr>
        <w:spacing w:after="60"/>
      </w:pPr>
      <w:r>
        <w:rPr>
          <w:rFonts w:ascii="Arial" w:cs="Arial" w:eastAsia="Arial" w:hAnsi="Arial"/>
          <w:sz w:val="22"/>
          <w:szCs w:val="22"/>
        </w:rPr>
        <w:t xml:space="preserve">When no real odds are available, P/L is reported as null, not estimated</w:t>
      </w:r>
    </w:p>
    <w:p>
      <w:pPr>
        <w:pStyle w:val="ListParagraph"/>
        <w:numPr>
          <w:ilvl w:val="0"/>
          <w:numId w:val="2"/>
        </w:numPr>
        <w:spacing w:after="60"/>
      </w:pPr>
      <w:r>
        <w:rPr>
          <w:rFonts w:ascii="Arial" w:cs="Arial" w:eastAsia="Arial" w:hAnsi="Arial"/>
          <w:sz w:val="22"/>
          <w:szCs w:val="22"/>
        </w:rPr>
        <w:t xml:space="preserve">Odds coverage percentage disclosed transparently for every metric</w:t>
      </w:r>
    </w:p>
    <w:p>
      <w:pPr>
        <w:pStyle w:val="Heading2"/>
        <w:spacing w:after="160" w:before="280"/>
      </w:pPr>
      <w:r>
        <w:rPr>
          <w:rFonts w:ascii="Arial" w:cs="Arial" w:eastAsia="Arial" w:hAnsi="Arial"/>
          <w:b/>
          <w:bCs/>
          <w:color w:val="1a365d"/>
          <w:sz w:val="26"/>
          <w:szCs w:val="26"/>
        </w:rPr>
        <w:t xml:space="preserve">4.3 Mandatory Disclaimers</w:t>
      </w:r>
    </w:p>
    <w:p>
      <w:pPr>
        <w:spacing w:after="120"/>
      </w:pPr>
      <w:r>
        <w:rPr>
          <w:rFonts w:ascii="Arial" w:cs="Arial" w:eastAsia="Arial" w:hAnsi="Arial"/>
          <w:i/>
          <w:iCs/>
          <w:sz w:val="22"/>
          <w:szCs w:val="22"/>
        </w:rPr>
        <w:t xml:space="preserve">Every API response and UI component carrying prediction data includes:</w:t>
      </w:r>
    </w:p>
    <w:p>
      <w:pPr>
        <w:spacing w:after="120"/>
      </w:pPr>
      <w:r>
        <w:rPr>
          <w:rFonts w:ascii="Arial" w:cs="Arial" w:eastAsia="Arial" w:hAnsi="Arial"/>
          <w:i/>
          <w:iCs/>
          <w:sz w:val="20"/>
          <w:szCs w:val="20"/>
        </w:rPr>
        <w:t xml:space="preserve">"SIMULATION / EDUCATIONAL USE ONLY. These probability estimates are generated by a statistical model for research and educational purposes. They do NOT constitute financial, betting, or investment advice. Past model performance is not indicative of future results. Always gamble responsibly and within applicable laws."</w:t>
      </w:r>
    </w:p>
    <w:p>
      <w:pPr>
        <w:pStyle w:val="Heading1"/>
        <w:spacing w:after="200" w:before="360"/>
      </w:pPr>
      <w:r>
        <w:rPr>
          <w:rFonts w:ascii="Arial" w:cs="Arial" w:eastAsia="Arial" w:hAnsi="Arial"/>
          <w:b/>
          <w:bCs/>
          <w:color w:val="1a365d"/>
          <w:sz w:val="32"/>
          <w:szCs w:val="32"/>
        </w:rPr>
        <w:t xml:space="preserve">5. Legal Framework</w:t>
      </w:r>
    </w:p>
    <w:p>
      <w:pPr>
        <w:pStyle w:val="Heading2"/>
        <w:spacing w:after="160" w:before="280"/>
      </w:pPr>
      <w:r>
        <w:rPr>
          <w:rFonts w:ascii="Arial" w:cs="Arial" w:eastAsia="Arial" w:hAnsi="Arial"/>
          <w:b/>
          <w:bCs/>
          <w:color w:val="1a365d"/>
          <w:sz w:val="26"/>
          <w:szCs w:val="26"/>
        </w:rPr>
        <w:t xml:space="preserve">5.1 Regulatory Classification</w:t>
      </w:r>
    </w:p>
    <w:p>
      <w:pPr>
        <w:spacing w:after="120"/>
      </w:pPr>
      <w:r>
        <w:rPr>
          <w:rFonts w:ascii="Arial" w:cs="Arial" w:eastAsia="Arial" w:hAnsi="Arial"/>
          <w:sz w:val="22"/>
          <w:szCs w:val="22"/>
        </w:rPr>
        <w:t xml:space="preserve">BetsPlug provides statistical analysis and educational content. It is expressly NOT:</w:t>
      </w:r>
    </w:p>
    <w:p>
      <w:pPr>
        <w:pStyle w:val="ListParagraph"/>
        <w:numPr>
          <w:ilvl w:val="0"/>
          <w:numId w:val="2"/>
        </w:numPr>
        <w:spacing w:after="60"/>
      </w:pPr>
      <w:r>
        <w:rPr>
          <w:rFonts w:ascii="Arial" w:cs="Arial" w:eastAsia="Arial" w:hAnsi="Arial"/>
          <w:sz w:val="22"/>
          <w:szCs w:val="22"/>
        </w:rPr>
        <w:t xml:space="preserve">A gambling operator — no wagers are accepted or facilitated</w:t>
      </w:r>
    </w:p>
    <w:p>
      <w:pPr>
        <w:pStyle w:val="ListParagraph"/>
        <w:numPr>
          <w:ilvl w:val="0"/>
          <w:numId w:val="2"/>
        </w:numPr>
        <w:spacing w:after="60"/>
      </w:pPr>
      <w:r>
        <w:rPr>
          <w:rFonts w:ascii="Arial" w:cs="Arial" w:eastAsia="Arial" w:hAnsi="Arial"/>
          <w:sz w:val="22"/>
          <w:szCs w:val="22"/>
        </w:rPr>
        <w:t xml:space="preserve">A tipster service — no returns are guaranteed or implied</w:t>
      </w:r>
    </w:p>
    <w:p>
      <w:pPr>
        <w:pStyle w:val="ListParagraph"/>
        <w:numPr>
          <w:ilvl w:val="0"/>
          <w:numId w:val="2"/>
        </w:numPr>
        <w:spacing w:after="60"/>
      </w:pPr>
      <w:r>
        <w:rPr>
          <w:rFonts w:ascii="Arial" w:cs="Arial" w:eastAsia="Arial" w:hAnsi="Arial"/>
          <w:sz w:val="22"/>
          <w:szCs w:val="22"/>
        </w:rPr>
        <w:t xml:space="preserve">Financial advice — no investment or betting guidance is provided</w:t>
      </w:r>
    </w:p>
    <w:p>
      <w:pPr>
        <w:spacing w:after="120"/>
      </w:pPr>
      <w:r>
        <w:rPr>
          <w:rFonts w:ascii="Arial" w:cs="Arial" w:eastAsia="Arial" w:hAnsi="Arial"/>
          <w:sz w:val="22"/>
          <w:szCs w:val="22"/>
        </w:rPr>
        <w:t xml:space="preserve">The platform operates as an information and analytics service under applicable EU Digital Services Act provisions and national information service regulations.</w:t>
      </w:r>
    </w:p>
    <w:p>
      <w:pPr>
        <w:pStyle w:val="Heading2"/>
        <w:spacing w:after="160" w:before="280"/>
      </w:pPr>
      <w:r>
        <w:rPr>
          <w:rFonts w:ascii="Arial" w:cs="Arial" w:eastAsia="Arial" w:hAnsi="Arial"/>
          <w:b/>
          <w:bCs/>
          <w:color w:val="1a365d"/>
          <w:sz w:val="26"/>
          <w:szCs w:val="26"/>
        </w:rPr>
        <w:t xml:space="preserve">5.2 Responsible Gambling Compliance</w:t>
      </w:r>
    </w:p>
    <w:p>
      <w:pPr>
        <w:pStyle w:val="ListParagraph"/>
        <w:numPr>
          <w:ilvl w:val="0"/>
          <w:numId w:val="2"/>
        </w:numPr>
        <w:spacing w:after="60"/>
      </w:pPr>
      <w:r>
        <w:rPr>
          <w:rFonts w:ascii="Arial" w:cs="Arial" w:eastAsia="Arial" w:hAnsi="Arial"/>
          <w:sz w:val="22"/>
          <w:szCs w:val="22"/>
        </w:rPr>
        <w:t xml:space="preserve">Mandatory simulation/educational disclaimer on all prediction outputs</w:t>
      </w:r>
    </w:p>
    <w:p>
      <w:pPr>
        <w:pStyle w:val="ListParagraph"/>
        <w:numPr>
          <w:ilvl w:val="0"/>
          <w:numId w:val="2"/>
        </w:numPr>
        <w:spacing w:after="60"/>
      </w:pPr>
      <w:r>
        <w:rPr>
          <w:rFonts w:ascii="Arial" w:cs="Arial" w:eastAsia="Arial" w:hAnsi="Arial"/>
          <w:sz w:val="22"/>
          <w:szCs w:val="22"/>
        </w:rPr>
        <w:t xml:space="preserve">No guarantee of accuracy or profitability — explicitly disclaimed</w:t>
      </w:r>
    </w:p>
    <w:p>
      <w:pPr>
        <w:pStyle w:val="ListParagraph"/>
        <w:numPr>
          <w:ilvl w:val="0"/>
          <w:numId w:val="2"/>
        </w:numPr>
        <w:spacing w:after="60"/>
      </w:pPr>
      <w:r>
        <w:rPr>
          <w:rFonts w:ascii="Arial" w:cs="Arial" w:eastAsia="Arial" w:hAnsi="Arial"/>
          <w:sz w:val="22"/>
          <w:szCs w:val="22"/>
        </w:rPr>
        <w:t xml:space="preserve">"Past performance is not indicative of future results" messaging</w:t>
      </w:r>
    </w:p>
    <w:p>
      <w:pPr>
        <w:pStyle w:val="ListParagraph"/>
        <w:numPr>
          <w:ilvl w:val="0"/>
          <w:numId w:val="2"/>
        </w:numPr>
        <w:spacing w:after="60"/>
      </w:pPr>
      <w:r>
        <w:rPr>
          <w:rFonts w:ascii="Arial" w:cs="Arial" w:eastAsia="Arial" w:hAnsi="Arial"/>
          <w:sz w:val="22"/>
          <w:szCs w:val="22"/>
        </w:rPr>
        <w:t xml:space="preserve">Age verification (18+) required for subscription purchases via Stripe</w:t>
      </w:r>
    </w:p>
    <w:p>
      <w:pPr>
        <w:pStyle w:val="ListParagraph"/>
        <w:numPr>
          <w:ilvl w:val="0"/>
          <w:numId w:val="2"/>
        </w:numPr>
        <w:spacing w:after="60"/>
      </w:pPr>
      <w:r>
        <w:rPr>
          <w:rFonts w:ascii="Arial" w:cs="Arial" w:eastAsia="Arial" w:hAnsi="Arial"/>
          <w:sz w:val="22"/>
          <w:szCs w:val="22"/>
        </w:rPr>
        <w:t xml:space="preserve">Self-exclusion: users can delete accounts and all associated data</w:t>
      </w:r>
    </w:p>
    <w:p>
      <w:pPr>
        <w:pStyle w:val="Heading2"/>
        <w:spacing w:after="160" w:before="280"/>
      </w:pPr>
      <w:r>
        <w:rPr>
          <w:rFonts w:ascii="Arial" w:cs="Arial" w:eastAsia="Arial" w:hAnsi="Arial"/>
          <w:b/>
          <w:bCs/>
          <w:color w:val="1a365d"/>
          <w:sz w:val="26"/>
          <w:szCs w:val="26"/>
        </w:rPr>
        <w:t xml:space="preserve">5.3 Data Protection (GDPR)</w:t>
      </w:r>
    </w:p>
    <w:p>
      <w:pPr>
        <w:spacing w:after="120"/>
      </w:pPr>
      <w:r>
        <w:rPr>
          <w:rFonts w:ascii="Arial" w:cs="Arial" w:eastAsia="Arial" w:hAnsi="Arial"/>
          <w:sz w:val="22"/>
          <w:szCs w:val="22"/>
        </w:rPr>
        <w:t xml:space="preserve">The platform processes minimal personal data in compliance with GDPR: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Data Category</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Processing Basis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username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performance (account creation)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status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performance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Abandoned checkout email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Legitimate interest (single reminder)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data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stored — processed by Stripe (PCI-DSS Level 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Prediction history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performance (service delivery)</w:t>
            </w:r>
          </w:p>
        </w:tc>
      </w:tr>
    </w:tbl>
    <w:p>
      <w:pPr>
        <w:pStyle w:val="ListParagraph"/>
        <w:numPr>
          <w:ilvl w:val="0"/>
          <w:numId w:val="2"/>
        </w:numPr>
        <w:spacing w:after="60"/>
      </w:pPr>
      <w:r>
        <w:rPr>
          <w:rFonts w:ascii="Arial" w:cs="Arial" w:eastAsia="Arial" w:hAnsi="Arial"/>
          <w:sz w:val="22"/>
          <w:szCs w:val="22"/>
        </w:rPr>
        <w:t xml:space="preserve">Right to erasure: users can delete accounts via settings or GDPR request</w:t>
      </w:r>
    </w:p>
    <w:p>
      <w:pPr>
        <w:pStyle w:val="ListParagraph"/>
        <w:numPr>
          <w:ilvl w:val="0"/>
          <w:numId w:val="2"/>
        </w:numPr>
        <w:spacing w:after="60"/>
      </w:pPr>
      <w:r>
        <w:rPr>
          <w:rFonts w:ascii="Arial" w:cs="Arial" w:eastAsia="Arial" w:hAnsi="Arial"/>
          <w:sz w:val="22"/>
          <w:szCs w:val="22"/>
        </w:rPr>
        <w:t xml:space="preserve">Data processing: EU-based infrastructure (Railway EU, Vercel EU edge)</w:t>
      </w:r>
    </w:p>
    <w:p>
      <w:pPr>
        <w:pStyle w:val="ListParagraph"/>
        <w:numPr>
          <w:ilvl w:val="0"/>
          <w:numId w:val="2"/>
        </w:numPr>
        <w:spacing w:after="60"/>
      </w:pPr>
      <w:r>
        <w:rPr>
          <w:rFonts w:ascii="Arial" w:cs="Arial" w:eastAsia="Arial" w:hAnsi="Arial"/>
          <w:sz w:val="22"/>
          <w:szCs w:val="22"/>
        </w:rPr>
        <w:t xml:space="preserve">No profiling for automated decision-making affecting users</w:t>
      </w:r>
    </w:p>
    <w:p>
      <w:pPr>
        <w:pStyle w:val="Heading2"/>
        <w:spacing w:after="160" w:before="280"/>
      </w:pPr>
      <w:r>
        <w:rPr>
          <w:rFonts w:ascii="Arial" w:cs="Arial" w:eastAsia="Arial" w:hAnsi="Arial"/>
          <w:b/>
          <w:bCs/>
          <w:color w:val="1a365d"/>
          <w:sz w:val="26"/>
          <w:szCs w:val="26"/>
        </w:rPr>
        <w:t xml:space="preserve">5.4 Intellectual Property</w:t>
      </w:r>
    </w:p>
    <w:p>
      <w:pPr>
        <w:pStyle w:val="ListParagraph"/>
        <w:numPr>
          <w:ilvl w:val="0"/>
          <w:numId w:val="2"/>
        </w:numPr>
        <w:spacing w:after="60"/>
      </w:pPr>
      <w:r>
        <w:rPr>
          <w:rFonts w:ascii="Arial" w:cs="Arial" w:eastAsia="Arial" w:hAnsi="Arial"/>
          <w:sz w:val="22"/>
          <w:szCs w:val="22"/>
        </w:rPr>
        <w:t xml:space="preserve">Prediction engine: proprietary ensemble methodology developed in-house</w:t>
      </w:r>
    </w:p>
    <w:p>
      <w:pPr>
        <w:pStyle w:val="ListParagraph"/>
        <w:numPr>
          <w:ilvl w:val="0"/>
          <w:numId w:val="2"/>
        </w:numPr>
        <w:spacing w:after="60"/>
      </w:pPr>
      <w:r>
        <w:rPr>
          <w:rFonts w:ascii="Arial" w:cs="Arial" w:eastAsia="Arial" w:hAnsi="Arial"/>
          <w:sz w:val="22"/>
          <w:szCs w:val="22"/>
        </w:rPr>
        <w:t xml:space="preserve">Training data: licensed from API-Football (Pro tier commercial license)</w:t>
      </w:r>
    </w:p>
    <w:p>
      <w:pPr>
        <w:pStyle w:val="ListParagraph"/>
        <w:numPr>
          <w:ilvl w:val="0"/>
          <w:numId w:val="2"/>
        </w:numPr>
        <w:spacing w:after="60"/>
      </w:pPr>
      <w:r>
        <w:rPr>
          <w:rFonts w:ascii="Arial" w:cs="Arial" w:eastAsia="Arial" w:hAnsi="Arial"/>
          <w:sz w:val="22"/>
          <w:szCs w:val="22"/>
        </w:rPr>
        <w:t xml:space="preserve">Supplementary data: Football-Data.org (attribution license)</w:t>
      </w:r>
    </w:p>
    <w:p>
      <w:pPr>
        <w:pStyle w:val="ListParagraph"/>
        <w:numPr>
          <w:ilvl w:val="0"/>
          <w:numId w:val="2"/>
        </w:numPr>
        <w:spacing w:after="60"/>
      </w:pPr>
      <w:r>
        <w:rPr>
          <w:rFonts w:ascii="Arial" w:cs="Arial" w:eastAsia="Arial" w:hAnsi="Arial"/>
          <w:sz w:val="22"/>
          <w:szCs w:val="22"/>
        </w:rPr>
        <w:t xml:space="preserve">Odds data: licensed from The Odds API (commercial subscription)</w:t>
      </w:r>
    </w:p>
    <w:p>
      <w:pPr>
        <w:pStyle w:val="ListParagraph"/>
        <w:numPr>
          <w:ilvl w:val="0"/>
          <w:numId w:val="2"/>
        </w:numPr>
        <w:spacing w:after="60"/>
      </w:pPr>
      <w:r>
        <w:rPr>
          <w:rFonts w:ascii="Arial" w:cs="Arial" w:eastAsia="Arial" w:hAnsi="Arial"/>
          <w:sz w:val="22"/>
          <w:szCs w:val="22"/>
        </w:rPr>
        <w:t xml:space="preserve">All third-party data used within respective license terms</w:t>
      </w:r>
    </w:p>
    <w:p>
      <w:pPr>
        <w:pStyle w:val="Heading1"/>
        <w:spacing w:after="200" w:before="360"/>
      </w:pPr>
      <w:r>
        <w:rPr>
          <w:rFonts w:ascii="Arial" w:cs="Arial" w:eastAsia="Arial" w:hAnsi="Arial"/>
          <w:b/>
          <w:bCs/>
          <w:color w:val="1a365d"/>
          <w:sz w:val="32"/>
          <w:szCs w:val="32"/>
        </w:rPr>
        <w:t xml:space="preserve">6. Risk Disclosure</w:t>
      </w:r>
    </w:p>
    <w:p>
      <w:pPr>
        <w:spacing w:after="120"/>
      </w:pPr>
      <w:r>
        <w:rPr>
          <w:rFonts w:ascii="Arial" w:cs="Arial" w:eastAsia="Arial" w:hAnsi="Arial"/>
          <w:sz w:val="22"/>
          <w:szCs w:val="22"/>
        </w:rPr>
        <w:t xml:space="preserve">Users and stakeholders must understand the following inherent limitations:</w:t>
      </w:r>
    </w:p>
    <w:p>
      <w:pPr>
        <w:pStyle w:val="ListParagraph"/>
        <w:numPr>
          <w:ilvl w:val="0"/>
          <w:numId w:val="2"/>
        </w:numPr>
        <w:spacing w:after="60"/>
      </w:pPr>
      <w:r>
        <w:rPr>
          <w:rFonts w:ascii="Arial" w:cs="Arial" w:eastAsia="Arial" w:hAnsi="Arial"/>
          <w:sz w:val="22"/>
          <w:szCs w:val="22"/>
        </w:rPr>
        <w:t xml:space="preserve">Predictions are probabilistic estimates derived from historical patterns, not certainties</w:t>
      </w:r>
    </w:p>
    <w:p>
      <w:pPr>
        <w:pStyle w:val="ListParagraph"/>
        <w:numPr>
          <w:ilvl w:val="0"/>
          <w:numId w:val="2"/>
        </w:numPr>
        <w:spacing w:after="60"/>
      </w:pPr>
      <w:r>
        <w:rPr>
          <w:rFonts w:ascii="Arial" w:cs="Arial" w:eastAsia="Arial" w:hAnsi="Arial"/>
          <w:sz w:val="22"/>
          <w:szCs w:val="22"/>
        </w:rPr>
        <w:t xml:space="preserve">Historical accuracy (48.9% overall, 71.1% BOTD) does not guarantee future performance</w:t>
      </w:r>
    </w:p>
    <w:p>
      <w:pPr>
        <w:pStyle w:val="ListParagraph"/>
        <w:numPr>
          <w:ilvl w:val="0"/>
          <w:numId w:val="2"/>
        </w:numPr>
        <w:spacing w:after="60"/>
      </w:pPr>
      <w:r>
        <w:rPr>
          <w:rFonts w:ascii="Arial" w:cs="Arial" w:eastAsia="Arial" w:hAnsi="Arial"/>
          <w:sz w:val="22"/>
          <w:szCs w:val="22"/>
        </w:rPr>
        <w:t xml:space="preserve">Models may underperform during atypical conditions (e.g., pandemic disruptions, player strikes, rule changes)</w:t>
      </w:r>
    </w:p>
    <w:p>
      <w:pPr>
        <w:pStyle w:val="ListParagraph"/>
        <w:numPr>
          <w:ilvl w:val="0"/>
          <w:numId w:val="2"/>
        </w:numPr>
        <w:spacing w:after="60"/>
      </w:pPr>
      <w:r>
        <w:rPr>
          <w:rFonts w:ascii="Arial" w:cs="Arial" w:eastAsia="Arial" w:hAnsi="Arial"/>
          <w:sz w:val="22"/>
          <w:szCs w:val="22"/>
        </w:rPr>
        <w:t xml:space="preserve">League-level accuracy varies: top-6 European leagues achieve approximately 50%, while lower-tier leagues average approximately 40%</w:t>
      </w:r>
    </w:p>
    <w:p>
      <w:pPr>
        <w:pStyle w:val="ListParagraph"/>
        <w:numPr>
          <w:ilvl w:val="0"/>
          <w:numId w:val="2"/>
        </w:numPr>
        <w:spacing w:after="60"/>
      </w:pPr>
      <w:r>
        <w:rPr>
          <w:rFonts w:ascii="Arial" w:cs="Arial" w:eastAsia="Arial" w:hAnsi="Arial"/>
          <w:sz w:val="22"/>
          <w:szCs w:val="22"/>
        </w:rPr>
        <w:t xml:space="preserve">Users should never stake money they cannot afford to lose</w:t>
      </w:r>
    </w:p>
    <w:p>
      <w:pPr>
        <w:pStyle w:val="ListParagraph"/>
        <w:numPr>
          <w:ilvl w:val="0"/>
          <w:numId w:val="2"/>
        </w:numPr>
        <w:spacing w:after="60"/>
      </w:pPr>
      <w:r>
        <w:rPr>
          <w:rFonts w:ascii="Arial" w:cs="Arial" w:eastAsia="Arial" w:hAnsi="Arial"/>
          <w:sz w:val="22"/>
          <w:szCs w:val="22"/>
        </w:rPr>
        <w:t xml:space="preserve">BetsPlug accepts no liability for financial losses arising from the use of its predictions</w:t>
      </w:r>
    </w:p>
    <w:p>
      <w:pPr>
        <w:pStyle w:val="Heading1"/>
        <w:spacing w:after="200" w:before="360"/>
      </w:pPr>
      <w:r>
        <w:rPr>
          <w:rFonts w:ascii="Arial" w:cs="Arial" w:eastAsia="Arial" w:hAnsi="Arial"/>
          <w:b/>
          <w:bCs/>
          <w:color w:val="1a365d"/>
          <w:sz w:val="32"/>
          <w:szCs w:val="32"/>
        </w:rPr>
        <w:t xml:space="preserve">7. Audit Trail &amp; Reproducibility</w:t>
      </w:r>
    </w:p>
    <w:p>
      <w:pPr>
        <w:spacing w:after="120"/>
      </w:pPr>
      <w:r>
        <w:rPr>
          <w:rFonts w:ascii="Arial" w:cs="Arial" w:eastAsia="Arial" w:hAnsi="Arial"/>
          <w:sz w:val="22"/>
          <w:szCs w:val="22"/>
        </w:rPr>
        <w:t xml:space="preserve">The platform maintains a comprehensive audit trail for every prediction:</w:t>
      </w:r>
    </w:p>
    <w:p>
      <w:pPr>
        <w:pStyle w:val="ListParagraph"/>
        <w:numPr>
          <w:ilvl w:val="0"/>
          <w:numId w:val="2"/>
        </w:numPr>
        <w:spacing w:after="60"/>
      </w:pPr>
      <w:r>
        <w:rPr>
          <w:rFonts w:ascii="Arial" w:cs="Arial" w:eastAsia="Arial" w:hAnsi="Arial"/>
          <w:sz w:val="22"/>
          <w:szCs w:val="22"/>
        </w:rPr>
        <w:t xml:space="preserve">Immutable prediction record: timestamp, model version, 43-feature snapshot, raw model output</w:t>
      </w:r>
    </w:p>
    <w:p>
      <w:pPr>
        <w:pStyle w:val="ListParagraph"/>
        <w:numPr>
          <w:ilvl w:val="0"/>
          <w:numId w:val="2"/>
        </w:numPr>
        <w:spacing w:after="60"/>
      </w:pPr>
      <w:r>
        <w:rPr>
          <w:rFonts w:ascii="Arial" w:cs="Arial" w:eastAsia="Arial" w:hAnsi="Arial"/>
          <w:sz w:val="22"/>
          <w:szCs w:val="22"/>
        </w:rPr>
        <w:t xml:space="preserve">Evaluation records: link predictions to actual match outcomes with Brier score and log-loss</w:t>
      </w:r>
    </w:p>
    <w:p>
      <w:pPr>
        <w:pStyle w:val="ListParagraph"/>
        <w:numPr>
          <w:ilvl w:val="0"/>
          <w:numId w:val="2"/>
        </w:numPr>
        <w:spacing w:after="60"/>
      </w:pPr>
      <w:r>
        <w:rPr>
          <w:rFonts w:ascii="Arial" w:cs="Arial" w:eastAsia="Arial" w:hAnsi="Arial"/>
          <w:sz w:val="22"/>
          <w:szCs w:val="22"/>
        </w:rPr>
        <w:t xml:space="preserve">Full reproducibility: given identical features, the model produces identical output</w:t>
      </w:r>
    </w:p>
    <w:p>
      <w:pPr>
        <w:pStyle w:val="ListParagraph"/>
        <w:numPr>
          <w:ilvl w:val="0"/>
          <w:numId w:val="2"/>
        </w:numPr>
        <w:spacing w:after="60"/>
      </w:pPr>
      <w:r>
        <w:rPr>
          <w:rFonts w:ascii="Arial" w:cs="Arial" w:eastAsia="Arial" w:hAnsi="Arial"/>
          <w:sz w:val="22"/>
          <w:szCs w:val="22"/>
        </w:rPr>
        <w:t xml:space="preserve">Version control: all model changes documented in git history with commit messages</w:t>
      </w:r>
    </w:p>
    <w:p>
      <w:pPr>
        <w:pStyle w:val="ListParagraph"/>
        <w:numPr>
          <w:ilvl w:val="0"/>
          <w:numId w:val="2"/>
        </w:numPr>
        <w:spacing w:after="60"/>
      </w:pPr>
      <w:r>
        <w:rPr>
          <w:rFonts w:ascii="Arial" w:cs="Arial" w:eastAsia="Arial" w:hAnsi="Arial"/>
          <w:sz w:val="22"/>
          <w:szCs w:val="22"/>
        </w:rPr>
        <w:t xml:space="preserve">Database migrations: schema changes tracked via Alembic with up/down reversibility</w:t>
      </w:r>
    </w:p>
    <w:p>
      <w:pPr>
        <w:pStyle w:val="Heading1"/>
        <w:spacing w:after="200" w:before="360"/>
      </w:pPr>
      <w:r>
        <w:rPr>
          <w:rFonts w:ascii="Arial" w:cs="Arial" w:eastAsia="Arial" w:hAnsi="Arial"/>
          <w:b/>
          <w:bCs/>
          <w:color w:val="1a365d"/>
          <w:sz w:val="32"/>
          <w:szCs w:val="32"/>
        </w:rPr>
        <w:t xml:space="preserve">8. Contact &amp;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Entity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BetsPlug B.V.</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Website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https://betsplug.com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Contact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contact page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Protection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GDPR requests via contact page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Version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 (April 2026)</w:t>
            </w:r>
          </w:p>
        </w:tc>
      </w:tr>
    </w:tbl>
    <w:p>
      <w:pPr>
        <w:spacing w:before="600"/>
      </w:pPr>
    </w:p>
    <w:p>
      <w:pPr>
        <w:spacing w:after="120"/>
      </w:pPr>
      <w:r>
        <w:rPr>
          <w:rFonts w:ascii="Arial" w:cs="Arial" w:eastAsia="Arial" w:hAnsi="Arial"/>
          <w:i/>
          <w:iCs/>
          <w:color w:val="999999"/>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 — BetsPlug B.V.</w:t>
    </w:r>
    <w: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tabs>
        <w:tab w:val="right" w:pos="9026"/>
      </w:tabs>
    </w:pPr>
    <w:r>
      <w:rPr>
        <w:rFonts w:ascii="Arial" w:cs="Arial" w:eastAsia="Arial" w:hAnsi="Arial"/>
        <w:i/>
        <w:iCs/>
        <w:color w:val="999999"/>
        <w:sz w:val="18"/>
        <w:szCs w:val="18"/>
      </w:rPr>
      <w:t xml:space="preserve">BetsPlug — Technical &amp; Legal Framework</w:t>
    </w:r>
    <w:r>
      <w:rPr>
        <w:rFonts w:ascii="Arial" w:cs="Arial" w:eastAsia="Arial" w:hAnsi="Arial"/>
        <w:color w:val="999999"/>
        <w:sz w:val="18"/>
        <w:szCs w:val="18"/>
      </w:rPr>
      <w:t xml:space="preserve">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2026-04-13T20:49:24.776Z</dcterms:created>
  <dcterms:modified xsi:type="dcterms:W3CDTF">2026-04-13T20:49:24.797Z</dcterms:modified>
</cp:coreProperties>
</file>

<file path=docProps/custom.xml><?xml version="1.0" encoding="utf-8"?>
<Properties xmlns="http://schemas.openxmlformats.org/officeDocument/2006/custom-properties" xmlns:vt="http://schemas.openxmlformats.org/officeDocument/2006/docPropsVTypes"/>
</file>