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pBdr>
          <w:bottom w:val="single" w:color="1a365d" w:sz="6" w:space="8"/>
        </w:pBdr>
        <w:spacing w:after="200"/>
        <w:jc w:val="center"/>
      </w:pPr>
      <w:r>
        <w:rPr>
          <w:rFonts w:ascii="Arial" w:cs="Arial" w:eastAsia="Arial" w:hAnsi="Arial"/>
          <w:b/>
          <w:bCs/>
          <w:color w:val="1a365d"/>
          <w:sz w:val="72"/>
          <w:szCs w:val="72"/>
        </w:rPr>
        <w:t xml:space="preserve">BetsPlug</w:t>
      </w:r>
    </w:p>
    <w:p>
      <w:pPr>
        <w:spacing w:after="100"/>
        <w:jc w:val="center"/>
      </w:pPr>
      <w:r>
        <w:rPr>
          <w:rFonts w:ascii="Arial" w:cs="Arial" w:eastAsia="Arial" w:hAnsi="Arial"/>
          <w:color w:val="444444"/>
          <w:sz w:val="40"/>
          <w:szCs w:val="40"/>
        </w:rPr>
        <w:t xml:space="preserve">Legal Framework</w:t>
      </w:r>
    </w:p>
    <w:p>
      <w:pPr>
        <w:spacing w:after="400"/>
        <w:jc w:val="center"/>
      </w:pPr>
      <w:r>
        <w:rPr>
          <w:rFonts w:ascii="Arial" w:cs="Arial" w:eastAsia="Arial" w:hAnsi="Arial"/>
          <w:i/>
          <w:iCs/>
          <w:color w:val="666666"/>
          <w:sz w:val="24"/>
          <w:szCs w:val="24"/>
        </w:rPr>
        <w:t xml:space="preserve">Compliance, Disclaimers &amp; Liability</w:t>
      </w:r>
    </w:p>
    <w:p>
      <w:pPr>
        <w:spacing w:before="1200"/>
      </w:pPr>
    </w:p>
    <w:p>
      <w:pPr>
        <w:spacing w:after="100"/>
        <w:jc w:val="center"/>
      </w:pPr>
      <w:r>
        <w:rPr>
          <w:rFonts w:ascii="Arial" w:cs="Arial" w:eastAsia="Arial" w:hAnsi="Arial"/>
          <w:b/>
          <w:bCs/>
          <w:color w:val="cc0000"/>
          <w:sz w:val="20"/>
          <w:szCs w:val="20"/>
        </w:rPr>
        <w:t xml:space="preserve">CONFIDENTIAL</w:t>
      </w:r>
    </w:p>
    <w:p>
      <w:pPr>
        <w:spacing w:after="200"/>
        <w:jc w:val="center"/>
      </w:pPr>
      <w:r>
        <w:rPr>
          <w:rFonts w:ascii="Arial" w:cs="Arial" w:eastAsia="Arial" w:hAnsi="Arial"/>
          <w:color w:val="666666"/>
          <w:sz w:val="20"/>
          <w:szCs w:val="20"/>
        </w:rPr>
        <w:t xml:space="preserve">For Legal &amp; Compliance Stakeholders Only</w:t>
      </w:r>
    </w:p>
    <w:p>
      <w:pPr>
        <w:spacing w:before="600"/>
      </w:pPr>
    </w:p>
    <w:p>
      <w:pPr>
        <w:jc w:val="center"/>
      </w:pPr>
      <w:r>
        <w:rPr>
          <w:rFonts w:ascii="Arial" w:cs="Arial" w:eastAsia="Arial" w:hAnsi="Arial"/>
          <w:color w:val="444444"/>
          <w:sz w:val="22"/>
          <w:szCs w:val="22"/>
        </w:rPr>
        <w:t xml:space="preserve">Version 8.1  |  April 2026</w:t>
      </w:r>
    </w:p>
    <w:p>
      <w:pPr>
        <w:spacing w:after="100"/>
        <w:jc w:val="center"/>
      </w:pPr>
      <w:r>
        <w:rPr>
          <w:rFonts w:ascii="Arial" w:cs="Arial" w:eastAsia="Arial" w:hAnsi="Arial"/>
          <w:b/>
          <w:bCs/>
          <w:color w:val="1a365d"/>
          <w:sz w:val="22"/>
          <w:szCs w:val="22"/>
        </w:rPr>
        <w:t xml:space="preserve">Sanders Capital (BetsPlug) — KvK 96286008</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65d"/>
          <w:sz w:val="32"/>
          <w:szCs w:val="32"/>
        </w:rPr>
        <w:t xml:space="preserve">1. Executive Summary</w:t>
      </w:r>
    </w:p>
    <w:p>
      <w:pPr>
        <w:spacing w:after="140" w:line="320"/>
      </w:pPr>
      <w:r>
        <w:rPr>
          <w:rFonts w:ascii="Arial" w:cs="Arial" w:eastAsia="Arial" w:hAnsi="Arial"/>
          <w:sz w:val="22"/>
          <w:szCs w:val="22"/>
        </w:rPr>
        <w:t xml:space="preserve">This document sets out the legal framework under which BetsPlug operates. It is intended for legal counsel, compliance officers, regulators, auditors, and business partners.</w:t>
      </w:r>
    </w:p>
    <w:p>
      <w:pPr>
        <w:spacing w:after="140" w:line="320"/>
      </w:pPr>
      <w:r>
        <w:rPr>
          <w:rFonts w:ascii="Arial" w:cs="Arial" w:eastAsia="Arial" w:hAnsi="Arial"/>
          <w:sz w:val="22"/>
          <w:szCs w:val="22"/>
        </w:rPr>
        <w:t xml:space="preserve">BetsPlug is an information service providing AI-generated football match predictions for educational and research purposes. BetsPlug does not accept wagers, does not organise gambling activities, and does not facilitate betting transactions. The platform qualifies as an information society service under the EU Digital Services Act (DSA).</w:t>
      </w:r>
    </w:p>
    <w:p>
      <w:pPr>
        <w:spacing w:after="140" w:line="320"/>
      </w:pPr>
      <w:r>
        <w:rPr>
          <w:rFonts w:ascii="Arial" w:cs="Arial" w:eastAsia="Arial" w:hAnsi="Arial"/>
          <w:sz w:val="22"/>
          <w:szCs w:val="22"/>
        </w:rPr>
        <w:t xml:space="preserve">All predictions include a mandatory disclaimer. User data is processed in compliance with GDPR. Payments are handled by Stripe; BetsPlug does not store credit card data.</w:t>
      </w:r>
    </w:p>
    <w:p>
      <w:pPr>
        <w:pStyle w:val="Heading1"/>
        <w:spacing w:after="200" w:before="360"/>
      </w:pPr>
      <w:r>
        <w:rPr>
          <w:rFonts w:ascii="Arial" w:cs="Arial" w:eastAsia="Arial" w:hAnsi="Arial"/>
          <w:b/>
          <w:bCs/>
          <w:color w:val="1a365d"/>
          <w:sz w:val="32"/>
          <w:szCs w:val="32"/>
        </w:rPr>
        <w:t xml:space="preserve">2. Product Classification</w:t>
      </w:r>
    </w:p>
    <w:p>
      <w:pPr>
        <w:pStyle w:val="Heading2"/>
        <w:spacing w:after="160" w:before="280"/>
      </w:pPr>
      <w:r>
        <w:rPr>
          <w:rFonts w:ascii="Arial" w:cs="Arial" w:eastAsia="Arial" w:hAnsi="Arial"/>
          <w:b/>
          <w:bCs/>
          <w:color w:val="1a365d"/>
          <w:sz w:val="26"/>
          <w:szCs w:val="26"/>
        </w:rPr>
        <w:t xml:space="preserve">2.1 What BetsPlug IS and IS NOT</w:t>
      </w:r>
    </w:p>
    <w:p>
      <w:pPr>
        <w:spacing w:after="140" w:line="320"/>
      </w:pPr>
      <w:r>
        <w:rPr>
          <w:rFonts w:ascii="Arial" w:cs="Arial" w:eastAsia="Arial" w:hAnsi="Arial"/>
          <w:sz w:val="22"/>
          <w:szCs w:val="22"/>
        </w:rPr>
        <w:t xml:space="preserve">Clear delineation of the service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BetsPlug IS NOT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information platform with AI analyses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gambling company or casino</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educational service on sports statistics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tipster service guaranteeing profits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subscription service for data insights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 or investment advice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software-as-a-service (SaaS) provider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intermediary for betting transactions</w:t>
            </w:r>
          </w:p>
        </w:tc>
      </w:tr>
    </w:tbl>
    <w:p>
      <w:pPr>
        <w:pStyle w:val="Heading2"/>
        <w:spacing w:after="160" w:before="280"/>
      </w:pPr>
      <w:r>
        <w:rPr>
          <w:rFonts w:ascii="Arial" w:cs="Arial" w:eastAsia="Arial" w:hAnsi="Arial"/>
          <w:b/>
          <w:bCs/>
          <w:color w:val="1a365d"/>
          <w:sz w:val="26"/>
          <w:szCs w:val="26"/>
        </w:rPr>
        <w:t xml:space="preserve">2.2 Regulatory Positioning</w:t>
      </w:r>
    </w:p>
    <w:p>
      <w:pPr>
        <w:pStyle w:val="ListParagraph"/>
        <w:numPr>
          <w:ilvl w:val="0"/>
          <w:numId w:val="2"/>
        </w:numPr>
        <w:spacing w:after="80" w:line="320"/>
      </w:pPr>
      <w:r>
        <w:rPr>
          <w:rFonts w:ascii="Arial" w:cs="Arial" w:eastAsia="Arial" w:hAnsi="Arial"/>
          <w:sz w:val="22"/>
          <w:szCs w:val="22"/>
        </w:rPr>
        <w:t xml:space="preserve">EU Digital Services Act (DSA): BetsPlug is an information society service</w:t>
      </w:r>
    </w:p>
    <w:p>
      <w:pPr>
        <w:pStyle w:val="ListParagraph"/>
        <w:numPr>
          <w:ilvl w:val="0"/>
          <w:numId w:val="2"/>
        </w:numPr>
        <w:spacing w:after="80" w:line="320"/>
      </w:pPr>
      <w:r>
        <w:rPr>
          <w:rFonts w:ascii="Arial" w:cs="Arial" w:eastAsia="Arial" w:hAnsi="Arial"/>
          <w:sz w:val="22"/>
          <w:szCs w:val="22"/>
        </w:rPr>
        <w:t xml:space="preserve">EU GDPR: BetsPlug is a data controller for user account data</w:t>
      </w:r>
    </w:p>
    <w:p>
      <w:pPr>
        <w:pStyle w:val="ListParagraph"/>
        <w:numPr>
          <w:ilvl w:val="0"/>
          <w:numId w:val="2"/>
        </w:numPr>
        <w:spacing w:after="80" w:line="320"/>
      </w:pPr>
      <w:r>
        <w:rPr>
          <w:rFonts w:ascii="Arial" w:cs="Arial" w:eastAsia="Arial" w:hAnsi="Arial"/>
          <w:sz w:val="22"/>
          <w:szCs w:val="22"/>
        </w:rPr>
        <w:t xml:space="preserve">Netherlands Kansspelautoriteit (KSA): BetsPlug is NOT a gambling operator and does not require a gambling licence</w:t>
      </w:r>
    </w:p>
    <w:p>
      <w:pPr>
        <w:pStyle w:val="ListParagraph"/>
        <w:numPr>
          <w:ilvl w:val="0"/>
          <w:numId w:val="2"/>
        </w:numPr>
        <w:spacing w:after="80" w:line="320"/>
      </w:pPr>
      <w:r>
        <w:rPr>
          <w:rFonts w:ascii="Arial" w:cs="Arial" w:eastAsia="Arial" w:hAnsi="Arial"/>
          <w:sz w:val="22"/>
          <w:szCs w:val="22"/>
        </w:rPr>
        <w:t xml:space="preserve">Consumer Protection (ACM): BetsPlug provides subscription-based information services</w:t>
      </w:r>
    </w:p>
    <w:p>
      <w:pPr>
        <w:shd w:fill="fff8e1" w:val="clear"/>
        <w:spacing w:after="160" w:before="80" w:line="320"/>
        <w:ind w:left="200" w:right="200"/>
      </w:pPr>
      <w:r>
        <w:rPr>
          <w:rFonts w:ascii="Arial" w:cs="Arial" w:eastAsia="Arial" w:hAnsi="Arial"/>
          <w:b/>
          <w:bCs/>
          <w:color w:val="996600"/>
          <w:sz w:val="20"/>
          <w:szCs w:val="20"/>
        </w:rPr>
        <w:t xml:space="preserve">⚠ Important: </w:t>
      </w:r>
      <w:r>
        <w:rPr>
          <w:rFonts w:ascii="Arial" w:cs="Arial" w:eastAsia="Arial" w:hAnsi="Arial"/>
          <w:color w:val="444444"/>
          <w:sz w:val="20"/>
          <w:szCs w:val="20"/>
        </w:rPr>
        <w:t xml:space="preserve">BetsPlug does not enable real-money betting. Users who choose to place bets elsewhere do so at their own risk, using their own judgement, with licensed gambling operators.</w:t>
      </w:r>
    </w:p>
    <w:p>
      <w:pPr>
        <w:pStyle w:val="Heading1"/>
        <w:spacing w:after="200" w:before="360"/>
      </w:pPr>
      <w:r>
        <w:rPr>
          <w:rFonts w:ascii="Arial" w:cs="Arial" w:eastAsia="Arial" w:hAnsi="Arial"/>
          <w:b/>
          <w:bCs/>
          <w:color w:val="1a365d"/>
          <w:sz w:val="32"/>
          <w:szCs w:val="32"/>
        </w:rPr>
        <w:t xml:space="preserve">3. Mandatory Disclaimers</w:t>
      </w:r>
    </w:p>
    <w:p>
      <w:pPr>
        <w:spacing w:after="140" w:line="320"/>
      </w:pPr>
      <w:r>
        <w:rPr>
          <w:rFonts w:ascii="Arial" w:cs="Arial" w:eastAsia="Arial" w:hAnsi="Arial"/>
          <w:sz w:val="22"/>
          <w:szCs w:val="22"/>
        </w:rPr>
        <w:t xml:space="preserve">Every prediction displayed on the platform includes the following disclaimer:</w:t>
      </w:r>
    </w:p>
    <w:p>
      <w:pPr>
        <w:spacing w:after="140" w:line="320"/>
      </w:pPr>
      <w:r>
        <w:rPr>
          <w:rFonts w:ascii="Arial" w:cs="Arial" w:eastAsia="Arial" w:hAnsi="Arial"/>
          <w:i/>
          <w:iCs/>
          <w:sz w:val="20"/>
          <w:szCs w:val="20"/>
        </w:rPr>
        <w:t xml:space="preserve">“SIMULATION / EDUCATIONAL USE ONLY. These probability estimates are generated by a statistical model for research and educational purposes. They do NOT constitute financial, gambling, or investment advice. Past performance does not guarantee future results. Always gamble responsibly and within applicable law.”</w:t>
      </w:r>
    </w:p>
    <w:p>
      <w:pPr>
        <w:spacing w:after="140" w:line="320"/>
      </w:pPr>
      <w:r>
        <w:rPr>
          <w:rFonts w:ascii="Arial" w:cs="Arial" w:eastAsia="Arial" w:hAnsi="Arial"/>
          <w:sz w:val="22"/>
          <w:szCs w:val="22"/>
        </w:rPr>
        <w:t xml:space="preserve">This disclaimer appears:</w:t>
      </w:r>
    </w:p>
    <w:p>
      <w:pPr>
        <w:pStyle w:val="ListParagraph"/>
        <w:numPr>
          <w:ilvl w:val="0"/>
          <w:numId w:val="2"/>
        </w:numPr>
        <w:spacing w:after="80" w:line="320"/>
      </w:pPr>
      <w:r>
        <w:rPr>
          <w:rFonts w:ascii="Arial" w:cs="Arial" w:eastAsia="Arial" w:hAnsi="Arial"/>
          <w:sz w:val="22"/>
          <w:szCs w:val="22"/>
        </w:rPr>
        <w:t xml:space="preserve">On every individual prediction card</w:t>
      </w:r>
    </w:p>
    <w:p>
      <w:pPr>
        <w:pStyle w:val="ListParagraph"/>
        <w:numPr>
          <w:ilvl w:val="0"/>
          <w:numId w:val="2"/>
        </w:numPr>
        <w:spacing w:after="80" w:line="320"/>
      </w:pPr>
      <w:r>
        <w:rPr>
          <w:rFonts w:ascii="Arial" w:cs="Arial" w:eastAsia="Arial" w:hAnsi="Arial"/>
          <w:sz w:val="22"/>
          <w:szCs w:val="22"/>
        </w:rPr>
        <w:t xml:space="preserve">In every API response containing prediction data</w:t>
      </w:r>
    </w:p>
    <w:p>
      <w:pPr>
        <w:pStyle w:val="ListParagraph"/>
        <w:numPr>
          <w:ilvl w:val="0"/>
          <w:numId w:val="2"/>
        </w:numPr>
        <w:spacing w:after="80" w:line="320"/>
      </w:pPr>
      <w:r>
        <w:rPr>
          <w:rFonts w:ascii="Arial" w:cs="Arial" w:eastAsia="Arial" w:hAnsi="Arial"/>
          <w:sz w:val="22"/>
          <w:szCs w:val="22"/>
        </w:rPr>
        <w:t xml:space="preserve">In every downloadable report (CSV, PDF)</w:t>
      </w:r>
    </w:p>
    <w:p>
      <w:pPr>
        <w:pStyle w:val="ListParagraph"/>
        <w:numPr>
          <w:ilvl w:val="0"/>
          <w:numId w:val="2"/>
        </w:numPr>
        <w:spacing w:after="80" w:line="320"/>
      </w:pPr>
      <w:r>
        <w:rPr>
          <w:rFonts w:ascii="Arial" w:cs="Arial" w:eastAsia="Arial" w:hAnsi="Arial"/>
          <w:sz w:val="22"/>
          <w:szCs w:val="22"/>
        </w:rPr>
        <w:t xml:space="preserve">In the Terms of Use accepted at registration</w:t>
      </w:r>
    </w:p>
    <w:p>
      <w:pPr>
        <w:pStyle w:val="Heading1"/>
        <w:spacing w:after="200" w:before="360"/>
      </w:pPr>
      <w:r>
        <w:rPr>
          <w:rFonts w:ascii="Arial" w:cs="Arial" w:eastAsia="Arial" w:hAnsi="Arial"/>
          <w:b/>
          <w:bCs/>
          <w:color w:val="1a365d"/>
          <w:sz w:val="32"/>
          <w:szCs w:val="32"/>
        </w:rPr>
        <w:t xml:space="preserve">4. Responsible Gambling Measures</w:t>
      </w:r>
    </w:p>
    <w:p>
      <w:pPr>
        <w:spacing w:after="140" w:line="320"/>
      </w:pPr>
      <w:r>
        <w:rPr>
          <w:rFonts w:ascii="Arial" w:cs="Arial" w:eastAsia="Arial" w:hAnsi="Arial"/>
          <w:sz w:val="22"/>
          <w:szCs w:val="22"/>
        </w:rPr>
        <w:t xml:space="preserve">Although BetsPlug is not itself a gambling service, the platform acknowledges that some users may use the information in combination with gambling activities. BetsPlug therefore takes the following measures:</w:t>
      </w:r>
    </w:p>
    <w:p>
      <w:pPr>
        <w:pStyle w:val="Heading2"/>
        <w:spacing w:after="160" w:before="280"/>
      </w:pPr>
      <w:r>
        <w:rPr>
          <w:rFonts w:ascii="Arial" w:cs="Arial" w:eastAsia="Arial" w:hAnsi="Arial"/>
          <w:b/>
          <w:bCs/>
          <w:color w:val="1a365d"/>
          <w:sz w:val="26"/>
          <w:szCs w:val="26"/>
        </w:rPr>
        <w:t xml:space="preserve">4.1 Age Verification</w:t>
      </w:r>
    </w:p>
    <w:p>
      <w:pPr>
        <w:pStyle w:val="ListParagraph"/>
        <w:numPr>
          <w:ilvl w:val="0"/>
          <w:numId w:val="2"/>
        </w:numPr>
        <w:spacing w:after="80" w:line="320"/>
      </w:pPr>
      <w:r>
        <w:rPr>
          <w:rFonts w:ascii="Arial" w:cs="Arial" w:eastAsia="Arial" w:hAnsi="Arial"/>
          <w:sz w:val="22"/>
          <w:szCs w:val="22"/>
        </w:rPr>
        <w:t xml:space="preserve">Minimum age 18 required at registration</w:t>
      </w:r>
    </w:p>
    <w:p>
      <w:pPr>
        <w:pStyle w:val="ListParagraph"/>
        <w:numPr>
          <w:ilvl w:val="0"/>
          <w:numId w:val="2"/>
        </w:numPr>
        <w:spacing w:after="80" w:line="320"/>
      </w:pPr>
      <w:r>
        <w:rPr>
          <w:rFonts w:ascii="Arial" w:cs="Arial" w:eastAsia="Arial" w:hAnsi="Arial"/>
          <w:sz w:val="22"/>
          <w:szCs w:val="22"/>
        </w:rPr>
        <w:t xml:space="preserve">Date of birth verified via account creation flow</w:t>
      </w:r>
    </w:p>
    <w:p>
      <w:pPr>
        <w:pStyle w:val="ListParagraph"/>
        <w:numPr>
          <w:ilvl w:val="0"/>
          <w:numId w:val="2"/>
        </w:numPr>
        <w:spacing w:after="80" w:line="320"/>
      </w:pPr>
      <w:r>
        <w:rPr>
          <w:rFonts w:ascii="Arial" w:cs="Arial" w:eastAsia="Arial" w:hAnsi="Arial"/>
          <w:sz w:val="22"/>
          <w:szCs w:val="22"/>
        </w:rPr>
        <w:t xml:space="preserve">Under-18 accounts are not permitted</w:t>
      </w:r>
    </w:p>
    <w:p>
      <w:pPr>
        <w:pStyle w:val="Heading2"/>
        <w:spacing w:after="160" w:before="280"/>
      </w:pPr>
      <w:r>
        <w:rPr>
          <w:rFonts w:ascii="Arial" w:cs="Arial" w:eastAsia="Arial" w:hAnsi="Arial"/>
          <w:b/>
          <w:bCs/>
          <w:color w:val="1a365d"/>
          <w:sz w:val="26"/>
          <w:szCs w:val="26"/>
        </w:rPr>
        <w:t xml:space="preserve">4.2 Mandatory Disclaimers</w:t>
      </w:r>
    </w:p>
    <w:p>
      <w:pPr>
        <w:pStyle w:val="ListParagraph"/>
        <w:numPr>
          <w:ilvl w:val="0"/>
          <w:numId w:val="2"/>
        </w:numPr>
        <w:spacing w:after="80" w:line="320"/>
      </w:pPr>
      <w:r>
        <w:rPr>
          <w:rFonts w:ascii="Arial" w:cs="Arial" w:eastAsia="Arial" w:hAnsi="Arial"/>
          <w:sz w:val="22"/>
          <w:szCs w:val="22"/>
        </w:rPr>
        <w:t xml:space="preserve">Displayed on every prediction</w:t>
      </w:r>
    </w:p>
    <w:p>
      <w:pPr>
        <w:pStyle w:val="ListParagraph"/>
        <w:numPr>
          <w:ilvl w:val="0"/>
          <w:numId w:val="2"/>
        </w:numPr>
        <w:spacing w:after="80" w:line="320"/>
      </w:pPr>
      <w:r>
        <w:rPr>
          <w:rFonts w:ascii="Arial" w:cs="Arial" w:eastAsia="Arial" w:hAnsi="Arial"/>
          <w:sz w:val="22"/>
          <w:szCs w:val="22"/>
        </w:rPr>
        <w:t xml:space="preserve">Cannot be dismissed or hidden</w:t>
      </w:r>
    </w:p>
    <w:p>
      <w:pPr>
        <w:pStyle w:val="ListParagraph"/>
        <w:numPr>
          <w:ilvl w:val="0"/>
          <w:numId w:val="2"/>
        </w:numPr>
        <w:spacing w:after="80" w:line="320"/>
      </w:pPr>
      <w:r>
        <w:rPr>
          <w:rFonts w:ascii="Arial" w:cs="Arial" w:eastAsia="Arial" w:hAnsi="Arial"/>
          <w:sz w:val="22"/>
          <w:szCs w:val="22"/>
        </w:rPr>
        <w:t xml:space="preserve">Included in CSV/PDF exports</w:t>
      </w:r>
    </w:p>
    <w:p>
      <w:pPr>
        <w:pStyle w:val="Heading2"/>
        <w:spacing w:after="160" w:before="280"/>
      </w:pPr>
      <w:r>
        <w:rPr>
          <w:rFonts w:ascii="Arial" w:cs="Arial" w:eastAsia="Arial" w:hAnsi="Arial"/>
          <w:b/>
          <w:bCs/>
          <w:color w:val="1a365d"/>
          <w:sz w:val="26"/>
          <w:szCs w:val="26"/>
        </w:rPr>
        <w:t xml:space="preserve">4.3 Responsible Gambling Messaging</w:t>
      </w:r>
    </w:p>
    <w:p>
      <w:pPr>
        <w:pStyle w:val="ListParagraph"/>
        <w:numPr>
          <w:ilvl w:val="0"/>
          <w:numId w:val="2"/>
        </w:numPr>
        <w:spacing w:after="80" w:line="320"/>
      </w:pPr>
      <w:r>
        <w:rPr>
          <w:rFonts w:ascii="Arial" w:cs="Arial" w:eastAsia="Arial" w:hAnsi="Arial"/>
          <w:sz w:val="22"/>
          <w:szCs w:val="22"/>
        </w:rPr>
        <w:t xml:space="preserve">“Past performance does not guarantee future results” on every metric display</w:t>
      </w:r>
    </w:p>
    <w:p>
      <w:pPr>
        <w:pStyle w:val="ListParagraph"/>
        <w:numPr>
          <w:ilvl w:val="0"/>
          <w:numId w:val="2"/>
        </w:numPr>
        <w:spacing w:after="80" w:line="320"/>
      </w:pPr>
      <w:r>
        <w:rPr>
          <w:rFonts w:ascii="Arial" w:cs="Arial" w:eastAsia="Arial" w:hAnsi="Arial"/>
          <w:sz w:val="22"/>
          <w:szCs w:val="22"/>
        </w:rPr>
        <w:t xml:space="preserve">Sample size always shown alongside accuracy claims</w:t>
      </w:r>
    </w:p>
    <w:p>
      <w:pPr>
        <w:pStyle w:val="ListParagraph"/>
        <w:numPr>
          <w:ilvl w:val="0"/>
          <w:numId w:val="2"/>
        </w:numPr>
        <w:spacing w:after="80" w:line="320"/>
      </w:pPr>
      <w:r>
        <w:rPr>
          <w:rFonts w:ascii="Arial" w:cs="Arial" w:eastAsia="Arial" w:hAnsi="Arial"/>
          <w:sz w:val="22"/>
          <w:szCs w:val="22"/>
        </w:rPr>
        <w:t xml:space="preserve">Links to responsible gambling resources (loketkansspel.nl, gambleaware.org)</w:t>
      </w:r>
    </w:p>
    <w:p>
      <w:pPr>
        <w:pStyle w:val="Heading2"/>
        <w:spacing w:after="160" w:before="280"/>
      </w:pPr>
      <w:r>
        <w:rPr>
          <w:rFonts w:ascii="Arial" w:cs="Arial" w:eastAsia="Arial" w:hAnsi="Arial"/>
          <w:b/>
          <w:bCs/>
          <w:color w:val="1a365d"/>
          <w:sz w:val="26"/>
          <w:szCs w:val="26"/>
        </w:rPr>
        <w:t xml:space="preserve">4.4 Self-Exclusion</w:t>
      </w:r>
    </w:p>
    <w:p>
      <w:pPr>
        <w:pStyle w:val="ListParagraph"/>
        <w:numPr>
          <w:ilvl w:val="0"/>
          <w:numId w:val="2"/>
        </w:numPr>
        <w:spacing w:after="80" w:line="320"/>
      </w:pPr>
      <w:r>
        <w:rPr>
          <w:rFonts w:ascii="Arial" w:cs="Arial" w:eastAsia="Arial" w:hAnsi="Arial"/>
          <w:sz w:val="22"/>
          <w:szCs w:val="22"/>
        </w:rPr>
        <w:t xml:space="preserve">Users can delete their account at any time via account settings</w:t>
      </w:r>
    </w:p>
    <w:p>
      <w:pPr>
        <w:pStyle w:val="ListParagraph"/>
        <w:numPr>
          <w:ilvl w:val="0"/>
          <w:numId w:val="2"/>
        </w:numPr>
        <w:spacing w:after="80" w:line="320"/>
      </w:pPr>
      <w:r>
        <w:rPr>
          <w:rFonts w:ascii="Arial" w:cs="Arial" w:eastAsia="Arial" w:hAnsi="Arial"/>
          <w:sz w:val="22"/>
          <w:szCs w:val="22"/>
        </w:rPr>
        <w:t xml:space="preserve">Account deletion removes all user data (GDPR right to erasure)</w:t>
      </w:r>
    </w:p>
    <w:p>
      <w:pPr>
        <w:pStyle w:val="ListParagraph"/>
        <w:numPr>
          <w:ilvl w:val="0"/>
          <w:numId w:val="2"/>
        </w:numPr>
        <w:spacing w:after="80" w:line="320"/>
      </w:pPr>
      <w:r>
        <w:rPr>
          <w:rFonts w:ascii="Arial" w:cs="Arial" w:eastAsia="Arial" w:hAnsi="Arial"/>
          <w:sz w:val="22"/>
          <w:szCs w:val="22"/>
        </w:rPr>
        <w:t xml:space="preserve">Subscription is immediately cancelled upon account deletion</w:t>
      </w:r>
    </w:p>
    <w:p>
      <w:pPr>
        <w:pStyle w:val="Heading2"/>
        <w:spacing w:after="160" w:before="280"/>
      </w:pPr>
      <w:r>
        <w:rPr>
          <w:rFonts w:ascii="Arial" w:cs="Arial" w:eastAsia="Arial" w:hAnsi="Arial"/>
          <w:b/>
          <w:bCs/>
          <w:color w:val="1a365d"/>
          <w:sz w:val="26"/>
          <w:szCs w:val="26"/>
        </w:rPr>
        <w:t xml:space="preserve">4.5 Prohibited Claims</w:t>
      </w:r>
    </w:p>
    <w:p>
      <w:pPr>
        <w:spacing w:after="140" w:line="320"/>
      </w:pPr>
      <w:r>
        <w:rPr>
          <w:rFonts w:ascii="Arial" w:cs="Arial" w:eastAsia="Arial" w:hAnsi="Arial"/>
          <w:sz w:val="22"/>
          <w:szCs w:val="22"/>
        </w:rPr>
        <w:t xml:space="preserve">The following claims are expressly forbidden from the platform and marketing materials:</w:t>
      </w:r>
    </w:p>
    <w:p>
      <w:pPr>
        <w:pStyle w:val="ListParagraph"/>
        <w:numPr>
          <w:ilvl w:val="0"/>
          <w:numId w:val="2"/>
        </w:numPr>
        <w:spacing w:after="80" w:line="320"/>
      </w:pPr>
      <w:r>
        <w:rPr>
          <w:rFonts w:ascii="Arial" w:cs="Arial" w:eastAsia="Arial" w:hAnsi="Arial"/>
          <w:sz w:val="22"/>
          <w:szCs w:val="22"/>
        </w:rPr>
        <w:t xml:space="preserve">“Guaranteed profit”</w:t>
      </w:r>
    </w:p>
    <w:p>
      <w:pPr>
        <w:pStyle w:val="ListParagraph"/>
        <w:numPr>
          <w:ilvl w:val="0"/>
          <w:numId w:val="2"/>
        </w:numPr>
        <w:spacing w:after="80" w:line="320"/>
      </w:pPr>
      <w:r>
        <w:rPr>
          <w:rFonts w:ascii="Arial" w:cs="Arial" w:eastAsia="Arial" w:hAnsi="Arial"/>
          <w:sz w:val="22"/>
          <w:szCs w:val="22"/>
        </w:rPr>
        <w:t xml:space="preserve">“Winning system”</w:t>
      </w:r>
    </w:p>
    <w:p>
      <w:pPr>
        <w:pStyle w:val="ListParagraph"/>
        <w:numPr>
          <w:ilvl w:val="0"/>
          <w:numId w:val="2"/>
        </w:numPr>
        <w:spacing w:after="80" w:line="320"/>
      </w:pPr>
      <w:r>
        <w:rPr>
          <w:rFonts w:ascii="Arial" w:cs="Arial" w:eastAsia="Arial" w:hAnsi="Arial"/>
          <w:sz w:val="22"/>
          <w:szCs w:val="22"/>
        </w:rPr>
        <w:t xml:space="preserve">“Can't lose”</w:t>
      </w:r>
    </w:p>
    <w:p>
      <w:pPr>
        <w:pStyle w:val="ListParagraph"/>
        <w:numPr>
          <w:ilvl w:val="0"/>
          <w:numId w:val="2"/>
        </w:numPr>
        <w:spacing w:after="80" w:line="320"/>
      </w:pPr>
      <w:r>
        <w:rPr>
          <w:rFonts w:ascii="Arial" w:cs="Arial" w:eastAsia="Arial" w:hAnsi="Arial"/>
          <w:sz w:val="22"/>
          <w:szCs w:val="22"/>
        </w:rPr>
        <w:t xml:space="preserve">ROI percentages &gt; 10% without clear historical context and sample size</w:t>
      </w:r>
    </w:p>
    <w:p>
      <w:pPr>
        <w:pStyle w:val="ListParagraph"/>
        <w:numPr>
          <w:ilvl w:val="0"/>
          <w:numId w:val="2"/>
        </w:numPr>
        <w:spacing w:after="80" w:line="320"/>
      </w:pPr>
      <w:r>
        <w:rPr>
          <w:rFonts w:ascii="Arial" w:cs="Arial" w:eastAsia="Arial" w:hAnsi="Arial"/>
          <w:sz w:val="22"/>
          <w:szCs w:val="22"/>
        </w:rPr>
        <w:t xml:space="preserve">Winrates &gt; 60% without “BOTD only, N picks” qualifier</w:t>
      </w:r>
    </w:p>
    <w:p>
      <w:pPr>
        <w:pStyle w:val="Heading1"/>
        <w:spacing w:after="200" w:before="360"/>
      </w:pPr>
      <w:r>
        <w:rPr>
          <w:rFonts w:ascii="Arial" w:cs="Arial" w:eastAsia="Arial" w:hAnsi="Arial"/>
          <w:b/>
          <w:bCs/>
          <w:color w:val="1a365d"/>
          <w:sz w:val="32"/>
          <w:szCs w:val="32"/>
        </w:rPr>
        <w:t xml:space="preserve">5. Privacy &amp; Data Protection (GDPR)</w:t>
      </w:r>
    </w:p>
    <w:p>
      <w:pPr>
        <w:pStyle w:val="Heading2"/>
        <w:spacing w:after="160" w:before="280"/>
      </w:pPr>
      <w:r>
        <w:rPr>
          <w:rFonts w:ascii="Arial" w:cs="Arial" w:eastAsia="Arial" w:hAnsi="Arial"/>
          <w:b/>
          <w:bCs/>
          <w:color w:val="1a365d"/>
          <w:sz w:val="26"/>
          <w:szCs w:val="26"/>
        </w:rPr>
        <w:t xml:space="preserve">5.1 Data Controller</w:t>
      </w:r>
    </w:p>
    <w:p>
      <w:pPr>
        <w:spacing w:after="140" w:line="320"/>
      </w:pPr>
      <w:r>
        <w:rPr>
          <w:rFonts w:ascii="Arial" w:cs="Arial" w:eastAsia="Arial" w:hAnsi="Arial"/>
          <w:sz w:val="22"/>
          <w:szCs w:val="22"/>
        </w:rPr>
        <w:t xml:space="preserve">Sanders Capital (BetsPlug) — KvK 96286008 is the data controller for personal data processed through the platform. Contact: via the contact page on the website.</w:t>
      </w:r>
    </w:p>
    <w:p>
      <w:pPr>
        <w:pStyle w:val="Heading2"/>
        <w:spacing w:after="160" w:before="280"/>
      </w:pPr>
      <w:r>
        <w:rPr>
          <w:rFonts w:ascii="Arial" w:cs="Arial" w:eastAsia="Arial" w:hAnsi="Arial"/>
          <w:b/>
          <w:bCs/>
          <w:color w:val="1a365d"/>
          <w:sz w:val="26"/>
          <w:szCs w:val="26"/>
        </w:rPr>
        <w:t xml:space="preserve">5.2 Data Collected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Data category</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address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access and authentication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Username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Profile identification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tier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gating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Prediction history viewed</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delivery (track record)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 timestamps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and fraud detection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data (card, IBAN)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stored by BetsPlug — handled entirely by Stripe</w:t>
            </w:r>
          </w:p>
        </w:tc>
      </w:tr>
    </w:tbl>
    <w:p>
      <w:pPr>
        <w:shd w:fill="f5f5f5" w:val="clear"/>
        <w:spacing w:after="160" w:before="80" w:line="320"/>
        <w:ind w:left="200" w:right="200"/>
      </w:pPr>
      <w:r>
        <w:rPr>
          <w:rFonts w:ascii="Arial" w:cs="Arial" w:eastAsia="Arial" w:hAnsi="Arial"/>
          <w:b/>
          <w:bCs/>
          <w:color w:val="1a365d"/>
          <w:sz w:val="20"/>
          <w:szCs w:val="20"/>
        </w:rPr>
        <w:t xml:space="preserve">In plain language: </w:t>
      </w:r>
      <w:r>
        <w:rPr>
          <w:rFonts w:ascii="Arial" w:cs="Arial" w:eastAsia="Arial" w:hAnsi="Arial"/>
          <w:color w:val="444444"/>
          <w:sz w:val="20"/>
          <w:szCs w:val="20"/>
        </w:rPr>
        <w:t xml:space="preserve">BetsPlug stores your email, username, and subscription status. Payment data is handled by Stripe; BetsPlug never sees or stores your card details.</w:t>
      </w:r>
    </w:p>
    <w:p>
      <w:pPr>
        <w:pStyle w:val="Heading2"/>
        <w:spacing w:after="160" w:before="280"/>
      </w:pPr>
      <w:r>
        <w:rPr>
          <w:rFonts w:ascii="Arial" w:cs="Arial" w:eastAsia="Arial" w:hAnsi="Arial"/>
          <w:b/>
          <w:bCs/>
          <w:color w:val="1a365d"/>
          <w:sz w:val="26"/>
          <w:szCs w:val="26"/>
        </w:rPr>
        <w:t xml:space="preserve">5.3 Legal Basis for Processing</w:t>
      </w:r>
    </w:p>
    <w:p>
      <w:pPr>
        <w:pStyle w:val="ListParagraph"/>
        <w:numPr>
          <w:ilvl w:val="0"/>
          <w:numId w:val="2"/>
        </w:numPr>
        <w:spacing w:after="80" w:line="320"/>
      </w:pPr>
      <w:r>
        <w:rPr>
          <w:rFonts w:ascii="Arial" w:cs="Arial" w:eastAsia="Arial" w:hAnsi="Arial"/>
          <w:sz w:val="22"/>
          <w:szCs w:val="22"/>
        </w:rPr>
        <w:t xml:space="preserve">Contract (GDPR Art. 6(1)(b)): account data necessary for service delivery</w:t>
      </w:r>
    </w:p>
    <w:p>
      <w:pPr>
        <w:pStyle w:val="ListParagraph"/>
        <w:numPr>
          <w:ilvl w:val="0"/>
          <w:numId w:val="2"/>
        </w:numPr>
        <w:spacing w:after="80" w:line="320"/>
      </w:pPr>
      <w:r>
        <w:rPr>
          <w:rFonts w:ascii="Arial" w:cs="Arial" w:eastAsia="Arial" w:hAnsi="Arial"/>
          <w:sz w:val="22"/>
          <w:szCs w:val="22"/>
        </w:rPr>
        <w:t xml:space="preserve">Legal obligation (GDPR Art. 6(1)(c)): tax and accounting records</w:t>
      </w:r>
    </w:p>
    <w:p>
      <w:pPr>
        <w:pStyle w:val="ListParagraph"/>
        <w:numPr>
          <w:ilvl w:val="0"/>
          <w:numId w:val="2"/>
        </w:numPr>
        <w:spacing w:after="80" w:line="320"/>
      </w:pPr>
      <w:r>
        <w:rPr>
          <w:rFonts w:ascii="Arial" w:cs="Arial" w:eastAsia="Arial" w:hAnsi="Arial"/>
          <w:sz w:val="22"/>
          <w:szCs w:val="22"/>
        </w:rPr>
        <w:t xml:space="preserve">Legitimate interest (GDPR Art. 6(1)(f)): fraud prevention, security logs</w:t>
      </w:r>
    </w:p>
    <w:p>
      <w:pPr>
        <w:pStyle w:val="ListParagraph"/>
        <w:numPr>
          <w:ilvl w:val="0"/>
          <w:numId w:val="2"/>
        </w:numPr>
        <w:spacing w:after="80" w:line="320"/>
      </w:pPr>
      <w:r>
        <w:rPr>
          <w:rFonts w:ascii="Arial" w:cs="Arial" w:eastAsia="Arial" w:hAnsi="Arial"/>
          <w:sz w:val="22"/>
          <w:szCs w:val="22"/>
        </w:rPr>
        <w:t xml:space="preserve">Consent (GDPR Art. 6(1)(a)): marketing communications (opt-in, revocable)</w:t>
      </w:r>
    </w:p>
    <w:p>
      <w:pPr>
        <w:pStyle w:val="Heading2"/>
        <w:spacing w:after="160" w:before="280"/>
      </w:pPr>
      <w:r>
        <w:rPr>
          <w:rFonts w:ascii="Arial" w:cs="Arial" w:eastAsia="Arial" w:hAnsi="Arial"/>
          <w:b/>
          <w:bCs/>
          <w:color w:val="1a365d"/>
          <w:sz w:val="26"/>
          <w:szCs w:val="26"/>
        </w:rPr>
        <w:t xml:space="preserve">5.4 User Rights Under GDPR</w:t>
      </w:r>
    </w:p>
    <w:p>
      <w:pPr>
        <w:pStyle w:val="ListParagraph"/>
        <w:numPr>
          <w:ilvl w:val="0"/>
          <w:numId w:val="2"/>
        </w:numPr>
        <w:spacing w:after="80" w:line="320"/>
      </w:pPr>
      <w:r>
        <w:rPr>
          <w:rFonts w:ascii="Arial" w:cs="Arial" w:eastAsia="Arial" w:hAnsi="Arial"/>
          <w:sz w:val="22"/>
          <w:szCs w:val="22"/>
        </w:rPr>
        <w:t xml:space="preserve">Right of access: download your data via account settings</w:t>
      </w:r>
    </w:p>
    <w:p>
      <w:pPr>
        <w:pStyle w:val="ListParagraph"/>
        <w:numPr>
          <w:ilvl w:val="0"/>
          <w:numId w:val="2"/>
        </w:numPr>
        <w:spacing w:after="80" w:line="320"/>
      </w:pPr>
      <w:r>
        <w:rPr>
          <w:rFonts w:ascii="Arial" w:cs="Arial" w:eastAsia="Arial" w:hAnsi="Arial"/>
          <w:sz w:val="22"/>
          <w:szCs w:val="22"/>
        </w:rPr>
        <w:t xml:space="preserve">Right to rectification: update profile information any time</w:t>
      </w:r>
    </w:p>
    <w:p>
      <w:pPr>
        <w:pStyle w:val="ListParagraph"/>
        <w:numPr>
          <w:ilvl w:val="0"/>
          <w:numId w:val="2"/>
        </w:numPr>
        <w:spacing w:after="80" w:line="320"/>
      </w:pPr>
      <w:r>
        <w:rPr>
          <w:rFonts w:ascii="Arial" w:cs="Arial" w:eastAsia="Arial" w:hAnsi="Arial"/>
          <w:sz w:val="22"/>
          <w:szCs w:val="22"/>
        </w:rPr>
        <w:t xml:space="preserve">Right to erasure: delete account (all data removed)</w:t>
      </w:r>
    </w:p>
    <w:p>
      <w:pPr>
        <w:pStyle w:val="ListParagraph"/>
        <w:numPr>
          <w:ilvl w:val="0"/>
          <w:numId w:val="2"/>
        </w:numPr>
        <w:spacing w:after="80" w:line="320"/>
      </w:pPr>
      <w:r>
        <w:rPr>
          <w:rFonts w:ascii="Arial" w:cs="Arial" w:eastAsia="Arial" w:hAnsi="Arial"/>
          <w:sz w:val="22"/>
          <w:szCs w:val="22"/>
        </w:rPr>
        <w:t xml:space="preserve">Right to portability: export data in JSON/CSV format</w:t>
      </w:r>
    </w:p>
    <w:p>
      <w:pPr>
        <w:pStyle w:val="ListParagraph"/>
        <w:numPr>
          <w:ilvl w:val="0"/>
          <w:numId w:val="2"/>
        </w:numPr>
        <w:spacing w:after="80" w:line="320"/>
      </w:pPr>
      <w:r>
        <w:rPr>
          <w:rFonts w:ascii="Arial" w:cs="Arial" w:eastAsia="Arial" w:hAnsi="Arial"/>
          <w:sz w:val="22"/>
          <w:szCs w:val="22"/>
        </w:rPr>
        <w:t xml:space="preserve">Right to object: opt out of marketing at any time</w:t>
      </w:r>
    </w:p>
    <w:p>
      <w:pPr>
        <w:pStyle w:val="ListParagraph"/>
        <w:numPr>
          <w:ilvl w:val="0"/>
          <w:numId w:val="2"/>
        </w:numPr>
        <w:spacing w:after="80" w:line="320"/>
      </w:pPr>
      <w:r>
        <w:rPr>
          <w:rFonts w:ascii="Arial" w:cs="Arial" w:eastAsia="Arial" w:hAnsi="Arial"/>
          <w:sz w:val="22"/>
          <w:szCs w:val="22"/>
        </w:rPr>
        <w:t xml:space="preserve">Right to lodge a complaint: with the Dutch Autoriteit Persoonsgegevens</w:t>
      </w:r>
    </w:p>
    <w:p>
      <w:pPr>
        <w:pStyle w:val="Heading2"/>
        <w:spacing w:after="160" w:before="280"/>
      </w:pPr>
      <w:r>
        <w:rPr>
          <w:rFonts w:ascii="Arial" w:cs="Arial" w:eastAsia="Arial" w:hAnsi="Arial"/>
          <w:b/>
          <w:bCs/>
          <w:color w:val="1a365d"/>
          <w:sz w:val="26"/>
          <w:szCs w:val="26"/>
        </w:rPr>
        <w:t xml:space="preserve">5.5 Data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Retention period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account data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Until account deletion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Deleted account data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within 30 days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 records (invoices)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years (Dutch legal requirement)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logs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days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Anonymised usage analytics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Indefinite (no personal data)</w:t>
            </w:r>
          </w:p>
        </w:tc>
      </w:tr>
    </w:tbl>
    <w:p>
      <w:pPr>
        <w:pStyle w:val="Heading2"/>
        <w:spacing w:after="160" w:before="280"/>
      </w:pPr>
      <w:r>
        <w:rPr>
          <w:rFonts w:ascii="Arial" w:cs="Arial" w:eastAsia="Arial" w:hAnsi="Arial"/>
          <w:b/>
          <w:bCs/>
          <w:color w:val="1a365d"/>
          <w:sz w:val="26"/>
          <w:szCs w:val="26"/>
        </w:rPr>
        <w:t xml:space="preserve">5.6 Data Location &amp; Transfers</w:t>
      </w:r>
    </w:p>
    <w:p>
      <w:pPr>
        <w:pStyle w:val="ListParagraph"/>
        <w:numPr>
          <w:ilvl w:val="0"/>
          <w:numId w:val="2"/>
        </w:numPr>
        <w:spacing w:after="80" w:line="320"/>
      </w:pPr>
      <w:r>
        <w:rPr>
          <w:rFonts w:ascii="Arial" w:cs="Arial" w:eastAsia="Arial" w:hAnsi="Arial"/>
          <w:sz w:val="22"/>
          <w:szCs w:val="22"/>
        </w:rPr>
        <w:t xml:space="preserve">All data stored on European servers (Railway EU region, Vercel EU edge)</w:t>
      </w:r>
    </w:p>
    <w:p>
      <w:pPr>
        <w:pStyle w:val="ListParagraph"/>
        <w:numPr>
          <w:ilvl w:val="0"/>
          <w:numId w:val="2"/>
        </w:numPr>
        <w:spacing w:after="80" w:line="320"/>
      </w:pPr>
      <w:r>
        <w:rPr>
          <w:rFonts w:ascii="Arial" w:cs="Arial" w:eastAsia="Arial" w:hAnsi="Arial"/>
          <w:sz w:val="22"/>
          <w:szCs w:val="22"/>
        </w:rPr>
        <w:t xml:space="preserve">No transfers outside the EU/EEA</w:t>
      </w:r>
    </w:p>
    <w:p>
      <w:pPr>
        <w:pStyle w:val="ListParagraph"/>
        <w:numPr>
          <w:ilvl w:val="0"/>
          <w:numId w:val="2"/>
        </w:numPr>
        <w:spacing w:after="80" w:line="320"/>
      </w:pPr>
      <w:r>
        <w:rPr>
          <w:rFonts w:ascii="Arial" w:cs="Arial" w:eastAsia="Arial" w:hAnsi="Arial"/>
          <w:sz w:val="22"/>
          <w:szCs w:val="22"/>
        </w:rPr>
        <w:t xml:space="preserve">API-Football Pro is a licensed data source — BetsPlug only reads match data, no personal data shared</w:t>
      </w:r>
    </w:p>
    <w:p>
      <w:pPr>
        <w:pStyle w:val="ListParagraph"/>
        <w:numPr>
          <w:ilvl w:val="0"/>
          <w:numId w:val="2"/>
        </w:numPr>
        <w:spacing w:after="80" w:line="320"/>
      </w:pPr>
      <w:r>
        <w:rPr>
          <w:rFonts w:ascii="Arial" w:cs="Arial" w:eastAsia="Arial" w:hAnsi="Arial"/>
          <w:sz w:val="22"/>
          <w:szCs w:val="22"/>
        </w:rPr>
        <w:t xml:space="preserve">Stripe (payment processor) is GDPR-compliant with standard contractual clauses</w:t>
      </w:r>
    </w:p>
    <w:p>
      <w:pPr>
        <w:pStyle w:val="Heading2"/>
        <w:spacing w:after="160" w:before="280"/>
      </w:pPr>
      <w:r>
        <w:rPr>
          <w:rFonts w:ascii="Arial" w:cs="Arial" w:eastAsia="Arial" w:hAnsi="Arial"/>
          <w:b/>
          <w:bCs/>
          <w:color w:val="1a365d"/>
          <w:sz w:val="26"/>
          <w:szCs w:val="26"/>
        </w:rPr>
        <w:t xml:space="preserve">5.7 Automated Decision-Making</w:t>
      </w:r>
    </w:p>
    <w:p>
      <w:pPr>
        <w:spacing w:after="140" w:line="320"/>
      </w:pPr>
      <w:r>
        <w:rPr>
          <w:rFonts w:ascii="Arial" w:cs="Arial" w:eastAsia="Arial" w:hAnsi="Arial"/>
          <w:sz w:val="22"/>
          <w:szCs w:val="22"/>
        </w:rPr>
        <w:t xml:space="preserve">BetsPlug's prediction algorithms do not make decisions that legally or significantly affect users. Predictions are informational output only. Feature-gating based on subscription tier is a contractual matter, not automated profiling under GDPR Art. 22.</w:t>
      </w:r>
    </w:p>
    <w:p>
      <w:pPr>
        <w:pStyle w:val="Heading1"/>
        <w:spacing w:after="200" w:before="360"/>
      </w:pPr>
      <w:r>
        <w:rPr>
          <w:rFonts w:ascii="Arial" w:cs="Arial" w:eastAsia="Arial" w:hAnsi="Arial"/>
          <w:b/>
          <w:bCs/>
          <w:color w:val="1a365d"/>
          <w:sz w:val="32"/>
          <w:szCs w:val="32"/>
        </w:rPr>
        <w:t xml:space="preserve">6. Intellectual Property</w:t>
      </w:r>
    </w:p>
    <w:p>
      <w:pPr>
        <w:pStyle w:val="Heading2"/>
        <w:spacing w:after="160" w:before="280"/>
      </w:pPr>
      <w:r>
        <w:rPr>
          <w:rFonts w:ascii="Arial" w:cs="Arial" w:eastAsia="Arial" w:hAnsi="Arial"/>
          <w:b/>
          <w:bCs/>
          <w:color w:val="1a365d"/>
          <w:sz w:val="26"/>
          <w:szCs w:val="26"/>
        </w:rPr>
        <w:t xml:space="preserve">6.1 BetsPlug-owned IP</w:t>
      </w:r>
    </w:p>
    <w:p>
      <w:pPr>
        <w:pStyle w:val="ListParagraph"/>
        <w:numPr>
          <w:ilvl w:val="0"/>
          <w:numId w:val="2"/>
        </w:numPr>
        <w:spacing w:after="80" w:line="320"/>
      </w:pPr>
      <w:r>
        <w:rPr>
          <w:rFonts w:ascii="Arial" w:cs="Arial" w:eastAsia="Arial" w:hAnsi="Arial"/>
          <w:sz w:val="22"/>
          <w:szCs w:val="22"/>
        </w:rPr>
        <w:t xml:space="preserve">Prediction engine source code</w:t>
      </w:r>
    </w:p>
    <w:p>
      <w:pPr>
        <w:pStyle w:val="ListParagraph"/>
        <w:numPr>
          <w:ilvl w:val="0"/>
          <w:numId w:val="2"/>
        </w:numPr>
        <w:spacing w:after="80" w:line="320"/>
      </w:pPr>
      <w:r>
        <w:rPr>
          <w:rFonts w:ascii="Arial" w:cs="Arial" w:eastAsia="Arial" w:hAnsi="Arial"/>
          <w:sz w:val="22"/>
          <w:szCs w:val="22"/>
        </w:rPr>
        <w:t xml:space="preserve">Trained machine learning models (weights, scalers)</w:t>
      </w:r>
    </w:p>
    <w:p>
      <w:pPr>
        <w:pStyle w:val="ListParagraph"/>
        <w:numPr>
          <w:ilvl w:val="0"/>
          <w:numId w:val="2"/>
        </w:numPr>
        <w:spacing w:after="80" w:line="320"/>
      </w:pPr>
      <w:r>
        <w:rPr>
          <w:rFonts w:ascii="Arial" w:cs="Arial" w:eastAsia="Arial" w:hAnsi="Arial"/>
          <w:sz w:val="22"/>
          <w:szCs w:val="22"/>
        </w:rPr>
        <w:t xml:space="preserve">Feature engineering logic</w:t>
      </w:r>
    </w:p>
    <w:p>
      <w:pPr>
        <w:pStyle w:val="ListParagraph"/>
        <w:numPr>
          <w:ilvl w:val="0"/>
          <w:numId w:val="2"/>
        </w:numPr>
        <w:spacing w:after="80" w:line="320"/>
      </w:pPr>
      <w:r>
        <w:rPr>
          <w:rFonts w:ascii="Arial" w:cs="Arial" w:eastAsia="Arial" w:hAnsi="Arial"/>
          <w:sz w:val="22"/>
          <w:szCs w:val="22"/>
        </w:rPr>
        <w:t xml:space="preserve">Website design, branding, logo</w:t>
      </w:r>
    </w:p>
    <w:p>
      <w:pPr>
        <w:pStyle w:val="ListParagraph"/>
        <w:numPr>
          <w:ilvl w:val="0"/>
          <w:numId w:val="2"/>
        </w:numPr>
        <w:spacing w:after="80" w:line="320"/>
      </w:pPr>
      <w:r>
        <w:rPr>
          <w:rFonts w:ascii="Arial" w:cs="Arial" w:eastAsia="Arial" w:hAnsi="Arial"/>
          <w:sz w:val="22"/>
          <w:szCs w:val="22"/>
        </w:rPr>
        <w:t xml:space="preserve">Generated predictions (as output of licensed inputs)</w:t>
      </w:r>
    </w:p>
    <w:p>
      <w:pPr>
        <w:pStyle w:val="Heading2"/>
        <w:spacing w:after="160" w:before="280"/>
      </w:pPr>
      <w:r>
        <w:rPr>
          <w:rFonts w:ascii="Arial" w:cs="Arial" w:eastAsia="Arial" w:hAnsi="Arial"/>
          <w:b/>
          <w:bCs/>
          <w:color w:val="1a365d"/>
          <w:sz w:val="26"/>
          <w:szCs w:val="26"/>
        </w:rPr>
        <w:t xml:space="preserve">6.2 Licensed Data</w:t>
      </w:r>
    </w:p>
    <w:p>
      <w:pPr>
        <w:pStyle w:val="ListParagraph"/>
        <w:numPr>
          <w:ilvl w:val="0"/>
          <w:numId w:val="2"/>
        </w:numPr>
        <w:spacing w:after="80" w:line="320"/>
      </w:pPr>
      <w:r>
        <w:rPr>
          <w:rFonts w:ascii="Arial" w:cs="Arial" w:eastAsia="Arial" w:hAnsi="Arial"/>
          <w:sz w:val="22"/>
          <w:szCs w:val="22"/>
        </w:rPr>
        <w:t xml:space="preserve">API-Football Pro: match fixtures, results, statistics — used under commercial licence</w:t>
      </w:r>
    </w:p>
    <w:p>
      <w:pPr>
        <w:pStyle w:val="ListParagraph"/>
        <w:numPr>
          <w:ilvl w:val="0"/>
          <w:numId w:val="2"/>
        </w:numPr>
        <w:spacing w:after="80" w:line="320"/>
      </w:pPr>
      <w:r>
        <w:rPr>
          <w:rFonts w:ascii="Arial" w:cs="Arial" w:eastAsia="Arial" w:hAnsi="Arial"/>
          <w:sz w:val="22"/>
          <w:szCs w:val="22"/>
        </w:rPr>
        <w:t xml:space="preserve">Bookmaker odds (when displayed): used under applicable terms from The Odds API or similar</w:t>
      </w:r>
    </w:p>
    <w:p>
      <w:pPr>
        <w:spacing w:after="140" w:line="320"/>
      </w:pPr>
      <w:r>
        <w:rPr>
          <w:rFonts w:ascii="Arial" w:cs="Arial" w:eastAsia="Arial" w:hAnsi="Arial"/>
          <w:sz w:val="22"/>
          <w:szCs w:val="22"/>
        </w:rPr>
        <w:t xml:space="preserve">All data is used within the terms of the respective licences. BetsPlug does not scrape or otherwise obtain data from unauthorised sources.</w:t>
      </w:r>
    </w:p>
    <w:p>
      <w:pPr>
        <w:pStyle w:val="Heading2"/>
        <w:spacing w:after="160" w:before="280"/>
      </w:pPr>
      <w:r>
        <w:rPr>
          <w:rFonts w:ascii="Arial" w:cs="Arial" w:eastAsia="Arial" w:hAnsi="Arial"/>
          <w:b/>
          <w:bCs/>
          <w:color w:val="1a365d"/>
          <w:sz w:val="26"/>
          <w:szCs w:val="26"/>
        </w:rPr>
        <w:t xml:space="preserve">6.3 User-Generated Content</w:t>
      </w:r>
    </w:p>
    <w:p>
      <w:pPr>
        <w:spacing w:after="140" w:line="320"/>
      </w:pPr>
      <w:r>
        <w:rPr>
          <w:rFonts w:ascii="Arial" w:cs="Arial" w:eastAsia="Arial" w:hAnsi="Arial"/>
          <w:sz w:val="22"/>
          <w:szCs w:val="22"/>
        </w:rPr>
        <w:t xml:space="preserve">Users do not generate public content on the platform. Private notes and favourites remain the user's property and are deleted on account deletion.</w:t>
      </w:r>
    </w:p>
    <w:p>
      <w:pPr>
        <w:pStyle w:val="Heading1"/>
        <w:spacing w:after="200" w:before="360"/>
      </w:pPr>
      <w:r>
        <w:rPr>
          <w:rFonts w:ascii="Arial" w:cs="Arial" w:eastAsia="Arial" w:hAnsi="Arial"/>
          <w:b/>
          <w:bCs/>
          <w:color w:val="1a365d"/>
          <w:sz w:val="32"/>
          <w:szCs w:val="32"/>
        </w:rPr>
        <w:t xml:space="preserve">7. Terms of Use</w:t>
      </w:r>
    </w:p>
    <w:p>
      <w:pPr>
        <w:pStyle w:val="Heading2"/>
        <w:spacing w:after="160" w:before="280"/>
      </w:pPr>
      <w:r>
        <w:rPr>
          <w:rFonts w:ascii="Arial" w:cs="Arial" w:eastAsia="Arial" w:hAnsi="Arial"/>
          <w:b/>
          <w:bCs/>
          <w:color w:val="1a365d"/>
          <w:sz w:val="26"/>
          <w:szCs w:val="26"/>
        </w:rPr>
        <w:t xml:space="preserve">7.1 Subscription Model</w:t>
      </w:r>
    </w:p>
    <w:p>
      <w:pPr>
        <w:pStyle w:val="ListParagraph"/>
        <w:numPr>
          <w:ilvl w:val="0"/>
          <w:numId w:val="2"/>
        </w:numPr>
        <w:spacing w:after="80" w:line="320"/>
      </w:pPr>
      <w:r>
        <w:rPr>
          <w:rFonts w:ascii="Arial" w:cs="Arial" w:eastAsia="Arial" w:hAnsi="Arial"/>
          <w:sz w:val="22"/>
          <w:szCs w:val="22"/>
        </w:rPr>
        <w:t xml:space="preserve">Tiered access: Free Access (Bronze, no charge), Silver, Gold, and Platinum (lifetime)</w:t>
      </w:r>
    </w:p>
    <w:p>
      <w:pPr>
        <w:pStyle w:val="ListParagraph"/>
        <w:numPr>
          <w:ilvl w:val="0"/>
          <w:numId w:val="2"/>
        </w:numPr>
        <w:spacing w:after="80" w:line="320"/>
      </w:pPr>
      <w:r>
        <w:rPr>
          <w:rFonts w:ascii="Arial" w:cs="Arial" w:eastAsia="Arial" w:hAnsi="Arial"/>
          <w:sz w:val="22"/>
          <w:szCs w:val="22"/>
        </w:rPr>
        <w:t xml:space="preserve">Silver and Gold are recurring monthly subscriptions billed via Stripe</w:t>
      </w:r>
    </w:p>
    <w:p>
      <w:pPr>
        <w:pStyle w:val="ListParagraph"/>
        <w:numPr>
          <w:ilvl w:val="0"/>
          <w:numId w:val="2"/>
        </w:numPr>
        <w:spacing w:after="80" w:line="320"/>
      </w:pPr>
      <w:r>
        <w:rPr>
          <w:rFonts w:ascii="Arial" w:cs="Arial" w:eastAsia="Arial" w:hAnsi="Arial"/>
          <w:sz w:val="22"/>
          <w:szCs w:val="22"/>
        </w:rPr>
        <w:t xml:space="preserve">Platinum is sold as a single one-off lifetime payment via Stripe; it does not renew</w:t>
      </w:r>
    </w:p>
    <w:p>
      <w:pPr>
        <w:pStyle w:val="ListParagraph"/>
        <w:numPr>
          <w:ilvl w:val="0"/>
          <w:numId w:val="2"/>
        </w:numPr>
        <w:spacing w:after="80" w:line="320"/>
      </w:pPr>
      <w:r>
        <w:rPr>
          <w:rFonts w:ascii="Arial" w:cs="Arial" w:eastAsia="Arial" w:hAnsi="Arial"/>
          <w:sz w:val="22"/>
          <w:szCs w:val="22"/>
        </w:rPr>
        <w:t xml:space="preserve">Recurring plans renew automatically until cancelled by the customer</w:t>
      </w:r>
    </w:p>
    <w:p>
      <w:pPr>
        <w:pStyle w:val="ListParagraph"/>
        <w:numPr>
          <w:ilvl w:val="0"/>
          <w:numId w:val="2"/>
        </w:numPr>
        <w:spacing w:after="80" w:line="320"/>
      </w:pPr>
      <w:r>
        <w:rPr>
          <w:rFonts w:ascii="Arial" w:cs="Arial" w:eastAsia="Arial" w:hAnsi="Arial"/>
          <w:sz w:val="22"/>
          <w:szCs w:val="22"/>
        </w:rPr>
        <w:t xml:space="preserve">Customers can manage, upgrade, downgrade, or cancel their subscription at any time via the in-app Stripe Billing Portal</w:t>
      </w:r>
    </w:p>
    <w:p>
      <w:pPr>
        <w:pStyle w:val="ListParagraph"/>
        <w:numPr>
          <w:ilvl w:val="0"/>
          <w:numId w:val="2"/>
        </w:numPr>
        <w:spacing w:after="80" w:line="320"/>
      </w:pPr>
      <w:r>
        <w:rPr>
          <w:rFonts w:ascii="Arial" w:cs="Arial" w:eastAsia="Arial" w:hAnsi="Arial"/>
          <w:sz w:val="22"/>
          <w:szCs w:val="22"/>
        </w:rPr>
        <w:t xml:space="preserve">Cancellation: effective at the end of the current billing period; no pro-rata refund for unused days</w:t>
      </w:r>
    </w:p>
    <w:p>
      <w:pPr>
        <w:pStyle w:val="ListParagraph"/>
        <w:numPr>
          <w:ilvl w:val="0"/>
          <w:numId w:val="2"/>
        </w:numPr>
        <w:spacing w:after="80" w:line="320"/>
      </w:pPr>
      <w:r>
        <w:rPr>
          <w:rFonts w:ascii="Arial" w:cs="Arial" w:eastAsia="Arial" w:hAnsi="Arial"/>
          <w:sz w:val="22"/>
          <w:szCs w:val="22"/>
        </w:rPr>
        <w:t xml:space="preserve">Upgrading from a recurring plan to lifetime Platinum automatically cancels the prior recurring subscription so the customer is never charged twice</w:t>
      </w:r>
    </w:p>
    <w:p>
      <w:pPr>
        <w:pStyle w:val="ListParagraph"/>
        <w:numPr>
          <w:ilvl w:val="0"/>
          <w:numId w:val="2"/>
        </w:numPr>
        <w:spacing w:after="80" w:line="320"/>
      </w:pPr>
      <w:r>
        <w:rPr>
          <w:rFonts w:ascii="Arial" w:cs="Arial" w:eastAsia="Arial" w:hAnsi="Arial"/>
          <w:sz w:val="22"/>
          <w:szCs w:val="22"/>
        </w:rPr>
        <w:t xml:space="preserve">Price changes: 30-day notice required</w:t>
      </w:r>
    </w:p>
    <w:p>
      <w:pPr>
        <w:pStyle w:val="Heading2"/>
        <w:spacing w:after="160" w:before="280"/>
      </w:pPr>
      <w:r>
        <w:rPr>
          <w:rFonts w:ascii="Arial" w:cs="Arial" w:eastAsia="Arial" w:hAnsi="Arial"/>
          <w:b/>
          <w:bCs/>
          <w:color w:val="1a365d"/>
          <w:sz w:val="26"/>
          <w:szCs w:val="26"/>
        </w:rPr>
        <w:t xml:space="preserve">7.2 Acceptable Use</w:t>
      </w:r>
    </w:p>
    <w:p>
      <w:pPr>
        <w:spacing w:after="140" w:line="320"/>
      </w:pPr>
      <w:r>
        <w:rPr>
          <w:rFonts w:ascii="Arial" w:cs="Arial" w:eastAsia="Arial" w:hAnsi="Arial"/>
          <w:sz w:val="22"/>
          <w:szCs w:val="22"/>
        </w:rPr>
        <w:t xml:space="preserve">Users agree NOT to:</w:t>
      </w:r>
    </w:p>
    <w:p>
      <w:pPr>
        <w:pStyle w:val="ListParagraph"/>
        <w:numPr>
          <w:ilvl w:val="0"/>
          <w:numId w:val="2"/>
        </w:numPr>
        <w:spacing w:after="80" w:line="320"/>
      </w:pPr>
      <w:r>
        <w:rPr>
          <w:rFonts w:ascii="Arial" w:cs="Arial" w:eastAsia="Arial" w:hAnsi="Arial"/>
          <w:sz w:val="22"/>
          <w:szCs w:val="22"/>
        </w:rPr>
        <w:t xml:space="preserve">Scrape or reverse-engineer the prediction engine</w:t>
      </w:r>
    </w:p>
    <w:p>
      <w:pPr>
        <w:pStyle w:val="ListParagraph"/>
        <w:numPr>
          <w:ilvl w:val="0"/>
          <w:numId w:val="2"/>
        </w:numPr>
        <w:spacing w:after="80" w:line="320"/>
      </w:pPr>
      <w:r>
        <w:rPr>
          <w:rFonts w:ascii="Arial" w:cs="Arial" w:eastAsia="Arial" w:hAnsi="Arial"/>
          <w:sz w:val="22"/>
          <w:szCs w:val="22"/>
        </w:rPr>
        <w:t xml:space="preserve">Share account credentials</w:t>
      </w:r>
    </w:p>
    <w:p>
      <w:pPr>
        <w:pStyle w:val="ListParagraph"/>
        <w:numPr>
          <w:ilvl w:val="0"/>
          <w:numId w:val="2"/>
        </w:numPr>
        <w:spacing w:after="80" w:line="320"/>
      </w:pPr>
      <w:r>
        <w:rPr>
          <w:rFonts w:ascii="Arial" w:cs="Arial" w:eastAsia="Arial" w:hAnsi="Arial"/>
          <w:sz w:val="22"/>
          <w:szCs w:val="22"/>
        </w:rPr>
        <w:t xml:space="preserve">Resell or redistribute predictions without a Platinum API licence</w:t>
      </w:r>
    </w:p>
    <w:p>
      <w:pPr>
        <w:pStyle w:val="ListParagraph"/>
        <w:numPr>
          <w:ilvl w:val="0"/>
          <w:numId w:val="2"/>
        </w:numPr>
        <w:spacing w:after="80" w:line="320"/>
      </w:pPr>
      <w:r>
        <w:rPr>
          <w:rFonts w:ascii="Arial" w:cs="Arial" w:eastAsia="Arial" w:hAnsi="Arial"/>
          <w:sz w:val="22"/>
          <w:szCs w:val="22"/>
        </w:rPr>
        <w:t xml:space="preserve">Use the service to circumvent gambling regulations in their jurisdiction</w:t>
      </w:r>
    </w:p>
    <w:p>
      <w:pPr>
        <w:pStyle w:val="ListParagraph"/>
        <w:numPr>
          <w:ilvl w:val="0"/>
          <w:numId w:val="2"/>
        </w:numPr>
        <w:spacing w:after="80" w:line="320"/>
      </w:pPr>
      <w:r>
        <w:rPr>
          <w:rFonts w:ascii="Arial" w:cs="Arial" w:eastAsia="Arial" w:hAnsi="Arial"/>
          <w:sz w:val="22"/>
          <w:szCs w:val="22"/>
        </w:rPr>
        <w:t xml:space="preserve">Use the service under the age of 18</w:t>
      </w:r>
    </w:p>
    <w:p>
      <w:pPr>
        <w:pStyle w:val="Heading2"/>
        <w:spacing w:after="160" w:before="280"/>
      </w:pPr>
      <w:r>
        <w:rPr>
          <w:rFonts w:ascii="Arial" w:cs="Arial" w:eastAsia="Arial" w:hAnsi="Arial"/>
          <w:b/>
          <w:bCs/>
          <w:color w:val="1a365d"/>
          <w:sz w:val="26"/>
          <w:szCs w:val="26"/>
        </w:rPr>
        <w:t xml:space="preserve">7.3 Liability Limitations</w:t>
      </w:r>
    </w:p>
    <w:p>
      <w:pPr>
        <w:shd w:fill="fff8e1" w:val="clear"/>
        <w:spacing w:after="160" w:before="80" w:line="320"/>
        <w:ind w:left="200" w:right="200"/>
      </w:pPr>
      <w:r>
        <w:rPr>
          <w:rFonts w:ascii="Arial" w:cs="Arial" w:eastAsia="Arial" w:hAnsi="Arial"/>
          <w:b/>
          <w:bCs/>
          <w:color w:val="996600"/>
          <w:sz w:val="20"/>
          <w:szCs w:val="20"/>
        </w:rPr>
        <w:t xml:space="preserve">⚠ Important: </w:t>
      </w:r>
      <w:r>
        <w:rPr>
          <w:rFonts w:ascii="Arial" w:cs="Arial" w:eastAsia="Arial" w:hAnsi="Arial"/>
          <w:color w:val="444444"/>
          <w:sz w:val="20"/>
          <w:szCs w:val="20"/>
        </w:rPr>
        <w:t xml:space="preserve">BetsPlug accepts NO liability for financial losses arising from the use of its predictions. Predictions are estimates only. Past model performance is not indicative of future results. Users must make their own judgements.</w:t>
      </w:r>
    </w:p>
    <w:p>
      <w:pPr>
        <w:spacing w:after="140" w:line="320"/>
      </w:pPr>
      <w:r>
        <w:rPr>
          <w:rFonts w:ascii="Arial" w:cs="Arial" w:eastAsia="Arial" w:hAnsi="Arial"/>
          <w:sz w:val="22"/>
          <w:szCs w:val="22"/>
        </w:rPr>
        <w:t xml:space="preserve">Specifically:</w:t>
      </w:r>
    </w:p>
    <w:p>
      <w:pPr>
        <w:pStyle w:val="ListParagraph"/>
        <w:numPr>
          <w:ilvl w:val="0"/>
          <w:numId w:val="2"/>
        </w:numPr>
        <w:spacing w:after="80" w:line="320"/>
      </w:pPr>
      <w:r>
        <w:rPr>
          <w:rFonts w:ascii="Arial" w:cs="Arial" w:eastAsia="Arial" w:hAnsi="Arial"/>
          <w:sz w:val="22"/>
          <w:szCs w:val="22"/>
        </w:rPr>
        <w:t xml:space="preserve">BetsPlug's maximum liability is limited to the amount paid in the last 12 months</w:t>
      </w:r>
    </w:p>
    <w:p>
      <w:pPr>
        <w:pStyle w:val="ListParagraph"/>
        <w:numPr>
          <w:ilvl w:val="0"/>
          <w:numId w:val="2"/>
        </w:numPr>
        <w:spacing w:after="80" w:line="320"/>
      </w:pPr>
      <w:r>
        <w:rPr>
          <w:rFonts w:ascii="Arial" w:cs="Arial" w:eastAsia="Arial" w:hAnsi="Arial"/>
          <w:sz w:val="22"/>
          <w:szCs w:val="22"/>
        </w:rPr>
        <w:t xml:space="preserve">BetsPlug is not liable for indirect, consequential, or special damages</w:t>
      </w:r>
    </w:p>
    <w:p>
      <w:pPr>
        <w:pStyle w:val="ListParagraph"/>
        <w:numPr>
          <w:ilvl w:val="0"/>
          <w:numId w:val="2"/>
        </w:numPr>
        <w:spacing w:after="80" w:line="320"/>
      </w:pPr>
      <w:r>
        <w:rPr>
          <w:rFonts w:ascii="Arial" w:cs="Arial" w:eastAsia="Arial" w:hAnsi="Arial"/>
          <w:sz w:val="22"/>
          <w:szCs w:val="22"/>
        </w:rPr>
        <w:t xml:space="preserve">Force majeure events (API outages, data provider failures) do not give rise to claims</w:t>
      </w:r>
    </w:p>
    <w:p>
      <w:pPr>
        <w:pStyle w:val="ListParagraph"/>
        <w:numPr>
          <w:ilvl w:val="0"/>
          <w:numId w:val="2"/>
        </w:numPr>
        <w:spacing w:after="80" w:line="320"/>
      </w:pPr>
      <w:r>
        <w:rPr>
          <w:rFonts w:ascii="Arial" w:cs="Arial" w:eastAsia="Arial" w:hAnsi="Arial"/>
          <w:sz w:val="22"/>
          <w:szCs w:val="22"/>
        </w:rPr>
        <w:t xml:space="preserve">Local gambling losses are the sole responsibility of the user</w:t>
      </w:r>
    </w:p>
    <w:p>
      <w:pPr>
        <w:pStyle w:val="Heading2"/>
        <w:spacing w:after="160" w:before="280"/>
      </w:pPr>
      <w:r>
        <w:rPr>
          <w:rFonts w:ascii="Arial" w:cs="Arial" w:eastAsia="Arial" w:hAnsi="Arial"/>
          <w:b/>
          <w:bCs/>
          <w:color w:val="1a365d"/>
          <w:sz w:val="26"/>
          <w:szCs w:val="26"/>
        </w:rPr>
        <w:t xml:space="preserve">7.4 Dispute Resolution</w:t>
      </w:r>
    </w:p>
    <w:p>
      <w:pPr>
        <w:pStyle w:val="ListParagraph"/>
        <w:numPr>
          <w:ilvl w:val="0"/>
          <w:numId w:val="2"/>
        </w:numPr>
        <w:spacing w:after="80" w:line="320"/>
      </w:pPr>
      <w:r>
        <w:rPr>
          <w:rFonts w:ascii="Arial" w:cs="Arial" w:eastAsia="Arial" w:hAnsi="Arial"/>
          <w:sz w:val="22"/>
          <w:szCs w:val="22"/>
        </w:rPr>
        <w:t xml:space="preserve">Governing law: Dutch law</w:t>
      </w:r>
    </w:p>
    <w:p>
      <w:pPr>
        <w:pStyle w:val="ListParagraph"/>
        <w:numPr>
          <w:ilvl w:val="0"/>
          <w:numId w:val="2"/>
        </w:numPr>
        <w:spacing w:after="80" w:line="320"/>
      </w:pPr>
      <w:r>
        <w:rPr>
          <w:rFonts w:ascii="Arial" w:cs="Arial" w:eastAsia="Arial" w:hAnsi="Arial"/>
          <w:sz w:val="22"/>
          <w:szCs w:val="22"/>
        </w:rPr>
        <w:t xml:space="preserve">Competent court: Rechtbank Amsterdam</w:t>
      </w:r>
    </w:p>
    <w:p>
      <w:pPr>
        <w:pStyle w:val="ListParagraph"/>
        <w:numPr>
          <w:ilvl w:val="0"/>
          <w:numId w:val="2"/>
        </w:numPr>
        <w:spacing w:after="80" w:line="320"/>
      </w:pPr>
      <w:r>
        <w:rPr>
          <w:rFonts w:ascii="Arial" w:cs="Arial" w:eastAsia="Arial" w:hAnsi="Arial"/>
          <w:sz w:val="22"/>
          <w:szCs w:val="22"/>
        </w:rPr>
        <w:t xml:space="preserve">Consumer users may invoke rights under EU consumer protection directives</w:t>
      </w:r>
    </w:p>
    <w:p>
      <w:pPr>
        <w:pStyle w:val="ListParagraph"/>
        <w:numPr>
          <w:ilvl w:val="0"/>
          <w:numId w:val="2"/>
        </w:numPr>
        <w:spacing w:after="80" w:line="320"/>
      </w:pPr>
      <w:r>
        <w:rPr>
          <w:rFonts w:ascii="Arial" w:cs="Arial" w:eastAsia="Arial" w:hAnsi="Arial"/>
          <w:sz w:val="22"/>
          <w:szCs w:val="22"/>
        </w:rPr>
        <w:t xml:space="preserve">Pre-litigation: users must attempt resolution via the contact page first</w:t>
      </w:r>
    </w:p>
    <w:p>
      <w:pPr>
        <w:pStyle w:val="Heading2"/>
        <w:spacing w:after="160" w:before="280"/>
      </w:pPr>
      <w:r>
        <w:rPr>
          <w:rFonts w:ascii="Arial" w:cs="Arial" w:eastAsia="Arial" w:hAnsi="Arial"/>
          <w:b/>
          <w:bCs/>
          <w:color w:val="1a365d"/>
          <w:sz w:val="26"/>
          <w:szCs w:val="26"/>
        </w:rPr>
        <w:t xml:space="preserve">7.5 Changes to Terms</w:t>
      </w:r>
    </w:p>
    <w:p>
      <w:pPr>
        <w:spacing w:after="140" w:line="320"/>
      </w:pPr>
      <w:r>
        <w:rPr>
          <w:rFonts w:ascii="Arial" w:cs="Arial" w:eastAsia="Arial" w:hAnsi="Arial"/>
          <w:sz w:val="22"/>
          <w:szCs w:val="22"/>
        </w:rPr>
        <w:t xml:space="preserve">BetsPlug reserves the right to update Terms of Use. Material changes require 30-day notice; users may cancel their subscription if they disagree with new terms.</w:t>
      </w:r>
    </w:p>
    <w:p>
      <w:pPr>
        <w:pStyle w:val="Heading1"/>
        <w:spacing w:after="200" w:before="360"/>
      </w:pPr>
      <w:r>
        <w:rPr>
          <w:rFonts w:ascii="Arial" w:cs="Arial" w:eastAsia="Arial" w:hAnsi="Arial"/>
          <w:b/>
          <w:bCs/>
          <w:color w:val="1a365d"/>
          <w:sz w:val="32"/>
          <w:szCs w:val="32"/>
        </w:rPr>
        <w:t xml:space="preserve">8. Risk Information</w:t>
      </w:r>
    </w:p>
    <w:p>
      <w:pPr>
        <w:spacing w:after="140" w:line="320"/>
      </w:pPr>
      <w:r>
        <w:rPr>
          <w:rFonts w:ascii="Arial" w:cs="Arial" w:eastAsia="Arial" w:hAnsi="Arial"/>
          <w:sz w:val="22"/>
          <w:szCs w:val="22"/>
        </w:rPr>
        <w:t xml:space="preserve">Essential limitations users and stakeholders must understand:</w:t>
      </w:r>
    </w:p>
    <w:p>
      <w:pPr>
        <w:pStyle w:val="ListParagraph"/>
        <w:numPr>
          <w:ilvl w:val="0"/>
          <w:numId w:val="2"/>
        </w:numPr>
        <w:spacing w:after="80" w:line="320"/>
      </w:pPr>
      <w:r>
        <w:rPr>
          <w:rFonts w:ascii="Arial" w:cs="Arial" w:eastAsia="Arial" w:hAnsi="Arial"/>
          <w:sz w:val="22"/>
          <w:szCs w:val="22"/>
        </w:rPr>
        <w:t xml:space="preserve">Predictions are statistical estimates, not certainties. Football is inherently unpredictable.</w:t>
      </w:r>
    </w:p>
    <w:p>
      <w:pPr>
        <w:pStyle w:val="ListParagraph"/>
        <w:numPr>
          <w:ilvl w:val="0"/>
          <w:numId w:val="2"/>
        </w:numPr>
        <w:spacing w:after="80" w:line="320"/>
      </w:pPr>
      <w:r>
        <w:rPr>
          <w:rFonts w:ascii="Arial" w:cs="Arial" w:eastAsia="Arial" w:hAnsi="Arial"/>
          <w:sz w:val="22"/>
          <w:szCs w:val="22"/>
        </w:rPr>
        <w:t xml:space="preserve">Past performance does not guarantee future results. Market conditions, team rosters, weather, injuries, and countless other factors influence outcomes.</w:t>
      </w:r>
    </w:p>
    <w:p>
      <w:pPr>
        <w:pStyle w:val="ListParagraph"/>
        <w:numPr>
          <w:ilvl w:val="0"/>
          <w:numId w:val="2"/>
        </w:numPr>
        <w:spacing w:after="80" w:line="320"/>
      </w:pPr>
      <w:r>
        <w:rPr>
          <w:rFonts w:ascii="Arial" w:cs="Arial" w:eastAsia="Arial" w:hAnsi="Arial"/>
          <w:sz w:val="22"/>
          <w:szCs w:val="22"/>
        </w:rPr>
        <w:t xml:space="preserve">The model may underperform during anomalous periods: pandemics, strikes, or drastic rule changes.</w:t>
      </w:r>
    </w:p>
    <w:p>
      <w:pPr>
        <w:pStyle w:val="ListParagraph"/>
        <w:numPr>
          <w:ilvl w:val="0"/>
          <w:numId w:val="2"/>
        </w:numPr>
        <w:spacing w:after="80" w:line="320"/>
      </w:pPr>
      <w:r>
        <w:rPr>
          <w:rFonts w:ascii="Arial" w:cs="Arial" w:eastAsia="Arial" w:hAnsi="Arial"/>
          <w:sz w:val="22"/>
          <w:szCs w:val="22"/>
        </w:rPr>
        <w:t xml:space="preserve">Accuracy varies by league, competition, and confidence level. Users should review per-league accuracy figures before acting on predictions.</w:t>
      </w:r>
    </w:p>
    <w:p>
      <w:pPr>
        <w:pStyle w:val="ListParagraph"/>
        <w:numPr>
          <w:ilvl w:val="0"/>
          <w:numId w:val="2"/>
        </w:numPr>
        <w:spacing w:after="80" w:line="320"/>
      </w:pPr>
      <w:r>
        <w:rPr>
          <w:rFonts w:ascii="Arial" w:cs="Arial" w:eastAsia="Arial" w:hAnsi="Arial"/>
          <w:sz w:val="22"/>
          <w:szCs w:val="22"/>
        </w:rPr>
        <w:t xml:space="preserve">BetsPlug information should never be the sole basis for financial decisions. Users must consult their own financial advisors for investment matters.</w:t>
      </w:r>
    </w:p>
    <w:p>
      <w:pPr>
        <w:pStyle w:val="ListParagraph"/>
        <w:numPr>
          <w:ilvl w:val="0"/>
          <w:numId w:val="2"/>
        </w:numPr>
        <w:spacing w:after="80" w:line="320"/>
      </w:pPr>
      <w:r>
        <w:rPr>
          <w:rFonts w:ascii="Arial" w:cs="Arial" w:eastAsia="Arial" w:hAnsi="Arial"/>
          <w:sz w:val="22"/>
          <w:szCs w:val="22"/>
        </w:rPr>
        <w:t xml:space="preserve">Never wager money that cannot be afforded to lose.</w:t>
      </w:r>
    </w:p>
    <w:p>
      <w:pPr>
        <w:shd w:fill="f5f5f5" w:val="clear"/>
        <w:spacing w:after="160" w:before="80" w:line="320"/>
        <w:ind w:left="200" w:right="200"/>
      </w:pPr>
      <w:r>
        <w:rPr>
          <w:rFonts w:ascii="Arial" w:cs="Arial" w:eastAsia="Arial" w:hAnsi="Arial"/>
          <w:b/>
          <w:bCs/>
          <w:color w:val="1a365d"/>
          <w:sz w:val="20"/>
          <w:szCs w:val="20"/>
        </w:rPr>
        <w:t xml:space="preserve">In plain language: </w:t>
      </w:r>
      <w:r>
        <w:rPr>
          <w:rFonts w:ascii="Arial" w:cs="Arial" w:eastAsia="Arial" w:hAnsi="Arial"/>
          <w:color w:val="444444"/>
          <w:sz w:val="20"/>
          <w:szCs w:val="20"/>
        </w:rPr>
        <w:t xml:space="preserve">Compare this to a weather forecast: a 70% chance of rain means it does NOT rain in 3 out of 10 cases. Even the best prediction is not a guarantee. BetsPlug works similarly — it provides probabilities, not certainties.</w:t>
      </w:r>
    </w:p>
    <w:p>
      <w:pPr>
        <w:pStyle w:val="Heading1"/>
        <w:spacing w:after="200" w:before="360"/>
      </w:pPr>
      <w:r>
        <w:rPr>
          <w:rFonts w:ascii="Arial" w:cs="Arial" w:eastAsia="Arial" w:hAnsi="Arial"/>
          <w:b/>
          <w:bCs/>
          <w:color w:val="1a365d"/>
          <w:sz w:val="32"/>
          <w:szCs w:val="32"/>
        </w:rPr>
        <w:t xml:space="preserve">9. Contact &amp;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Trading name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BetsPlug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entity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Sanders Capital (eenmanszaak / sole proprietorship)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Administrative services; proprietary trader in investments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KvK number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96286008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Establishment number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000061622141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Registered office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Netherlands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Website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https://betsplug.com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contact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support@betsplug.com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processor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Payments Europe, Ltd. (PCI-DSS Level 1, fully tested live)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Privacy/GDPR requests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support@betsplug.com (subject: 'GDPR')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Protection Officer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 be designated when user base exceeds GDPR Art. 37 threshold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Competent data authority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Autoriteit Persoonsgegevens (NL)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 version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 (April 2026)</w:t>
            </w:r>
          </w:p>
        </w:tc>
      </w:tr>
    </w:tbl>
    <w:p>
      <w:pPr>
        <w:spacing w:before="600"/>
      </w:pPr>
    </w:p>
    <w:p>
      <w:pPr>
        <w:spacing w:after="140" w:line="320"/>
      </w:pPr>
      <w:r>
        <w:rPr>
          <w:rFonts w:ascii="Arial" w:cs="Arial" w:eastAsia="Arial" w:hAnsi="Arial"/>
          <w:i/>
          <w:iCs/>
          <w:color w:val="99999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 — Sanders Capital (BetsPlug) — KvK 96286008</w:t>
    </w:r>
    <w: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4" w:space="4"/>
      </w:pBdr>
      <w:tabs>
        <w:tab w:val="right" w:pos="9026"/>
      </w:tabs>
    </w:pPr>
    <w:r>
      <w:rPr>
        <w:rFonts w:ascii="Arial" w:cs="Arial" w:eastAsia="Arial" w:hAnsi="Arial"/>
        <w:i/>
        <w:iCs/>
        <w:color w:val="999999"/>
        <w:sz w:val="18"/>
        <w:szCs w:val="18"/>
      </w:rPr>
      <w:t xml:space="preserve">BetsPlug — Legal Framework</w:t>
    </w:r>
    <w:r>
      <w:rPr>
        <w:rFonts w:ascii="Arial" w:cs="Arial" w:eastAsia="Arial" w:hAnsi="Arial"/>
        <w:color w:val="999999"/>
        <w:sz w:val="18"/>
        <w:szCs w:val="18"/>
      </w:rPr>
      <w:t xml:space="preserve">	v8.1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2026-04-28T14:22:50.855Z</dcterms:created>
  <dcterms:modified xsi:type="dcterms:W3CDTF">2026-04-28T14:22:50.855Z</dcterms:modified>
</cp:coreProperties>
</file>

<file path=docProps/custom.xml><?xml version="1.0" encoding="utf-8"?>
<Properties xmlns="http://schemas.openxmlformats.org/officeDocument/2006/custom-properties" xmlns:vt="http://schemas.openxmlformats.org/officeDocument/2006/docPropsVTypes"/>
</file>