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to play protocol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8575" cy="1138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575" cy="113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GRTP = graduated return to 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majority (80-90%) of concussions resolve in a short (7-10 days) period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may be longer in children and adolescents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GRTP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</w:t>
        <w:tab/>
        <w:tab/>
        <w:tab/>
        <w:tab/>
        <w:tab/>
        <w:t xml:space="preserve">14 days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Light aerobic exercise</w:t>
        <w:tab/>
        <w:tab/>
        <w:t xml:space="preserve">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Rugby-specific exercise</w:t>
        <w:tab/>
        <w:tab/>
        <w:t xml:space="preserve">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Non contact training</w:t>
        <w:tab/>
        <w:tab/>
        <w:tab/>
        <w:t xml:space="preserve">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Full contact</w:t>
        <w:tab/>
        <w:tab/>
        <w:tab/>
        <w:tab/>
        <w:t xml:space="preserve">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After 24hrs - return to play</w:t>
        <w:tab/>
        <w:tab/>
        <w:t xml:space="preserve">23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Dennis: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Brendan: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Symptoms:</w:t>
      </w:r>
      <w:r w:rsidDel="00000000" w:rsidR="00000000" w:rsidRPr="00000000">
        <w:rPr>
          <w:rtl w:val="0"/>
        </w:rPr>
        <w:br w:type="textWrapping"/>
        <w:br w:type="textWrapping"/>
        <w:t xml:space="preserve">Balance issues</w:t>
        <w:br w:type="textWrapping"/>
        <w:t xml:space="preserve">Difficulty communicating/ slow answers</w:t>
        <w:br w:type="textWrapping"/>
        <w:t xml:space="preserve">drowsiness/Fatigue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Feeling emotionally/mentally foggy</w:t>
        <w:br w:type="textWrapping"/>
        <w:t xml:space="preserve">Headaches</w:t>
        <w:br w:type="textWrapping"/>
        <w:t xml:space="preserve">Iritiability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Memory difficulties</w:t>
        <w:br w:type="textWrapping"/>
        <w:t xml:space="preserve">Nausea</w:t>
        <w:br w:type="textWrapping"/>
        <w:t xml:space="preserve">Nervousness</w:t>
        <w:br w:type="textWrapping"/>
        <w:t xml:space="preserve">Numbness</w:t>
        <w:br w:type="textWrapping"/>
        <w:t xml:space="preserve">Sensitivity to light or noise</w:t>
        <w:br w:type="textWrapping"/>
        <w:t xml:space="preserve">Visual problems/blurry vision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Diagnosed by: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Focused neurological exam</w:t>
        <w:br w:type="textWrapping"/>
        <w:t xml:space="preserve">Orientation exam testing short term memory - event that caused concussion</w:t>
        <w:br w:type="textWrapping"/>
        <w:t xml:space="preserve">Orientation exam testing long term memory - names, birthday</w:t>
        <w:br w:type="textWrapping"/>
        <w:t xml:space="preserve">Assessment of athletes ability to stay attentive to complex tasks</w:t>
        <w:br w:type="textWrapping"/>
        <w:t xml:space="preserve">MRI or CT scans</w:t>
        <w:br w:type="textWrapping"/>
        <w:t xml:space="preserve">Balance assessment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