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Arial" w:hAnsi="Arial"/>
          <w:b/>
          <w:i w:val="0"/>
          <w:color w:val="0B2D5A"/>
          <w:sz w:val="48"/>
        </w:rPr>
        <w:t>E-COMMERCE CONSUMER BEHAVIOR &amp; LOGISTICS REPORT</w:t>
      </w:r>
    </w:p>
    <w:p>
      <w:pPr>
        <w:spacing w:after="4000"/>
        <w:jc w:val="center"/>
      </w:pPr>
      <w:r>
        <w:rPr>
          <w:rFonts w:ascii="Arial" w:hAnsi="Arial"/>
          <w:b w:val="0"/>
          <w:i/>
          <w:color w:val="4682B4"/>
          <w:sz w:val="28"/>
        </w:rPr>
        <w:t>An End-to-End Data Analytics Project using Python, SQL, and Tableau Public</w:t>
      </w:r>
    </w:p>
    <w:p>
      <w:pPr>
        <w:jc w:val="center"/>
      </w:pPr>
      <w:r>
        <w:rPr>
          <w:rFonts w:ascii="Arial" w:hAnsi="Arial"/>
          <w:b w:val="0"/>
          <w:i w:val="0"/>
          <w:color w:val="333333"/>
          <w:sz w:val="20"/>
        </w:rPr>
        <w:t>Prepared for: Portfolio Presentation</w:t>
        <w:br/>
        <w:t>Date: July 2026</w:t>
        <w:br/>
        <w:t>Tools Used: Python, SQL (MySQL), Tableau Public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0B2D5A"/>
          <w:sz w:val="32"/>
        </w:rPr>
        <w:t>1. Executive Summary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This report outlines a comprehensive, data-driven framework constructed to analyze modern e-commerce transaction behaviors, logistical performance, and consumer metrics. Utilizing a dataset containing 10,000 unique records across multiple metropolitan hubs in India, this project bridges business intelligence with actual operational optimization. The pipeline encompasses structured data preparation via Python, multi-tier aggregated business analysis via standard structured query language (SQL), and enterprise-grade dynamic visualization in Tableau Public.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2D5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Total Net Revenue</w:t>
              <w:br/>
            </w:r>
            <w:r>
              <w:rPr>
                <w:rFonts w:ascii="Arial" w:hAnsi="Arial"/>
                <w:b/>
                <w:i w:val="0"/>
                <w:color w:val="FFFFFF"/>
                <w:sz w:val="28"/>
              </w:rPr>
              <w:t>₹22,306K</w:t>
            </w:r>
          </w:p>
        </w:tc>
        <w:tc>
          <w:tcPr>
            <w:tcW w:type="dxa" w:w="2340"/>
            <w:shd w:fill="0B2D5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Average Order Value</w:t>
              <w:br/>
            </w:r>
            <w:r>
              <w:rPr>
                <w:rFonts w:ascii="Arial" w:hAnsi="Arial"/>
                <w:b/>
                <w:i w:val="0"/>
                <w:color w:val="FFFFFF"/>
                <w:sz w:val="28"/>
              </w:rPr>
              <w:t>₹1,890</w:t>
            </w:r>
          </w:p>
        </w:tc>
        <w:tc>
          <w:tcPr>
            <w:tcW w:type="dxa" w:w="2340"/>
            <w:shd w:fill="0B2D5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Overall Return Rate</w:t>
              <w:br/>
            </w:r>
            <w:r>
              <w:rPr>
                <w:rFonts w:ascii="Arial" w:hAnsi="Arial"/>
                <w:b/>
                <w:i w:val="0"/>
                <w:color w:val="FFFFFF"/>
                <w:sz w:val="28"/>
              </w:rPr>
              <w:t>18.02%</w:t>
            </w:r>
          </w:p>
        </w:tc>
        <w:tc>
          <w:tcPr>
            <w:tcW w:type="dxa" w:w="2340"/>
            <w:shd w:fill="0B2D5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Active Customers</w:t>
              <w:br/>
            </w:r>
            <w:r>
              <w:rPr>
                <w:rFonts w:ascii="Arial" w:hAnsi="Arial"/>
                <w:b/>
                <w:i w:val="0"/>
                <w:color w:val="FFFFFF"/>
                <w:sz w:val="28"/>
              </w:rPr>
              <w:t>2,581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B2D5A"/>
          <w:sz w:val="32"/>
        </w:rPr>
        <w:t>2. Python Data Engineering Pipeline</w:t>
      </w:r>
    </w:p>
    <w:p>
      <w:r>
        <w:rPr>
          <w:rFonts w:ascii="Arial" w:hAnsi="Arial"/>
          <w:b w:val="0"/>
          <w:i w:val="0"/>
          <w:color w:val="333333"/>
          <w:sz w:val="22"/>
        </w:rPr>
        <w:t>Data ingestion and engineering were executed via pandas to ensure logical completeness and remove structural gaps. Missing values were systematically categorized according to underlying transactional rules:</w:t>
      </w:r>
    </w:p>
    <w:p>
      <w:pPr>
        <w:pStyle w:val="ListBullet"/>
      </w:pPr>
      <w:r>
        <w:rPr>
          <w:b/>
        </w:rPr>
        <w:t xml:space="preserve">Online Store &amp; Delivery Speed: </w:t>
      </w:r>
      <w:r>
        <w:t>Imputed with 'N/A - Offline' where the channels indicated brick-and-mortar storefront purchases.</w:t>
      </w:r>
    </w:p>
    <w:p>
      <w:pPr>
        <w:pStyle w:val="ListBullet"/>
      </w:pPr>
      <w:r>
        <w:rPr>
          <w:b/>
        </w:rPr>
        <w:t xml:space="preserve">Festival/Sale: </w:t>
      </w:r>
      <w:r>
        <w:t>Null values were mapped to 'Regular Day' to ensure non-promotional baselines were preserved.</w:t>
      </w:r>
    </w:p>
    <w:p>
      <w:pPr>
        <w:pStyle w:val="ListBullet"/>
      </w:pPr>
      <w:r>
        <w:rPr>
          <w:b/>
        </w:rPr>
        <w:t xml:space="preserve">Feature Derivation: </w:t>
      </w:r>
      <w:r>
        <w:t>Engineered continuous age features into categorical 'Age Groups' (Gen Z, Millennials, Gen X) and extracted total transaction values across metrics.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b w:val="0"/>
                <w:i w:val="0"/>
                <w:color w:val="282828"/>
                <w:sz w:val="19"/>
              </w:rPr>
              <w:t># Data Ingestion &amp; Sanitization Script Snippet</w:t>
              <w:br/>
              <w:t>import pandas as pd</w:t>
              <w:br/>
              <w:t>df = pd.read_csv('customer_shopping_behavior.csv')</w:t>
              <w:br/>
              <w:t>df['Online Store'] = df['Online Store'].fillna('N/A - Offline')</w:t>
              <w:br/>
              <w:t>df['Festival/Sale'] = df['Festival/Sale'].fillna('Regular Day')</w:t>
              <w:br/>
              <w:t>df['Net Revenue'] = (df['Purchase Amount (₹)'] * df['Quantity']) + df['Shipping Charge (₹)']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B2D5A"/>
          <w:sz w:val="32"/>
        </w:rPr>
        <w:t>3. High-Impact SQL Analytics Queries</w:t>
      </w:r>
    </w:p>
    <w:p>
      <w:r>
        <w:rPr>
          <w:rFonts w:ascii="Arial" w:hAnsi="Arial"/>
          <w:b w:val="0"/>
          <w:i w:val="0"/>
          <w:color w:val="333333"/>
          <w:sz w:val="22"/>
        </w:rPr>
        <w:t>Advanced aggregation logic was deployed to compute strategic business dimensions, specifically around logistics platform overhead and RFM loyalty scores.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282828"/>
                <w:sz w:val="19"/>
              </w:rPr>
              <w:t>-- Query 1: Platform Performance and Product Return Optimization</w:t>
              <w:br/>
              <w:t xml:space="preserve">SELECT </w:t>
              <w:br/>
              <w:t xml:space="preserve">    Brand, Category, COUNT(Transaction_ID) AS Total_Orders,</w:t>
              <w:br/>
              <w:t xml:space="preserve">    SUM(Net_Revenue) AS Total_Net_Revenue,</w:t>
              <w:br/>
              <w:t xml:space="preserve">    ROUND(COUNT(CASE WHEN Return_Status = 'Returned' THEN 1 END) * 100.0 / COUNT(Transaction_ID), 2) AS Return_Rate_Pct</w:t>
              <w:br/>
              <w:t>FROM customer_shopping</w:t>
              <w:br/>
              <w:t>GROUP BY Brand, Category</w:t>
              <w:br/>
              <w:t>ORDER BY Total_Net_Revenue DESC;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282828"/>
                <w:sz w:val="19"/>
              </w:rPr>
              <w:t>-- Query 2: RFM Framework Implementation</w:t>
              <w:br/>
              <w:t>WITH Customer_Metrics AS (</w:t>
              <w:br/>
              <w:t xml:space="preserve">    SELECT Customer_ID, SUM(Net_Revenue) AS Total_Spend, </w:t>
              <w:br/>
              <w:t xml:space="preserve">           (MAX(Previous_Purchases) + COUNT(Transaction_ID)) AS Lifetime_Count</w:t>
              <w:br/>
              <w:t xml:space="preserve">    FROM customer_shopping GROUP BY Customer_ID</w:t>
              <w:br/>
              <w:t>),</w:t>
              <w:br/>
              <w:t>RFM_Scores AS (</w:t>
              <w:br/>
              <w:t xml:space="preserve">    SELECT *, NTILE(5) OVER (ORDER BY Lifetime_Count ASC) AS F_Score,</w:t>
              <w:br/>
              <w:t xml:space="preserve">              NTILE(5) OVER (ORDER BY Total_Spend ASC) AS M_Score</w:t>
              <w:br/>
              <w:t xml:space="preserve">    FROM Customer_Metrics</w:t>
              <w:br/>
              <w:t>)</w:t>
              <w:br/>
              <w:t>SELECT *, (F_Score + M_Score) AS Loyalty_Score FROM RFM_Scores;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0B2D5A"/>
          <w:sz w:val="32"/>
        </w:rPr>
        <w:t>4. Strategic Visualization &amp; Findings</w:t>
      </w:r>
    </w:p>
    <w:p>
      <w:r>
        <w:rPr>
          <w:rFonts w:ascii="Arial" w:hAnsi="Arial"/>
          <w:b w:val="0"/>
          <w:i w:val="0"/>
          <w:color w:val="333333"/>
          <w:sz w:val="22"/>
        </w:rPr>
        <w:t>The metrics were compiled into an interactive Tableau Public dashboard layout focusing on spatial distribution and promo effectiveness:</w:t>
      </w:r>
    </w:p>
    <w:p>
      <w:pPr>
        <w:pStyle w:val="ListBullet"/>
      </w:pPr>
      <w:r>
        <w:rPr>
          <w:b/>
        </w:rPr>
        <w:t xml:space="preserve">Regional Density: </w:t>
      </w:r>
      <w:r>
        <w:t>High-volume hubs such as Mumbai, Pune, and Chennai present clear spatial variations in return frequencies (visualized with red/green alerts).</w:t>
      </w:r>
    </w:p>
    <w:p>
      <w:pPr>
        <w:pStyle w:val="ListBullet"/>
      </w:pPr>
      <w:r>
        <w:rPr>
          <w:b/>
        </w:rPr>
        <w:t xml:space="preserve">Promo Elasticity: </w:t>
      </w:r>
      <w:r>
        <w:t>Aggressive discounting past 30% yields diminishing marginal scale in net transaction value, revealing an optimization threshold for commercial margins.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