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A365D"/>
          <w:sz w:val="48"/>
        </w:rPr>
        <w:t>Hotel Booking Analytics Framework</w:t>
      </w:r>
    </w:p>
    <w:p>
      <w:pPr>
        <w:spacing w:after="480"/>
        <w:jc w:val="center"/>
      </w:pPr>
      <w:r>
        <w:rPr>
          <w:i/>
          <w:color w:val="4A5568"/>
          <w:sz w:val="24"/>
        </w:rPr>
        <w:t>Data Analytics Project Documentation • Python, SQL, and Tableau Public</w:t>
      </w:r>
    </w:p>
    <w:p>
      <w:pPr>
        <w:keepNext/>
        <w:spacing w:before="360" w:after="120"/>
      </w:pPr>
      <w:r>
        <w:rPr>
          <w:b/>
          <w:color w:val="1A365D"/>
          <w:sz w:val="32"/>
        </w:rPr>
        <w:t>1. Executive Problem Statement</w:t>
      </w:r>
    </w:p>
    <w:p>
      <w:r>
        <w:t>In the highly competitive hospitality domain, maximizing revenue per available room (RevPAR) and minimizing operational losses generated by unpredicted booking cancellations is critical. This analytics framework serves as a core decision-making asset for a Hotel General Manager to extract actionable foresight from historical customer profiles, transactional attributes, and stay duration parameters.</w:t>
      </w:r>
    </w:p>
    <w:p>
      <w:r>
        <w:t>By exploring this dataset, decision-makers can address critical operational blindspots:</w:t>
      </w:r>
    </w:p>
    <w:p>
      <w:r>
        <w:t>• Predictive Cancellation Mitigation: Identifying segments with exceptionally high risk of cancellations allows revenue management to enforce rigid deposit requirements, establish stricter non-refundable rates, or execute strategic overbooking thresholds during peak intervals.</w:t>
      </w:r>
    </w:p>
    <w:p>
      <w:r>
        <w:t>• Dynamic Seasonal Pricing Calibration: Gaining deep clarity on pricing behaviors (Average Daily Rate or ADR) during volatile shifts (e.g., peak summer vs. winter baseline) assists leadership in designing tiered marketing funnels and adjusting structural budgets.</w:t>
      </w:r>
    </w:p>
    <w:p>
      <w:r>
        <w:t>• Operational Resource &amp; Logistics Allocation: Projecting granular booking volumes—including specific counts of adults, children, and specialized meal arrangements—empowers kitchen procurement, floor staffing, and supply chain logistics to minimize waste and streamline staff scaling.</w:t>
      </w:r>
    </w:p>
    <w:p>
      <w:pPr>
        <w:keepNext/>
        <w:spacing w:before="360" w:after="120"/>
      </w:pPr>
      <w:r>
        <w:rPr>
          <w:b/>
          <w:color w:val="1A365D"/>
          <w:sz w:val="32"/>
        </w:rPr>
        <w:t>2. Analytics Architecture &amp; Tech Stack</w:t>
      </w:r>
    </w:p>
    <w:p>
      <w:r>
        <w:t>To ensure robust reliability and production-ready enterprise scalability, a three-tiered asynchronous data pipeline was constructed, shifting cleanly from raw manipulation to visual deployment:</w:t>
      </w:r>
    </w:p>
    <w:p>
      <w:pPr>
        <w:jc w:val="center"/>
      </w:pPr>
      <w:r>
        <w:rPr>
          <w:b/>
          <w:color w:val="2B6CB0"/>
          <w:sz w:val="22"/>
        </w:rPr>
        <w:t>Python (Pandas / Data Engineering)  ➔  SQL Database (Relational Aggregations)  ➔  Tableau Public (BI Visualizations)</w:t>
      </w:r>
    </w:p>
    <w:p>
      <w:r>
        <w:t>1. Python (Data Cleanliness Layer): Serving as the initial Extract-Transform-Load (ETL) staging ground. Used to locate critical cell vacancies, impute logical corporate identifiers, and engineer core metrics like total night stays and verified guest counts.</w:t>
      </w:r>
    </w:p>
    <w:p>
      <w:r>
        <w:t>2. SQL Engine (Analytical Queries Layer): Leveraged for deep structural querying, multi-conditional performance audits, macro-level market segmentation breakdowns, and calculating accurate baseline historical conversion matrices.</w:t>
      </w:r>
    </w:p>
    <w:p>
      <w:r>
        <w:t>3. Tableau Public (Business Intelligence Layer): Translates aggregated data metrics into an interactive dashboard, combining dual-axis price trend monitors, dense country choropleths, and multi-faceted cross-filtering modules.</w:t>
      </w:r>
    </w:p>
    <w:p>
      <w:pPr>
        <w:keepNext/>
        <w:spacing w:before="360" w:after="120"/>
      </w:pPr>
      <w:r>
        <w:rPr>
          <w:b/>
          <w:color w:val="1A365D"/>
          <w:sz w:val="32"/>
        </w:rPr>
        <w:t>3. Core Data Insights Discovered</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24" w:space="0" w:color="1A365D"/>
              <w:top w:val="none"/>
              <w:right w:val="none"/>
              <w:bottom w:val="none"/>
            </w:tcBorders>
          </w:tcPr>
          <w:p>
            <w:pPr>
              <w:spacing w:before="0" w:after="80"/>
            </w:pPr>
            <w:r>
              <w:rPr>
                <w:rFonts w:ascii="Calibri" w:hAnsi="Calibri"/>
                <w:b/>
                <w:color w:val="1A365D"/>
                <w:sz w:val="22"/>
              </w:rPr>
              <w:t>🚨 Distribution Channel Cancellation Vulnerability</w:t>
              <w:br/>
            </w:r>
            <w:r>
              <w:rPr>
                <w:rFonts w:ascii="Calibri" w:hAnsi="Calibri"/>
                <w:i/>
                <w:color w:val="2D3748"/>
                <w:sz w:val="21"/>
              </w:rPr>
              <w:t>Insight 1: Travel Agency &amp; Tour Operator (TA/TO) channels represent the largest operational risk. This channel accounts for 97,750 bookings with a staggering cancellation rate of 41.06%, heavily contrasting against Direct bookings which show a minimal 17.49% loss pattern. Enforcing localized non-refundable policies on specialized agency allocations could protect significant bottom-line revenue.</w:t>
            </w:r>
          </w:p>
        </w:tc>
      </w:tr>
    </w:tbl>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24" w:space="0" w:color="1A365D"/>
              <w:top w:val="none"/>
              <w:right w:val="none"/>
              <w:bottom w:val="none"/>
            </w:tcBorders>
          </w:tcPr>
          <w:p>
            <w:pPr>
              <w:spacing w:before="0" w:after="80"/>
            </w:pPr>
            <w:r>
              <w:rPr>
                <w:rFonts w:ascii="Calibri" w:hAnsi="Calibri"/>
                <w:b/>
                <w:color w:val="1A365D"/>
                <w:sz w:val="22"/>
              </w:rPr>
              <w:t>📈 Property Class Pricing Seasonality</w:t>
              <w:br/>
            </w:r>
            <w:r>
              <w:rPr>
                <w:rFonts w:ascii="Calibri" w:hAnsi="Calibri"/>
                <w:i/>
                <w:color w:val="2D3748"/>
                <w:sz w:val="21"/>
              </w:rPr>
              <w:t>Insight 2: Resort properties experience severe hyper-seasonality spikes. During July and August, Resort Hotel ADR surges exponentially to averages of $155.18 and $186.79 respectively, while plunging to a low of $69.05 in December. Conversely, City Hotels exhibit uniform year-round demand, hovering safely between $89 and $115 per night. This necessitates radically distinct dynamic pricing models for each property type.</w:t>
            </w:r>
          </w:p>
        </w:tc>
      </w:tr>
    </w:tbl>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24" w:space="0" w:color="1A365D"/>
              <w:top w:val="none"/>
              <w:right w:val="none"/>
              <w:bottom w:val="none"/>
            </w:tcBorders>
          </w:tcPr>
          <w:p>
            <w:pPr>
              <w:spacing w:before="0" w:after="80"/>
            </w:pPr>
            <w:r>
              <w:rPr>
                <w:rFonts w:ascii="Calibri" w:hAnsi="Calibri"/>
                <w:b/>
                <w:color w:val="1A365D"/>
                <w:sz w:val="22"/>
              </w:rPr>
              <w:t>📊 Global Portfolio Conversion Benchmark</w:t>
              <w:br/>
            </w:r>
            <w:r>
              <w:rPr>
                <w:rFonts w:ascii="Calibri" w:hAnsi="Calibri"/>
                <w:i/>
                <w:color w:val="2D3748"/>
                <w:sz w:val="21"/>
              </w:rPr>
              <w:t>Insight 3: The baseline cancel rate across the entire global portfolio is an elevated 37.08% out of 119,210 verified valid check-in attempts. This warrants immediate deployment of predictive automated confirmation prompts and automated retention logic 14 to 30 days prior to customer arrival.</w:t>
            </w:r>
          </w:p>
        </w:tc>
      </w:tr>
    </w:tbl>
    <w:p>
      <w:pPr>
        <w:keepNext/>
        <w:spacing w:before="360" w:after="120"/>
      </w:pPr>
      <w:r>
        <w:rPr>
          <w:b/>
          <w:color w:val="1A365D"/>
          <w:sz w:val="32"/>
        </w:rPr>
        <w:t>4. Code Implementations &amp; Analytical Outputs</w:t>
      </w:r>
    </w:p>
    <w:p>
      <w:pPr>
        <w:keepNext/>
        <w:spacing w:before="240" w:after="80"/>
      </w:pPr>
      <w:r>
        <w:rPr>
          <w:b/>
          <w:color w:val="2B6CB0"/>
          <w:sz w:val="26"/>
        </w:rPr>
        <w:t>4.1 Python ETL &amp; Cleaning Script</w:t>
      </w:r>
    </w:p>
    <w:p>
      <w:r>
        <w:t>The python script below cleans null anomalies, eliminates invalid zero-guest entries, and handles structural column optimization.</w:t>
      </w:r>
    </w:p>
    <w:p>
      <w:pPr>
        <w:spacing w:before="80" w:after="80"/>
        <w:ind w:left="360" w:right="360"/>
      </w:pPr>
    </w:p>
    <w:tbl>
      <w:tblPr>
        <w:tblW w:type="auto" w:w="0"/>
        <w:jc w:val="center"/>
        <w:tblLayout w:type="fixed"/>
        <w:tblLook w:firstColumn="1" w:firstRow="1" w:lastColumn="0" w:lastRow="0" w:noHBand="0" w:noVBand="1" w:val="04A0"/>
      </w:tblPr>
      <w:tblGrid>
        <w:gridCol w:w="9360"/>
      </w:tblGrid>
      <w:tr>
        <w:tc>
          <w:tcPr>
            <w:tcW w:type="dxa" w:w="8640"/>
            <w:shd w:fill="F7FAFC"/>
            <w:tcMar>
              <w:top w:w="100" w:type="dxa"/>
              <w:bottom w:w="100" w:type="dxa"/>
              <w:left w:w="150" w:type="dxa"/>
              <w:right w:w="150" w:type="dxa"/>
            </w:tcMar>
            <w:tcBorders>
              <w:left w:val="single" w:sz="6" w:space="0" w:color="CBD5E0"/>
              <w:top w:val="single" w:sz="6" w:space="0" w:color="CBD5E0"/>
              <w:right w:val="single" w:sz="6" w:space="0" w:color="CBD5E0"/>
              <w:bottom w:val="single" w:sz="6" w:space="0" w:color="CBD5E0"/>
            </w:tcBorders>
          </w:tcPr>
          <w:p>
            <w:pPr>
              <w:spacing w:after="0"/>
            </w:pPr>
            <w:r>
              <w:rPr>
                <w:rFonts w:ascii="Consolas" w:hAnsi="Consolas"/>
                <w:color w:val="23272A"/>
                <w:sz w:val="19"/>
              </w:rPr>
              <w:t>import pandas as pd</w:t>
              <w:br/>
              <w:t>import numpy as np</w:t>
              <w:br/>
              <w:br/>
              <w:t># 1. Load the raw transactional dataset</w:t>
              <w:br/>
              <w:t>df = pd.read_csv("hotel_bookings 2.csv")</w:t>
              <w:br/>
              <w:br/>
              <w:t># 2. Rectify structural missing values</w:t>
              <w:br/>
              <w:t>df['country'] = df['country'].fillna('Unknown')</w:t>
              <w:br/>
              <w:t>df['children'] = df['children'].fillna(0)</w:t>
              <w:br/>
              <w:t>df['agent'] = df['agent'].fillna(0)</w:t>
              <w:br/>
              <w:t>df['company'] = df['company'].fillna(0)</w:t>
              <w:br/>
              <w:br/>
              <w:t># 3. Feature Engineering: Synthesizing analytical aggregates</w:t>
              <w:br/>
              <w:t>df['total_stays'] = df['stays_in_weekend_nights'] + df['stays_in_week_nights']</w:t>
              <w:br/>
              <w:t>df['total_guests'] = df['adults'] + df['children'] + df['babies']</w:t>
              <w:br/>
              <w:br/>
              <w:t># 4. Filter out operational anomalies (lines with zero registered guests)</w:t>
              <w:br/>
              <w:t>df_cleaned = df[df['total_guests'] &gt; 0]</w:t>
              <w:br/>
              <w:br/>
              <w:t># 5. Export clean data matrix for relational injection &amp; BI consumption</w:t>
              <w:br/>
              <w:t>df_cleaned.to_csv("hotel_bookings_cleaned.csv", index=False)</w:t>
              <w:br/>
              <w:t>print(f"[ETL SUCCESS] Output generated. Valid Records: {len(df_cleaned)}")</w:t>
            </w:r>
          </w:p>
        </w:tc>
      </w:tr>
    </w:tbl>
    <w:p>
      <w:r>
        <w:rPr>
          <w:b/>
        </w:rPr>
        <w:t>➔ Execution Output Snippet:</w:t>
        <w:br/>
      </w:r>
      <w:r>
        <w:rPr>
          <w:rFonts w:ascii="Consolas" w:hAnsi="Consolas"/>
          <w:sz w:val="19"/>
        </w:rPr>
        <w:t>[ETL SUCCESS] Output generated. Valid Records: 119210</w:t>
      </w:r>
    </w:p>
    <w:p>
      <w:pPr>
        <w:keepNext/>
        <w:spacing w:before="240" w:after="80"/>
      </w:pPr>
      <w:r>
        <w:rPr>
          <w:b/>
          <w:color w:val="2B6CB0"/>
          <w:sz w:val="26"/>
        </w:rPr>
        <w:t>4.2 SQL Analytical Queries</w:t>
      </w:r>
    </w:p>
    <w:p>
      <w:r>
        <w:t>The queries below generate relational calculations tracking macro-level distribution performance and month-by-month ADR trends.</w:t>
      </w:r>
    </w:p>
    <w:p>
      <w:pPr>
        <w:spacing w:before="80" w:after="80"/>
        <w:ind w:left="360" w:right="360"/>
      </w:pPr>
    </w:p>
    <w:tbl>
      <w:tblPr>
        <w:tblW w:type="auto" w:w="0"/>
        <w:jc w:val="center"/>
        <w:tblLayout w:type="fixed"/>
        <w:tblLook w:firstColumn="1" w:firstRow="1" w:lastColumn="0" w:lastRow="0" w:noHBand="0" w:noVBand="1" w:val="04A0"/>
      </w:tblPr>
      <w:tblGrid>
        <w:gridCol w:w="9360"/>
      </w:tblGrid>
      <w:tr>
        <w:tc>
          <w:tcPr>
            <w:tcW w:type="dxa" w:w="8640"/>
            <w:shd w:fill="F7FAFC"/>
            <w:tcMar>
              <w:top w:w="100" w:type="dxa"/>
              <w:bottom w:w="100" w:type="dxa"/>
              <w:left w:w="150" w:type="dxa"/>
              <w:right w:w="150" w:type="dxa"/>
            </w:tcMar>
            <w:tcBorders>
              <w:left w:val="single" w:sz="6" w:space="0" w:color="CBD5E0"/>
              <w:top w:val="single" w:sz="6" w:space="0" w:color="CBD5E0"/>
              <w:right w:val="single" w:sz="6" w:space="0" w:color="CBD5E0"/>
              <w:bottom w:val="single" w:sz="6" w:space="0" w:color="CBD5E0"/>
            </w:tcBorders>
          </w:tcPr>
          <w:p>
            <w:pPr>
              <w:spacing w:after="0"/>
            </w:pPr>
            <w:r>
              <w:rPr>
                <w:rFonts w:ascii="Consolas" w:hAnsi="Consolas"/>
                <w:color w:val="23272A"/>
                <w:sz w:val="19"/>
              </w:rPr>
              <w:t>-- Query 1: Distribution Channel Risk Profiling</w:t>
              <w:br/>
              <w:t xml:space="preserve">SELECT </w:t>
              <w:br/>
              <w:t xml:space="preserve">    distribution_channel,</w:t>
              <w:br/>
              <w:t xml:space="preserve">    COUNT(*) AS total_bookings,</w:t>
              <w:br/>
              <w:t xml:space="preserve">    SUM(is_canceled) AS total_cancellations,</w:t>
              <w:br/>
              <w:t xml:space="preserve">    ROUND(SUM(is_canceled) * 100.0 / COUNT(*), 2) AS cancellation_percentage</w:t>
              <w:br/>
              <w:t>FROM hotel_bookings_cleaned</w:t>
              <w:br/>
              <w:t>GROUP BY distribution_channel</w:t>
              <w:br/>
              <w:t>ORDER BY total_bookings DESC;</w:t>
            </w:r>
          </w:p>
        </w:tc>
      </w:tr>
    </w:tbl>
    <w:p>
      <w:pPr>
        <w:spacing w:before="80" w:after="80"/>
        <w:ind w:left="360" w:right="360"/>
      </w:pPr>
    </w:p>
    <w:tbl>
      <w:tblPr>
        <w:tblW w:type="auto" w:w="0"/>
        <w:jc w:val="center"/>
        <w:tblLayout w:type="fixed"/>
        <w:tblLook w:firstColumn="1" w:firstRow="1" w:lastColumn="0" w:lastRow="0" w:noHBand="0" w:noVBand="1" w:val="04A0"/>
      </w:tblPr>
      <w:tblGrid>
        <w:gridCol w:w="9360"/>
      </w:tblGrid>
      <w:tr>
        <w:tc>
          <w:tcPr>
            <w:tcW w:type="dxa" w:w="8640"/>
            <w:shd w:fill="F7FAFC"/>
            <w:tcMar>
              <w:top w:w="100" w:type="dxa"/>
              <w:bottom w:w="100" w:type="dxa"/>
              <w:left w:w="150" w:type="dxa"/>
              <w:right w:w="150" w:type="dxa"/>
            </w:tcMar>
            <w:tcBorders>
              <w:left w:val="single" w:sz="6" w:space="0" w:color="CBD5E0"/>
              <w:top w:val="single" w:sz="6" w:space="0" w:color="CBD5E0"/>
              <w:right w:val="single" w:sz="6" w:space="0" w:color="CBD5E0"/>
              <w:bottom w:val="single" w:sz="6" w:space="0" w:color="CBD5E0"/>
            </w:tcBorders>
          </w:tcPr>
          <w:p>
            <w:pPr>
              <w:spacing w:after="0"/>
            </w:pPr>
            <w:r>
              <w:rPr>
                <w:rFonts w:ascii="Consolas" w:hAnsi="Consolas"/>
                <w:color w:val="23272A"/>
                <w:sz w:val="19"/>
              </w:rPr>
              <w:t>-- Query 2: Granular Property Class Monthly ADR Tracking</w:t>
              <w:br/>
              <w:t xml:space="preserve">SELECT </w:t>
              <w:br/>
              <w:t xml:space="preserve">    hotel,</w:t>
              <w:br/>
              <w:t xml:space="preserve">    arrival_date_month,</w:t>
              <w:br/>
              <w:t xml:space="preserve">    ROUND(AVG(adr), 2) AS average_daily_rate,</w:t>
              <w:br/>
              <w:t xml:space="preserve">    COUNT(*) AS absolute_volume</w:t>
              <w:br/>
              <w:t>FROM hotel_bookings_cleaned</w:t>
              <w:br/>
              <w:t>WHERE is_canceled = 0</w:t>
              <w:br/>
              <w:t>GROUP BY hotel, arrival_date_month</w:t>
              <w:br/>
              <w:t>ORDER BY CASE arrival_date_month</w:t>
              <w:br/>
              <w:t xml:space="preserve">    WHEN 'January' THEN 1 WHEN 'February' THEN 2 WHEN 'March' THEN 3 </w:t>
              <w:br/>
              <w:t xml:space="preserve">    WHEN 'April' THEN 4   WHEN 'May' THEN 5      WHEN 'June' THEN 6 </w:t>
              <w:br/>
              <w:t xml:space="preserve">    WHEN 'July' THEN 7    WHEN 'August' THEN 8    WHEN 'September' THEN 9 </w:t>
              <w:br/>
              <w:t xml:space="preserve">    WHEN 'October' THEN 10 WHEN 'November' THEN 11 WHEN 'December' THEN 12</w:t>
              <w:br/>
              <w:t>END, hotel;</w:t>
            </w:r>
          </w:p>
        </w:tc>
      </w:tr>
    </w:tbl>
    <w:p>
      <w:pPr>
        <w:keepNext/>
        <w:spacing w:before="360" w:after="120"/>
      </w:pPr>
      <w:r>
        <w:rPr>
          <w:b/>
          <w:color w:val="1A365D"/>
          <w:sz w:val="32"/>
        </w:rPr>
        <w:t>5. Interactive Dashboard Implementation &amp; Components</w:t>
      </w:r>
    </w:p>
    <w:p>
      <w:r>
        <w:t>The visual analytics architecture was deployed to Tableau Public, introducing robust cross-filtering controls, interactive dual axes, and high-contrast choropleth maps. Below are the structural breakdown details:</w:t>
      </w:r>
    </w:p>
    <w:tbl>
      <w:tblPr>
        <w:tblW w:type="auto" w:w="0"/>
        <w:jc w:val="center"/>
        <w:tblLayout w:type="fixed"/>
        <w:tblLook w:firstColumn="1" w:firstRow="1" w:lastColumn="0" w:lastRow="0" w:noHBand="0" w:noVBand="1" w:val="04A0"/>
      </w:tblPr>
      <w:tblGrid>
        <w:gridCol w:w="4680"/>
        <w:gridCol w:w="4680"/>
      </w:tblGrid>
      <w:tr>
        <w:tc>
          <w:tcPr>
            <w:tcW w:type="dxa" w:w="4680"/>
            <w:shd w:fill="1A365D"/>
          </w:tcPr>
          <w:p>
            <w:pPr>
              <w:jc w:val="center"/>
            </w:pPr>
            <w:r>
              <w:rPr>
                <w:b/>
                <w:color w:val="FFFFFF"/>
              </w:rPr>
              <w:t>Dashboard Visual Component</w:t>
            </w:r>
          </w:p>
        </w:tc>
        <w:tc>
          <w:tcPr>
            <w:tcW w:type="dxa" w:w="4680"/>
            <w:shd w:fill="1A365D"/>
          </w:tcPr>
          <w:p>
            <w:pPr>
              <w:jc w:val="center"/>
            </w:pPr>
            <w:r>
              <w:rPr>
                <w:b/>
                <w:color w:val="FFFFFF"/>
              </w:rPr>
              <w:t>UI Layout Details &amp; Interactive Logic</w:t>
            </w:r>
          </w:p>
        </w:tc>
      </w:tr>
      <w:tr>
        <w:tc>
          <w:tcPr>
            <w:tcW w:type="dxa" w:w="3168"/>
            <w:tcMar>
              <w:top w:w="80" w:type="dxa"/>
              <w:bottom w:w="80" w:type="dxa"/>
              <w:left w:w="100" w:type="dxa"/>
              <w:right w:w="100" w:type="dxa"/>
            </w:tcMar>
          </w:tcPr>
          <w:p>
            <w:r>
              <w:t>Executive KPI Summary Strip</w:t>
            </w:r>
          </w:p>
        </w:tc>
        <w:tc>
          <w:tcPr>
            <w:tcW w:type="dxa" w:w="5472"/>
            <w:tcMar>
              <w:top w:w="80" w:type="dxa"/>
              <w:bottom w:w="80" w:type="dxa"/>
              <w:left w:w="100" w:type="dxa"/>
              <w:right w:w="100" w:type="dxa"/>
            </w:tcMar>
          </w:tcPr>
          <w:p>
            <w:r>
              <w:t>Displays aggregated high-level business metrics across the top header banner: Total Bookings (119.2K), Cancellation Rate (37.08%), and Average ADR ($101.97). Features clean numeric layouts with gray labels.</w:t>
            </w:r>
          </w:p>
        </w:tc>
      </w:tr>
      <w:tr>
        <w:tc>
          <w:tcPr>
            <w:tcW w:type="dxa" w:w="3168"/>
            <w:shd w:fill="F7FAFC"/>
            <w:tcMar>
              <w:top w:w="80" w:type="dxa"/>
              <w:bottom w:w="80" w:type="dxa"/>
              <w:left w:w="100" w:type="dxa"/>
              <w:right w:w="100" w:type="dxa"/>
            </w:tcMar>
          </w:tcPr>
          <w:p>
            <w:r>
              <w:t>Dual-Axis Monthly Revenue &amp; ADR Trend</w:t>
            </w:r>
          </w:p>
        </w:tc>
        <w:tc>
          <w:tcPr>
            <w:tcW w:type="dxa" w:w="5472"/>
            <w:shd w:fill="F7FAFC"/>
            <w:tcMar>
              <w:top w:w="80" w:type="dxa"/>
              <w:bottom w:w="80" w:type="dxa"/>
              <w:left w:w="100" w:type="dxa"/>
              <w:right w:w="100" w:type="dxa"/>
            </w:tcMar>
          </w:tcPr>
          <w:p>
            <w:r>
              <w:t>Integrates Monthly Estimated Revenue as primary vertical columns and average ADR as a continuous overlaid trend line. The axis synchronization issue is resolved to cleanly reveal price elasticity against room demand changes.</w:t>
            </w:r>
          </w:p>
        </w:tc>
      </w:tr>
      <w:tr>
        <w:tc>
          <w:tcPr>
            <w:tcW w:type="dxa" w:w="3168"/>
            <w:tcMar>
              <w:top w:w="80" w:type="dxa"/>
              <w:bottom w:w="80" w:type="dxa"/>
              <w:left w:w="100" w:type="dxa"/>
              <w:right w:w="100" w:type="dxa"/>
            </w:tcMar>
          </w:tcPr>
          <w:p>
            <w:r>
              <w:t>Global Guest Choropleth &amp; Segment Splits</w:t>
            </w:r>
          </w:p>
        </w:tc>
        <w:tc>
          <w:tcPr>
            <w:tcW w:type="dxa" w:w="5472"/>
            <w:tcMar>
              <w:top w:w="80" w:type="dxa"/>
              <w:bottom w:w="80" w:type="dxa"/>
              <w:left w:w="100" w:type="dxa"/>
              <w:right w:w="100" w:type="dxa"/>
            </w:tcMar>
          </w:tcPr>
          <w:p>
            <w:r>
              <w:t>A high-contrast geographic matrix plotting global customer density by source region, tethered directly to a side-by-side comparative layout dividing City and Resort booking ratios for deep cross-filtering.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