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54A" w:rsidRDefault="00F15027" w:rsidP="00F15027">
      <w:pPr>
        <w:pStyle w:val="Title"/>
        <w:jc w:val="center"/>
        <w:rPr>
          <w:b/>
          <w:sz w:val="40"/>
          <w:u w:val="single"/>
        </w:rPr>
      </w:pPr>
      <w:r w:rsidRPr="00F15027">
        <w:rPr>
          <w:b/>
          <w:sz w:val="40"/>
          <w:u w:val="single"/>
        </w:rPr>
        <w:t>Enzyme Activity Graphs</w:t>
      </w:r>
    </w:p>
    <w:p w:rsidR="00177E95" w:rsidRPr="00177E95" w:rsidRDefault="00177E95" w:rsidP="00177E95"/>
    <w:p w:rsidR="00F15027" w:rsidRPr="00177E95" w:rsidRDefault="00177E95" w:rsidP="00177E95">
      <w:pPr>
        <w:jc w:val="center"/>
        <w:rPr>
          <w:b/>
          <w:u w:val="single"/>
        </w:rPr>
      </w:pPr>
      <w:r w:rsidRPr="00177E95">
        <w:rPr>
          <w:b/>
          <w:u w:val="single"/>
        </w:rPr>
        <w:t>V0 vs [S] Logarithmic Plots for marble transferase 1-3</w:t>
      </w:r>
    </w:p>
    <w:p w:rsidR="00F15027" w:rsidRDefault="00F15027" w:rsidP="00827251">
      <w:pPr>
        <w:pStyle w:val="Caption"/>
      </w:pPr>
      <w:r>
        <w:rPr>
          <w:noProof/>
        </w:rPr>
        <w:drawing>
          <wp:inline distT="0" distB="0" distL="0" distR="0" wp14:anchorId="0CC41D22" wp14:editId="76138290">
            <wp:extent cx="5880100" cy="39243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E034A-ED9C-4CB3-B3A3-C5D69D06D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1</w:t>
        </w:r>
      </w:fldSimple>
      <w:r w:rsidR="00827251">
        <w:t>: Marble Transferase 1</w:t>
      </w:r>
    </w:p>
    <w:p w:rsidR="00A7663E" w:rsidRDefault="00A7663E" w:rsidP="00827251">
      <w:pPr>
        <w:pStyle w:val="Caption"/>
      </w:pPr>
      <w:r>
        <w:rPr>
          <w:noProof/>
        </w:rPr>
        <w:drawing>
          <wp:inline distT="0" distB="0" distL="0" distR="0" wp14:anchorId="6D3AA531" wp14:editId="1CF3A46D">
            <wp:extent cx="5867400" cy="3505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3335486-F0EB-4FD3-A13D-8560E9E1D0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2</w:t>
        </w:r>
      </w:fldSimple>
      <w:r w:rsidR="00827251">
        <w:t>: Marble Transferase 2</w:t>
      </w:r>
    </w:p>
    <w:p w:rsidR="00F15027" w:rsidRDefault="00A7663E" w:rsidP="00827251">
      <w:pPr>
        <w:pStyle w:val="Caption"/>
      </w:pPr>
      <w:r>
        <w:rPr>
          <w:noProof/>
        </w:rPr>
        <w:lastRenderedPageBreak/>
        <w:drawing>
          <wp:inline distT="0" distB="0" distL="0" distR="0" wp14:anchorId="5E6826E4" wp14:editId="55028C25">
            <wp:extent cx="5873750" cy="3714750"/>
            <wp:effectExtent l="0" t="0" r="1270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1F4F35-BFDC-4F92-BD92-AF9C22A03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3</w:t>
        </w:r>
      </w:fldSimple>
      <w:r w:rsidR="00827251">
        <w:t>: Marble Transferase 3</w:t>
      </w:r>
    </w:p>
    <w:p w:rsidR="00827251" w:rsidRDefault="00827251" w:rsidP="00827251">
      <w:r>
        <w:t>Using Figures 1-3:</w:t>
      </w:r>
    </w:p>
    <w:p w:rsidR="00827251" w:rsidRPr="00827251" w:rsidRDefault="00827251" w:rsidP="00827251">
      <w:pPr>
        <w:jc w:val="center"/>
        <w:rPr>
          <w:b/>
          <w:u w:val="single"/>
        </w:rPr>
      </w:pPr>
      <w:r w:rsidRPr="00827251">
        <w:rPr>
          <w:b/>
          <w:u w:val="single"/>
        </w:rPr>
        <w:t>Estimated V</w:t>
      </w:r>
      <w:r w:rsidRPr="00827251">
        <w:rPr>
          <w:b/>
          <w:u w:val="single"/>
          <w:vertAlign w:val="subscript"/>
        </w:rPr>
        <w:t>max</w:t>
      </w:r>
      <w:r w:rsidRPr="00827251">
        <w:rPr>
          <w:b/>
          <w:u w:val="single"/>
        </w:rPr>
        <w:t xml:space="preserve"> and K</w:t>
      </w:r>
      <w:r w:rsidRPr="00827251">
        <w:rPr>
          <w:b/>
          <w:u w:val="single"/>
          <w:vertAlign w:val="subscript"/>
        </w:rPr>
        <w:t>m</w:t>
      </w:r>
      <w:r w:rsidRPr="00827251">
        <w:rPr>
          <w:b/>
          <w:u w:val="single"/>
        </w:rPr>
        <w:t xml:space="preserve"> from V vs [S] logarithmic plot</w:t>
      </w:r>
      <w:r w:rsidR="00AC3CD1">
        <w:rPr>
          <w:b/>
          <w:u w:val="single"/>
        </w:rPr>
        <w:t xml:space="preserve"> (3 sig. fig)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2"/>
        <w:tblW w:w="6818" w:type="dxa"/>
        <w:tblLook w:val="04A0" w:firstRow="1" w:lastRow="0" w:firstColumn="1" w:lastColumn="0" w:noHBand="0" w:noVBand="1"/>
      </w:tblPr>
      <w:tblGrid>
        <w:gridCol w:w="2624"/>
        <w:gridCol w:w="1398"/>
        <w:gridCol w:w="1398"/>
        <w:gridCol w:w="1398"/>
      </w:tblGrid>
      <w:tr w:rsidR="00827251" w:rsidRPr="00A7663E" w:rsidTr="00827251">
        <w:trPr>
          <w:trHeight w:val="350"/>
        </w:trPr>
        <w:tc>
          <w:tcPr>
            <w:tcW w:w="2624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Marble Transferase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7663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3</w:t>
            </w:r>
          </w:p>
        </w:tc>
      </w:tr>
      <w:tr w:rsidR="00827251" w:rsidRPr="00A7663E" w:rsidTr="00827251">
        <w:trPr>
          <w:trHeight w:val="350"/>
        </w:trPr>
        <w:tc>
          <w:tcPr>
            <w:tcW w:w="2624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V</w:t>
            </w:r>
            <w:r w:rsidRPr="00A7663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9.05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8.98</w:t>
            </w:r>
          </w:p>
        </w:tc>
      </w:tr>
      <w:tr w:rsidR="00827251" w:rsidRPr="00A7663E" w:rsidTr="00827251">
        <w:trPr>
          <w:trHeight w:val="350"/>
        </w:trPr>
        <w:tc>
          <w:tcPr>
            <w:tcW w:w="2624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K</w:t>
            </w:r>
            <w:r w:rsidRPr="00A7663E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4.27</w:t>
            </w:r>
          </w:p>
        </w:tc>
        <w:tc>
          <w:tcPr>
            <w:tcW w:w="1398" w:type="dxa"/>
            <w:noWrap/>
            <w:hideMark/>
          </w:tcPr>
          <w:p w:rsidR="00827251" w:rsidRPr="00A7663E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A7663E">
              <w:rPr>
                <w:rFonts w:ascii="Calibri" w:eastAsia="Times New Roman" w:hAnsi="Calibri" w:cs="Calibri"/>
                <w:color w:val="000000"/>
              </w:rPr>
              <w:t>4.63</w:t>
            </w:r>
          </w:p>
        </w:tc>
      </w:tr>
    </w:tbl>
    <w:p w:rsidR="00827251" w:rsidRDefault="00827251" w:rsidP="00535423"/>
    <w:p w:rsidR="00A7663E" w:rsidRDefault="00535423" w:rsidP="00535423">
      <w:r>
        <w:tab/>
      </w:r>
    </w:p>
    <w:p w:rsidR="00535423" w:rsidRDefault="00535423" w:rsidP="00535423"/>
    <w:p w:rsidR="00535423" w:rsidRDefault="00535423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Default="00827251" w:rsidP="00535423"/>
    <w:p w:rsidR="00827251" w:rsidRPr="00827251" w:rsidRDefault="00827251" w:rsidP="00827251">
      <w:pPr>
        <w:jc w:val="center"/>
        <w:rPr>
          <w:b/>
          <w:sz w:val="24"/>
          <w:u w:val="single"/>
        </w:rPr>
      </w:pPr>
      <w:r w:rsidRPr="00827251">
        <w:rPr>
          <w:b/>
          <w:sz w:val="24"/>
          <w:u w:val="single"/>
        </w:rPr>
        <w:lastRenderedPageBreak/>
        <w:t>Lineweaver-Burk Plots for Marble Transferase 1-3:</w:t>
      </w:r>
    </w:p>
    <w:p w:rsidR="00535423" w:rsidRDefault="00535423" w:rsidP="00827251">
      <w:pPr>
        <w:pStyle w:val="Caption"/>
      </w:pPr>
      <w:r>
        <w:rPr>
          <w:noProof/>
        </w:rPr>
        <w:drawing>
          <wp:inline distT="0" distB="0" distL="0" distR="0" wp14:anchorId="6C4D81D4" wp14:editId="1F7D325E">
            <wp:extent cx="5886450" cy="3587750"/>
            <wp:effectExtent l="0" t="0" r="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A74607B-8579-4585-BFD4-6E64DFBF4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4</w:t>
        </w:r>
      </w:fldSimple>
      <w:r w:rsidR="00827251">
        <w:t>: Lineweaver-Burk Plot for Marble Transferase 1</w:t>
      </w:r>
    </w:p>
    <w:p w:rsidR="00827251" w:rsidRPr="00827251" w:rsidRDefault="00827251" w:rsidP="00827251"/>
    <w:p w:rsidR="00535423" w:rsidRDefault="00535423" w:rsidP="00827251">
      <w:pPr>
        <w:pStyle w:val="Caption"/>
      </w:pPr>
      <w:r>
        <w:rPr>
          <w:noProof/>
        </w:rPr>
        <w:drawing>
          <wp:inline distT="0" distB="0" distL="0" distR="0" wp14:anchorId="6CA89957" wp14:editId="3F2E655D">
            <wp:extent cx="5911850" cy="3479800"/>
            <wp:effectExtent l="0" t="0" r="1270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83BC35-FFBF-4B15-8542-FCD90CF78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5</w:t>
        </w:r>
      </w:fldSimple>
      <w:r w:rsidR="00827251">
        <w:t xml:space="preserve">: </w:t>
      </w:r>
      <w:r w:rsidR="00827251" w:rsidRPr="001B161C">
        <w:t>Lineweaver-Bu</w:t>
      </w:r>
      <w:r w:rsidR="00827251">
        <w:t>rk Plot for Marble Transferase 2</w:t>
      </w:r>
    </w:p>
    <w:p w:rsidR="00535423" w:rsidRDefault="00535423" w:rsidP="00827251">
      <w:pPr>
        <w:pStyle w:val="Caption"/>
      </w:pPr>
      <w:r>
        <w:rPr>
          <w:noProof/>
        </w:rPr>
        <w:lastRenderedPageBreak/>
        <w:drawing>
          <wp:inline distT="0" distB="0" distL="0" distR="0" wp14:anchorId="623E6678" wp14:editId="5A402835">
            <wp:extent cx="5848350" cy="3536950"/>
            <wp:effectExtent l="0" t="0" r="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02DE65D-F876-4167-B906-205C96048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27251">
        <w:t xml:space="preserve">Figure </w:t>
      </w:r>
      <w:fldSimple w:instr=" SEQ Figure \* ARABIC ">
        <w:r w:rsidR="00827251">
          <w:rPr>
            <w:noProof/>
          </w:rPr>
          <w:t>6</w:t>
        </w:r>
      </w:fldSimple>
      <w:r w:rsidR="00827251">
        <w:t xml:space="preserve">: </w:t>
      </w:r>
      <w:r w:rsidR="00827251" w:rsidRPr="00471D05">
        <w:t>Lineweaver-Bu</w:t>
      </w:r>
      <w:r w:rsidR="00827251">
        <w:t>rk Plot for Marble Transferase 3</w:t>
      </w:r>
    </w:p>
    <w:p w:rsidR="00827251" w:rsidRDefault="00827251" w:rsidP="00827251">
      <w:r>
        <w:t>Using Figures 4-6:</w:t>
      </w:r>
    </w:p>
    <w:tbl>
      <w:tblPr>
        <w:tblStyle w:val="TableGrid"/>
        <w:tblpPr w:leftFromText="180" w:rightFromText="180" w:vertAnchor="text" w:horzAnchor="margin" w:tblpXSpec="center" w:tblpY="552"/>
        <w:tblW w:w="5632" w:type="dxa"/>
        <w:tblLook w:val="04A0" w:firstRow="1" w:lastRow="0" w:firstColumn="1" w:lastColumn="0" w:noHBand="0" w:noVBand="1"/>
      </w:tblPr>
      <w:tblGrid>
        <w:gridCol w:w="2140"/>
        <w:gridCol w:w="1164"/>
        <w:gridCol w:w="1164"/>
        <w:gridCol w:w="1164"/>
      </w:tblGrid>
      <w:tr w:rsidR="00827251" w:rsidRPr="00C0754A" w:rsidTr="00827251">
        <w:trPr>
          <w:trHeight w:val="315"/>
        </w:trPr>
        <w:tc>
          <w:tcPr>
            <w:tcW w:w="2140" w:type="dxa"/>
            <w:noWrap/>
            <w:hideMark/>
          </w:tcPr>
          <w:p w:rsidR="00827251" w:rsidRPr="00C0754A" w:rsidRDefault="00827251" w:rsidP="0082725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0754A">
              <w:rPr>
                <w:rFonts w:ascii="Calibri" w:eastAsia="Times New Roman" w:hAnsi="Calibri" w:cs="Calibri"/>
                <w:b/>
                <w:color w:val="000000"/>
              </w:rPr>
              <w:t>Model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0754A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0754A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0754A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</w:tr>
      <w:tr w:rsidR="00827251" w:rsidRPr="00C0754A" w:rsidTr="00827251">
        <w:trPr>
          <w:trHeight w:val="315"/>
        </w:trPr>
        <w:tc>
          <w:tcPr>
            <w:tcW w:w="2140" w:type="dxa"/>
            <w:noWrap/>
            <w:hideMark/>
          </w:tcPr>
          <w:p w:rsidR="00827251" w:rsidRPr="00C0754A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V</w:t>
            </w:r>
            <w:r w:rsidRPr="00C0754A">
              <w:rPr>
                <w:rFonts w:ascii="Calibri" w:eastAsia="Times New Roman" w:hAnsi="Calibri" w:cs="Calibri"/>
                <w:color w:val="000000"/>
                <w:vertAlign w:val="subscript"/>
              </w:rPr>
              <w:t>max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10.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7251" w:rsidRPr="00C0754A" w:rsidTr="00827251">
        <w:trPr>
          <w:trHeight w:val="315"/>
        </w:trPr>
        <w:tc>
          <w:tcPr>
            <w:tcW w:w="2140" w:type="dxa"/>
            <w:noWrap/>
            <w:hideMark/>
          </w:tcPr>
          <w:p w:rsidR="00827251" w:rsidRPr="00C0754A" w:rsidRDefault="00827251" w:rsidP="00827251">
            <w:pPr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K</w:t>
            </w:r>
            <w:r w:rsidRPr="00C0754A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8.31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8.83</w:t>
            </w:r>
          </w:p>
        </w:tc>
        <w:tc>
          <w:tcPr>
            <w:tcW w:w="1164" w:type="dxa"/>
            <w:noWrap/>
            <w:hideMark/>
          </w:tcPr>
          <w:p w:rsidR="00827251" w:rsidRPr="00C0754A" w:rsidRDefault="00827251" w:rsidP="008272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754A">
              <w:rPr>
                <w:rFonts w:ascii="Calibri" w:eastAsia="Times New Roman" w:hAnsi="Calibri" w:cs="Calibri"/>
                <w:color w:val="000000"/>
              </w:rPr>
              <w:t>8.94</w:t>
            </w:r>
          </w:p>
        </w:tc>
      </w:tr>
    </w:tbl>
    <w:p w:rsidR="00827251" w:rsidRPr="00827251" w:rsidRDefault="00827251" w:rsidP="00827251">
      <w:pPr>
        <w:jc w:val="center"/>
        <w:rPr>
          <w:b/>
          <w:u w:val="single"/>
        </w:rPr>
      </w:pPr>
      <w:r w:rsidRPr="00827251">
        <w:rPr>
          <w:b/>
          <w:u w:val="single"/>
        </w:rPr>
        <w:t>Estimated V</w:t>
      </w:r>
      <w:r w:rsidRPr="00827251">
        <w:rPr>
          <w:b/>
          <w:u w:val="single"/>
          <w:vertAlign w:val="subscript"/>
        </w:rPr>
        <w:t>max</w:t>
      </w:r>
      <w:r w:rsidRPr="00827251">
        <w:rPr>
          <w:b/>
          <w:u w:val="single"/>
        </w:rPr>
        <w:t xml:space="preserve"> and K</w:t>
      </w:r>
      <w:r w:rsidRPr="00827251">
        <w:rPr>
          <w:b/>
          <w:u w:val="single"/>
          <w:vertAlign w:val="subscript"/>
        </w:rPr>
        <w:t>m</w:t>
      </w:r>
      <w:r w:rsidRPr="00827251">
        <w:rPr>
          <w:b/>
          <w:u w:val="single"/>
        </w:rPr>
        <w:t xml:space="preserve"> from Lineweaver-Burk Plot</w:t>
      </w:r>
      <w:r w:rsidR="00AC3CD1">
        <w:rPr>
          <w:b/>
          <w:u w:val="single"/>
        </w:rPr>
        <w:t xml:space="preserve"> (3 sig. fig)</w:t>
      </w:r>
    </w:p>
    <w:p w:rsidR="00C0754A" w:rsidRDefault="00C0754A" w:rsidP="00535423"/>
    <w:p w:rsidR="00C0754A" w:rsidRPr="00F15027" w:rsidRDefault="00C0754A" w:rsidP="00535423"/>
    <w:sectPr w:rsidR="00C0754A" w:rsidRPr="00F1502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A7E" w:rsidRDefault="00567A7E" w:rsidP="00177E95">
      <w:pPr>
        <w:spacing w:after="0" w:line="240" w:lineRule="auto"/>
      </w:pPr>
      <w:r>
        <w:separator/>
      </w:r>
    </w:p>
  </w:endnote>
  <w:endnote w:type="continuationSeparator" w:id="0">
    <w:p w:rsidR="00567A7E" w:rsidRDefault="00567A7E" w:rsidP="0017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A7E" w:rsidRDefault="00567A7E" w:rsidP="00177E95">
      <w:pPr>
        <w:spacing w:after="0" w:line="240" w:lineRule="auto"/>
      </w:pPr>
      <w:r>
        <w:separator/>
      </w:r>
    </w:p>
  </w:footnote>
  <w:footnote w:type="continuationSeparator" w:id="0">
    <w:p w:rsidR="00567A7E" w:rsidRDefault="00567A7E" w:rsidP="0017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E95" w:rsidRDefault="00177E95">
    <w:pPr>
      <w:pStyle w:val="Header"/>
    </w:pPr>
    <w:r>
      <w:t>Yiyi Cheng</w:t>
    </w:r>
  </w:p>
  <w:p w:rsidR="00177E95" w:rsidRDefault="00177E95">
    <w:pPr>
      <w:pStyle w:val="Header"/>
    </w:pPr>
    <w:r>
      <w:t>z5164476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27"/>
    <w:rsid w:val="00177E95"/>
    <w:rsid w:val="00264407"/>
    <w:rsid w:val="00535423"/>
    <w:rsid w:val="00567A7E"/>
    <w:rsid w:val="007035E5"/>
    <w:rsid w:val="00827251"/>
    <w:rsid w:val="00A7663E"/>
    <w:rsid w:val="00AC3CD1"/>
    <w:rsid w:val="00C0754A"/>
    <w:rsid w:val="00C9131B"/>
    <w:rsid w:val="00E50126"/>
    <w:rsid w:val="00F1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E73D"/>
  <w15:chartTrackingRefBased/>
  <w15:docId w15:val="{29D51C5F-AE1F-4566-AB21-D28E9E53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66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7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95"/>
  </w:style>
  <w:style w:type="paragraph" w:styleId="Footer">
    <w:name w:val="footer"/>
    <w:basedOn w:val="Normal"/>
    <w:link w:val="FooterChar"/>
    <w:uiPriority w:val="99"/>
    <w:unhideWhenUsed/>
    <w:rsid w:val="0017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yic\Documents\BIOM9420\biom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Transferase 1:</a:t>
            </a:r>
            <a:r>
              <a:rPr lang="en-US" baseline="0"/>
              <a:t> Transferred vs Total Marbles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Model Transferase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7"/>
            <c:dispRSqr val="0"/>
            <c:dispEq val="1"/>
            <c:trendlineLbl>
              <c:layout>
                <c:manualLayout>
                  <c:x val="1.7449256342957131E-2"/>
                  <c:y val="0.130061606882472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Results!$F$4:$F$11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0</c:v>
                  </c:pt>
                  <c:pt idx="2">
                    <c:v>1</c:v>
                  </c:pt>
                  <c:pt idx="3">
                    <c:v>0.57735026918962584</c:v>
                  </c:pt>
                  <c:pt idx="4">
                    <c:v>1.1547005383792495</c:v>
                  </c:pt>
                  <c:pt idx="5">
                    <c:v>0.57735026918962584</c:v>
                  </c:pt>
                  <c:pt idx="6">
                    <c:v>1.1547005383792495</c:v>
                  </c:pt>
                  <c:pt idx="7">
                    <c:v>0.57735026918962573</c:v>
                  </c:pt>
                </c:numCache>
              </c:numRef>
            </c:plus>
            <c:minus>
              <c:numRef>
                <c:f>Results!$F$4:$F$11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0</c:v>
                  </c:pt>
                  <c:pt idx="2">
                    <c:v>1</c:v>
                  </c:pt>
                  <c:pt idx="3">
                    <c:v>0.57735026918962584</c:v>
                  </c:pt>
                  <c:pt idx="4">
                    <c:v>1.1547005383792495</c:v>
                  </c:pt>
                  <c:pt idx="5">
                    <c:v>0.57735026918962584</c:v>
                  </c:pt>
                  <c:pt idx="6">
                    <c:v>1.1547005383792495</c:v>
                  </c:pt>
                  <c:pt idx="7">
                    <c:v>0.57735026918962573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Results!$A$4:$A$11</c:f>
              <c:numCache>
                <c:formatCode>General</c:formatCode>
                <c:ptCount val="8"/>
                <c:pt idx="0">
                  <c:v>0.3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Results!$E$4:$E$11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7.333333333333333</c:v>
                </c:pt>
                <c:pt idx="4">
                  <c:v>8.3333333333333339</c:v>
                </c:pt>
                <c:pt idx="5">
                  <c:v>7.666666666666667</c:v>
                </c:pt>
                <c:pt idx="6">
                  <c:v>8.3333333333333339</c:v>
                </c:pt>
                <c:pt idx="7">
                  <c:v>8.3333333333333339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E6-4D08-9A42-5B5BE83D9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730736"/>
        <c:axId val="618731064"/>
      </c:scatterChart>
      <c:valAx>
        <c:axId val="61873073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marbles in substrate contrainer [S]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31064"/>
        <c:crosses val="autoZero"/>
        <c:crossBetween val="midCat"/>
      </c:valAx>
      <c:valAx>
        <c:axId val="6187310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Average number</a:t>
                </a:r>
                <a:r>
                  <a:rPr lang="en-AU" baseline="0"/>
                  <a:t> of marbles trasnferred</a:t>
                </a:r>
              </a:p>
              <a:p>
                <a:pPr>
                  <a:defRPr/>
                </a:pPr>
                <a:r>
                  <a:rPr lang="en-AU" baseline="0"/>
                  <a:t>[V</a:t>
                </a:r>
                <a:r>
                  <a:rPr lang="en-AU" baseline="-25000"/>
                  <a:t>0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3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Model</a:t>
            </a:r>
            <a:r>
              <a:rPr lang="en-AU" baseline="0"/>
              <a:t> Transferase 2: Transferred vs Total Marbles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7"/>
            <c:dispRSqr val="0"/>
            <c:dispEq val="1"/>
            <c:trendlineLbl>
              <c:layout>
                <c:manualLayout>
                  <c:x val="1.4671478565179353E-2"/>
                  <c:y val="0.133502478856809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Results!$F$16:$F$23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1.154700538379251</c:v>
                  </c:pt>
                  <c:pt idx="2">
                    <c:v>0.57735026918962584</c:v>
                  </c:pt>
                  <c:pt idx="3">
                    <c:v>0.57735026918962584</c:v>
                  </c:pt>
                  <c:pt idx="4">
                    <c:v>1</c:v>
                  </c:pt>
                  <c:pt idx="5">
                    <c:v>1</c:v>
                  </c:pt>
                  <c:pt idx="6">
                    <c:v>1.5275252316519499</c:v>
                  </c:pt>
                  <c:pt idx="7">
                    <c:v>1.1547005383792517</c:v>
                  </c:pt>
                </c:numCache>
              </c:numRef>
            </c:plus>
            <c:minus>
              <c:numRef>
                <c:f>Results!$F$16:$F$23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1.154700538379251</c:v>
                  </c:pt>
                  <c:pt idx="2">
                    <c:v>0.57735026918962584</c:v>
                  </c:pt>
                  <c:pt idx="3">
                    <c:v>0.57735026918962584</c:v>
                  </c:pt>
                  <c:pt idx="4">
                    <c:v>1</c:v>
                  </c:pt>
                  <c:pt idx="5">
                    <c:v>1</c:v>
                  </c:pt>
                  <c:pt idx="6">
                    <c:v>1.5275252316519499</c:v>
                  </c:pt>
                  <c:pt idx="7">
                    <c:v>1.1547005383792517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Results!$A$16:$A$23</c:f>
              <c:numCache>
                <c:formatCode>General</c:formatCode>
                <c:ptCount val="8"/>
                <c:pt idx="0">
                  <c:v>0.3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Results!$E$16:$E$23</c:f>
              <c:numCache>
                <c:formatCode>General</c:formatCode>
                <c:ptCount val="8"/>
                <c:pt idx="0">
                  <c:v>0</c:v>
                </c:pt>
                <c:pt idx="1">
                  <c:v>4.333333333333333</c:v>
                </c:pt>
                <c:pt idx="2">
                  <c:v>6.333333333333333</c:v>
                </c:pt>
                <c:pt idx="3">
                  <c:v>6.666666666666667</c:v>
                </c:pt>
                <c:pt idx="4">
                  <c:v>9</c:v>
                </c:pt>
                <c:pt idx="5">
                  <c:v>9</c:v>
                </c:pt>
                <c:pt idx="6">
                  <c:v>9.3333333333333339</c:v>
                </c:pt>
                <c:pt idx="7">
                  <c:v>9.6666666666666661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71-4DC1-B575-B3C04910A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284304"/>
        <c:axId val="620284632"/>
      </c:scatterChart>
      <c:valAx>
        <c:axId val="620284304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marbles in substrate container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284632"/>
        <c:crosses val="autoZero"/>
        <c:crossBetween val="midCat"/>
      </c:valAx>
      <c:valAx>
        <c:axId val="6202846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Average number of marbles transferred</a:t>
                </a:r>
              </a:p>
              <a:p>
                <a:pPr>
                  <a:defRPr/>
                </a:pPr>
                <a:r>
                  <a:rPr lang="en-AU"/>
                  <a:t>[V</a:t>
                </a:r>
                <a:r>
                  <a:rPr lang="en-AU" baseline="-25000"/>
                  <a:t>0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28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Model Transferase</a:t>
            </a:r>
            <a:r>
              <a:rPr lang="en-AU" baseline="0"/>
              <a:t> 3:Transferred vs Total Marbles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24481804639285"/>
          <c:y val="0.13719442761962447"/>
          <c:w val="0.8442669504149819"/>
          <c:h val="0.7548306077124974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7"/>
            <c:dispRSqr val="0"/>
            <c:dispEq val="1"/>
            <c:trendlineLbl>
              <c:layout>
                <c:manualLayout>
                  <c:x val="1.1893700787401575E-2"/>
                  <c:y val="0.11407771945173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Results!$F$28:$F$35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0</c:v>
                  </c:pt>
                  <c:pt idx="2">
                    <c:v>0.57735026918962473</c:v>
                  </c:pt>
                  <c:pt idx="3">
                    <c:v>2.309401076758502</c:v>
                  </c:pt>
                  <c:pt idx="4">
                    <c:v>0.57735026918962584</c:v>
                  </c:pt>
                  <c:pt idx="5">
                    <c:v>1</c:v>
                  </c:pt>
                  <c:pt idx="6">
                    <c:v>1</c:v>
                  </c:pt>
                  <c:pt idx="7">
                    <c:v>0</c:v>
                  </c:pt>
                </c:numCache>
              </c:numRef>
            </c:plus>
            <c:minus>
              <c:numRef>
                <c:f>Results!$F$28:$F$35</c:f>
                <c:numCache>
                  <c:formatCode>General</c:formatCode>
                  <c:ptCount val="8"/>
                  <c:pt idx="0">
                    <c:v>0</c:v>
                  </c:pt>
                  <c:pt idx="1">
                    <c:v>0</c:v>
                  </c:pt>
                  <c:pt idx="2">
                    <c:v>0.57735026918962473</c:v>
                  </c:pt>
                  <c:pt idx="3">
                    <c:v>2.309401076758502</c:v>
                  </c:pt>
                  <c:pt idx="4">
                    <c:v>0.57735026918962584</c:v>
                  </c:pt>
                  <c:pt idx="5">
                    <c:v>1</c:v>
                  </c:pt>
                  <c:pt idx="6">
                    <c:v>1</c:v>
                  </c:pt>
                  <c:pt idx="7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Results!$A$28:$A$35</c:f>
              <c:numCache>
                <c:formatCode>General</c:formatCode>
                <c:ptCount val="8"/>
                <c:pt idx="0">
                  <c:v>0.3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Results!$E$28:$E$35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4.333333333333333</c:v>
                </c:pt>
                <c:pt idx="3">
                  <c:v>6.666666666666667</c:v>
                </c:pt>
                <c:pt idx="4">
                  <c:v>7.333333333333333</c:v>
                </c:pt>
                <c:pt idx="5">
                  <c:v>7</c:v>
                </c:pt>
                <c:pt idx="6">
                  <c:v>9</c:v>
                </c:pt>
                <c:pt idx="7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DF-40D9-84A0-34D3FE509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360816"/>
        <c:axId val="617357864"/>
      </c:scatterChart>
      <c:valAx>
        <c:axId val="61736081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marbles in substrate container [S]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57864"/>
        <c:crosses val="autoZero"/>
        <c:crossBetween val="midCat"/>
      </c:valAx>
      <c:valAx>
        <c:axId val="6173578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Average</a:t>
                </a:r>
                <a:r>
                  <a:rPr lang="en-AU" baseline="0"/>
                  <a:t> number of marbles transferred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6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Lineweaver-Burk</a:t>
            </a:r>
            <a:r>
              <a:rPr lang="en-US" baseline="0"/>
              <a:t> Plot for Model Transferase 1</a:t>
            </a:r>
            <a:endParaRPr lang="en-US"/>
          </a:p>
        </c:rich>
      </c:tx>
      <c:layout>
        <c:manualLayout>
          <c:xMode val="edge"/>
          <c:yMode val="edge"/>
          <c:x val="0.17196820309249725"/>
          <c:y val="2.27120785039118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330927384076996E-2"/>
          <c:y val="0.18097222222222226"/>
          <c:w val="0.8617386264216973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Results!$C$63</c:f>
              <c:strCache>
                <c:ptCount val="1"/>
                <c:pt idx="0">
                  <c:v>1/S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25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Results!$B$64:$B$71</c:f>
              <c:numCache>
                <c:formatCode>General</c:formatCode>
                <c:ptCount val="8"/>
                <c:pt idx="1">
                  <c:v>0.2</c:v>
                </c:pt>
                <c:pt idx="2">
                  <c:v>0.1</c:v>
                </c:pt>
                <c:pt idx="3">
                  <c:v>6.6666666666666666E-2</c:v>
                </c:pt>
                <c:pt idx="4">
                  <c:v>0.05</c:v>
                </c:pt>
                <c:pt idx="5">
                  <c:v>0.04</c:v>
                </c:pt>
                <c:pt idx="6">
                  <c:v>3.3333333333333333E-2</c:v>
                </c:pt>
                <c:pt idx="7">
                  <c:v>2.5000000000000001E-2</c:v>
                </c:pt>
              </c:numCache>
            </c:numRef>
          </c:xVal>
          <c:yVal>
            <c:numRef>
              <c:f>Results!$C$64:$C$71</c:f>
              <c:numCache>
                <c:formatCode>General</c:formatCode>
                <c:ptCount val="8"/>
                <c:pt idx="1">
                  <c:v>0.25</c:v>
                </c:pt>
                <c:pt idx="2">
                  <c:v>0.16666666666666666</c:v>
                </c:pt>
                <c:pt idx="3">
                  <c:v>0.13636363636363638</c:v>
                </c:pt>
                <c:pt idx="4">
                  <c:v>0.12</c:v>
                </c:pt>
                <c:pt idx="5">
                  <c:v>0.13043478260869565</c:v>
                </c:pt>
                <c:pt idx="6">
                  <c:v>0.12</c:v>
                </c:pt>
                <c:pt idx="7">
                  <c:v>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AF-48E9-A7ED-97587B75A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116720"/>
        <c:axId val="344115408"/>
      </c:scatterChart>
      <c:valAx>
        <c:axId val="34411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[1/S]</a:t>
                </a:r>
              </a:p>
            </c:rich>
          </c:tx>
          <c:layout>
            <c:manualLayout>
              <c:xMode val="edge"/>
              <c:yMode val="edge"/>
              <c:x val="0.49143504789174081"/>
              <c:y val="0.921090551181102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115408"/>
        <c:crosses val="autoZero"/>
        <c:crossBetween val="midCat"/>
      </c:valAx>
      <c:valAx>
        <c:axId val="34411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[1/V</a:t>
                </a:r>
                <a:r>
                  <a:rPr lang="en-AU" baseline="-25000"/>
                  <a:t>0</a:t>
                </a:r>
                <a:r>
                  <a:rPr lang="en-AU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116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Lineweaver-Burk</a:t>
            </a:r>
            <a:r>
              <a:rPr lang="en-US" baseline="0"/>
              <a:t> Plot for Model Transferase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Results!$C$74</c:f>
              <c:strCache>
                <c:ptCount val="1"/>
                <c:pt idx="0">
                  <c:v>1/S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23"/>
            <c:dispRSqr val="0"/>
            <c:dispEq val="1"/>
            <c:trendlineLbl>
              <c:layout>
                <c:manualLayout>
                  <c:x val="6.1315616797900263E-2"/>
                  <c:y val="0.226435185185185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Results!$B$75:$B$81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6.6666666666666666E-2</c:v>
                </c:pt>
                <c:pt idx="3">
                  <c:v>0.05</c:v>
                </c:pt>
                <c:pt idx="4">
                  <c:v>0.04</c:v>
                </c:pt>
                <c:pt idx="5">
                  <c:v>3.3333333333333333E-2</c:v>
                </c:pt>
                <c:pt idx="6">
                  <c:v>2.5000000000000001E-2</c:v>
                </c:pt>
              </c:numCache>
            </c:numRef>
          </c:xVal>
          <c:yVal>
            <c:numRef>
              <c:f>Results!$C$75:$C$81</c:f>
              <c:numCache>
                <c:formatCode>General</c:formatCode>
                <c:ptCount val="7"/>
                <c:pt idx="0">
                  <c:v>0.23076923076923078</c:v>
                </c:pt>
                <c:pt idx="1">
                  <c:v>0.15789473684210528</c:v>
                </c:pt>
                <c:pt idx="2">
                  <c:v>0.15</c:v>
                </c:pt>
                <c:pt idx="3">
                  <c:v>0.1111111111111111</c:v>
                </c:pt>
                <c:pt idx="4">
                  <c:v>0.1111111111111111</c:v>
                </c:pt>
                <c:pt idx="5">
                  <c:v>0.10714285714285714</c:v>
                </c:pt>
                <c:pt idx="6">
                  <c:v>0.10344827586206898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FB-4A8C-BF4D-DF800EE53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234128"/>
        <c:axId val="646236752"/>
      </c:scatterChart>
      <c:valAx>
        <c:axId val="64623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[1/S]</a:t>
                </a:r>
              </a:p>
            </c:rich>
          </c:tx>
          <c:layout>
            <c:manualLayout>
              <c:xMode val="edge"/>
              <c:yMode val="edge"/>
              <c:x val="0.47966331195355538"/>
              <c:y val="0.9182850120613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36752"/>
        <c:crosses val="autoZero"/>
        <c:crossBetween val="midCat"/>
      </c:valAx>
      <c:valAx>
        <c:axId val="6462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[1/V</a:t>
                </a:r>
                <a:r>
                  <a:rPr lang="en-AU" baseline="-25000"/>
                  <a:t>0</a:t>
                </a:r>
                <a:r>
                  <a:rPr lang="en-AU"/>
                  <a:t>]</a:t>
                </a:r>
              </a:p>
            </c:rich>
          </c:tx>
          <c:layout>
            <c:manualLayout>
              <c:xMode val="edge"/>
              <c:yMode val="edge"/>
              <c:x val="2.8183875070989271E-2"/>
              <c:y val="0.46299231514436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3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Lineweaver-Burk</a:t>
            </a:r>
            <a:r>
              <a:rPr lang="en-US" baseline="0"/>
              <a:t> Plot for Model Transferase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Results!$F$74</c:f>
              <c:strCache>
                <c:ptCount val="1"/>
                <c:pt idx="0">
                  <c:v>1/S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2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Results!$E$75:$E$81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6.6666666666666666E-2</c:v>
                </c:pt>
                <c:pt idx="3">
                  <c:v>0.05</c:v>
                </c:pt>
                <c:pt idx="4">
                  <c:v>0.04</c:v>
                </c:pt>
                <c:pt idx="5">
                  <c:v>3.3333333333333333E-2</c:v>
                </c:pt>
                <c:pt idx="6">
                  <c:v>2.5000000000000001E-2</c:v>
                </c:pt>
              </c:numCache>
            </c:numRef>
          </c:xVal>
          <c:yVal>
            <c:numRef>
              <c:f>Results!$F$75:$F$81</c:f>
              <c:numCache>
                <c:formatCode>General</c:formatCode>
                <c:ptCount val="7"/>
                <c:pt idx="0">
                  <c:v>0.25</c:v>
                </c:pt>
                <c:pt idx="1">
                  <c:v>0.23076923076923078</c:v>
                </c:pt>
                <c:pt idx="2">
                  <c:v>0.15</c:v>
                </c:pt>
                <c:pt idx="3">
                  <c:v>0.13636363636363638</c:v>
                </c:pt>
                <c:pt idx="4">
                  <c:v>0.14285714285714285</c:v>
                </c:pt>
                <c:pt idx="5">
                  <c:v>0.1111111111111111</c:v>
                </c:pt>
                <c:pt idx="6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63-4CD9-8A48-DE32FE48B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441552"/>
        <c:axId val="282436960"/>
      </c:scatterChart>
      <c:valAx>
        <c:axId val="28244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[1/S]</a:t>
                </a:r>
              </a:p>
            </c:rich>
          </c:tx>
          <c:layout>
            <c:manualLayout>
              <c:xMode val="edge"/>
              <c:yMode val="edge"/>
              <c:x val="0.46981446686533773"/>
              <c:y val="0.938208380202474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36960"/>
        <c:crosses val="autoZero"/>
        <c:crossBetween val="midCat"/>
      </c:valAx>
      <c:valAx>
        <c:axId val="2824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[1/V</a:t>
                </a:r>
                <a:r>
                  <a:rPr lang="en-AU" baseline="-25000"/>
                  <a:t>0</a:t>
                </a:r>
                <a:r>
                  <a:rPr lang="en-AU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4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7ECE-4150-4050-A9FD-DB50569B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Cheng</dc:creator>
  <cp:keywords/>
  <dc:description/>
  <cp:lastModifiedBy>Yiyi Cheng</cp:lastModifiedBy>
  <cp:revision>5</cp:revision>
  <dcterms:created xsi:type="dcterms:W3CDTF">2018-08-23T06:36:00Z</dcterms:created>
  <dcterms:modified xsi:type="dcterms:W3CDTF">2018-08-23T06:55:00Z</dcterms:modified>
</cp:coreProperties>
</file>