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WEEK 1 - 2015-11-03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1 - Series Motivation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Believe in your work even if getting criticism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the right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DATA: Next frontier for Innovation, competition and productivity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R-programming (Free, data acces, cleaning, analysis, reporting)</w:t>
        <w:br w:type="textWrapping"/>
        <w:t xml:space="preserve">Best development enviroments www.rstudio.com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4125"/>
          <w:rtl w:val="0"/>
        </w:rPr>
        <w:t xml:space="preserve">Hacking skills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c47d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ff00"/>
          <w:rtl w:val="0"/>
        </w:rPr>
        <w:t xml:space="preserve">Math and Statistics Knowledge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dd7e6b"/>
          <w:sz w:val="20"/>
          <w:szCs w:val="20"/>
          <w:rtl w:val="0"/>
        </w:rPr>
        <w:t xml:space="preserve">Danger Zone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ffffff"/>
          <w:sz w:val="20"/>
          <w:szCs w:val="20"/>
          <w:shd w:fill="274e13" w:val="clear"/>
          <w:rtl w:val="0"/>
        </w:rPr>
        <w:t xml:space="preserve">Data Science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93c47d"/>
          <w:sz w:val="20"/>
          <w:szCs w:val="20"/>
          <w:rtl w:val="0"/>
        </w:rPr>
        <w:t xml:space="preserve">Traditional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45818e"/>
          <w:rtl w:val="0"/>
        </w:rPr>
        <w:t xml:space="preserve">Substantive Expertise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