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i w:val="0"/>
          <w:color w:val="1F4E78"/>
          <w:sz w:val="46"/>
        </w:rPr>
        <w:t>BÁO CÁO NGẮN</w:t>
      </w:r>
    </w:p>
    <w:p>
      <w:pPr>
        <w:spacing w:after="280"/>
      </w:pPr>
      <w:r>
        <w:rPr>
          <w:rFonts w:ascii="Calibri" w:hAnsi="Calibri"/>
          <w:b/>
          <w:i w:val="0"/>
          <w:color w:val="5B6573"/>
          <w:sz w:val="28"/>
        </w:rPr>
        <w:t>Đối chiếu bộ dữ liệu EBI–NGTK Panel 2017–2024</w:t>
      </w:r>
    </w:p>
    <w:p>
      <w:pPr>
        <w:spacing w:after="40"/>
      </w:pPr>
      <w:r>
        <w:rPr>
          <w:rFonts w:ascii="Calibri" w:hAnsi="Calibri"/>
          <w:b/>
          <w:i w:val="0"/>
          <w:color w:val="1F2937"/>
          <w:sz w:val="22"/>
        </w:rPr>
        <w:t xml:space="preserve">Mục đích: </w:t>
      </w:r>
      <w:r>
        <w:rPr>
          <w:rFonts w:ascii="Calibri" w:hAnsi="Calibri"/>
          <w:b w:val="0"/>
          <w:i w:val="0"/>
          <w:color w:val="1F2937"/>
          <w:sz w:val="22"/>
        </w:rPr>
        <w:t>Chuẩn bị trao đổi với giảng viên hướng dẫn</w:t>
      </w:r>
    </w:p>
    <w:p>
      <w:pPr>
        <w:spacing w:after="40"/>
      </w:pPr>
      <w:r>
        <w:rPr>
          <w:rFonts w:ascii="Calibri" w:hAnsi="Calibri"/>
          <w:b/>
          <w:i w:val="0"/>
          <w:color w:val="1F2937"/>
          <w:sz w:val="22"/>
        </w:rPr>
        <w:t xml:space="preserve">File được kiểm tra: </w:t>
      </w:r>
      <w:r>
        <w:rPr>
          <w:rFonts w:ascii="Calibri" w:hAnsi="Calibri"/>
          <w:b w:val="0"/>
          <w:i w:val="0"/>
          <w:color w:val="1F2937"/>
          <w:sz w:val="22"/>
        </w:rPr>
        <w:t>EBI_NGTK_Panel_2017_2024.xlsx</w:t>
      </w:r>
    </w:p>
    <w:p>
      <w:pPr>
        <w:spacing w:after="40"/>
      </w:pPr>
      <w:r>
        <w:rPr>
          <w:rFonts w:ascii="Calibri" w:hAnsi="Calibri"/>
          <w:b/>
          <w:i w:val="0"/>
          <w:color w:val="1F2937"/>
          <w:sz w:val="22"/>
        </w:rPr>
        <w:t xml:space="preserve">Bản đã chỉnh sửa: </w:t>
      </w:r>
      <w:r>
        <w:rPr>
          <w:rFonts w:ascii="Calibri" w:hAnsi="Calibri"/>
          <w:b w:val="0"/>
          <w:i w:val="0"/>
          <w:color w:val="1F2937"/>
          <w:sz w:val="22"/>
        </w:rPr>
        <w:t>EBI_NGTK_Panel_2017_2024_edited.xlsx</w:t>
      </w:r>
    </w:p>
    <w:p>
      <w:pPr>
        <w:spacing w:after="40"/>
      </w:pPr>
      <w:r>
        <w:rPr>
          <w:rFonts w:ascii="Calibri" w:hAnsi="Calibri"/>
          <w:b/>
          <w:i w:val="0"/>
          <w:color w:val="1F2937"/>
          <w:sz w:val="22"/>
        </w:rPr>
        <w:t xml:space="preserve">Ngày báo cáo: </w:t>
      </w:r>
      <w:r>
        <w:rPr>
          <w:rFonts w:ascii="Calibri" w:hAnsi="Calibri"/>
          <w:b w:val="0"/>
          <w:i w:val="0"/>
          <w:color w:val="1F2937"/>
          <w:sz w:val="22"/>
        </w:rPr>
        <w:t>16/08/2026</w:t>
      </w:r>
    </w:p>
    <w:p>
      <w:pPr>
        <w:spacing w:after="40"/>
      </w:pPr>
    </w:p>
    <w:tbl>
      <w:tblPr>
        <w:tblW w:type="dxa" w:w="9360"/>
        <w:jc w:val="left"/>
        <w:tblLayout w:type="fixed"/>
        <w:tblLook w:firstColumn="1" w:firstRow="1" w:lastColumn="0" w:lastRow="0" w:noHBand="0" w:noVBand="1" w:val="04A0"/>
        <w:tblInd w:w="120" w:type="dxa"/>
        <w:tblBorders>
          <w:top w:val="single" w:sz="8" w:space="0" w:color="AFC6DC"/>
          <w:left w:val="single" w:sz="8" w:space="0" w:color="AFC6DC"/>
          <w:bottom w:val="single" w:sz="8" w:space="0" w:color="AFC6DC"/>
          <w:right w:val="single" w:sz="8" w:space="0" w:color="AFC6DC"/>
          <w:insideH w:val="single" w:sz="8" w:space="0" w:color="AFC6DC"/>
          <w:insideV w:val="single" w:sz="8" w:space="0" w:color="AFC6DC"/>
        </w:tblBorders>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i w:val="0"/>
                <w:color w:val="1F4E78"/>
                <w:sz w:val="22"/>
              </w:rPr>
              <w:t xml:space="preserve">KẾT LUẬN NHANH: </w:t>
            </w:r>
            <w:r>
              <w:rPr>
                <w:rFonts w:ascii="Calibri" w:hAnsi="Calibri"/>
                <w:b w:val="0"/>
                <w:i w:val="0"/>
                <w:color w:val="1F4E78"/>
                <w:sz w:val="22"/>
              </w:rPr>
              <w:t>Phần số liệu Niên giám, cấu trúc tỉnh–năm và phân vùng nhìn chung đúng. File gốc chưa nên dùng nguyên trạng vì có lỗi gắn năm thu nhập, mật độ dân số 2017–2018 không đồng nhất và phần EBI chưa có nguồn gốc để xác minh. Bản edited đã xử lý các vấn đề thuộc dữ liệu NGTK; các giá trị EBI được giữ nguyên và gắn cảnh báo.</w:t>
            </w:r>
          </w:p>
        </w:tc>
      </w:tr>
    </w:tbl>
    <w:p>
      <w:pPr>
        <w:pStyle w:val="Heading1"/>
        <w:keepNext/>
      </w:pPr>
      <w:r>
        <w:t>1. Những nội dung trong file của thầy đã đúng</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60"/>
        <w:gridCol w:w="1440"/>
        <w:gridCol w:w="5760"/>
      </w:tblGrid>
      <w:tr>
        <w:trPr>
          <w:tblHeader w:val="true"/>
        </w:trPr>
        <w:tc>
          <w:tcPr>
            <w:tcW w:type="dxa" w:w="2160"/>
            <w:tcMar>
              <w:top w:w="80" w:type="dxa"/>
              <w:start w:w="120" w:type="dxa"/>
              <w:bottom w:w="80" w:type="dxa"/>
              <w:end w:w="120" w:type="dxa"/>
            </w:tcMar>
            <w:vAlign w:val="center"/>
            <w:shd w:fill="F2F4F7"/>
          </w:tcPr>
          <w:p>
            <w:pPr>
              <w:jc w:val="center"/>
            </w:pPr>
            <w:r>
              <w:rPr>
                <w:rFonts w:ascii="Calibri" w:hAnsi="Calibri"/>
                <w:b/>
                <w:i w:val="0"/>
                <w:color w:val="1F4E78"/>
                <w:sz w:val="20"/>
              </w:rPr>
              <w:t>Hạng mục</w:t>
            </w:r>
          </w:p>
        </w:tc>
        <w:tc>
          <w:tcPr>
            <w:tcW w:type="dxa" w:w="1440"/>
            <w:tcMar>
              <w:top w:w="80" w:type="dxa"/>
              <w:start w:w="120" w:type="dxa"/>
              <w:bottom w:w="80" w:type="dxa"/>
              <w:end w:w="120" w:type="dxa"/>
            </w:tcMar>
            <w:vAlign w:val="center"/>
            <w:shd w:fill="F2F4F7"/>
          </w:tcPr>
          <w:p>
            <w:pPr>
              <w:jc w:val="center"/>
            </w:pPr>
            <w:r>
              <w:rPr>
                <w:rFonts w:ascii="Calibri" w:hAnsi="Calibri"/>
                <w:b/>
                <w:i w:val="0"/>
                <w:color w:val="1F4E78"/>
                <w:sz w:val="20"/>
              </w:rPr>
              <w:t>Đánh giá</w:t>
            </w:r>
          </w:p>
        </w:tc>
        <w:tc>
          <w:tcPr>
            <w:tcW w:type="dxa" w:w="5760"/>
            <w:tcMar>
              <w:top w:w="80" w:type="dxa"/>
              <w:start w:w="120" w:type="dxa"/>
              <w:bottom w:w="80" w:type="dxa"/>
              <w:end w:w="120" w:type="dxa"/>
            </w:tcMar>
            <w:vAlign w:val="center"/>
            <w:shd w:fill="F2F4F7"/>
          </w:tcPr>
          <w:p>
            <w:pPr>
              <w:jc w:val="center"/>
            </w:pPr>
            <w:r>
              <w:rPr>
                <w:rFonts w:ascii="Calibri" w:hAnsi="Calibri"/>
                <w:b/>
                <w:i w:val="0"/>
                <w:color w:val="1F4E78"/>
                <w:sz w:val="20"/>
              </w:rPr>
              <w:t>Kết quả kiểm tra</w:t>
            </w:r>
          </w:p>
        </w:tc>
      </w:tr>
      <w:tr>
        <w:tc>
          <w:tcPr>
            <w:tcW w:type="dxa" w:w="2160"/>
          </w:tcPr>
          <w:p>
            <w:pPr>
              <w:jc w:val="left"/>
            </w:pPr>
            <w:r>
              <w:rPr>
                <w:rFonts w:ascii="Calibri" w:hAnsi="Calibri"/>
                <w:b w:val="0"/>
                <w:i w:val="0"/>
                <w:color w:val="1F2937"/>
                <w:sz w:val="19"/>
              </w:rPr>
              <w:t>Cấu trúc panel</w:t>
            </w:r>
          </w:p>
        </w:tc>
        <w:tc>
          <w:tcPr>
            <w:tcW w:type="dxa" w:w="1440"/>
          </w:tcPr>
          <w:p>
            <w:pPr>
              <w:jc w:val="center"/>
            </w:pPr>
            <w:r>
              <w:rPr>
                <w:rFonts w:ascii="Calibri" w:hAnsi="Calibri"/>
                <w:b/>
                <w:i w:val="0"/>
                <w:color w:val="1F4E78"/>
                <w:sz w:val="19"/>
              </w:rPr>
              <w:t>Đúng</w:t>
            </w:r>
          </w:p>
        </w:tc>
        <w:tc>
          <w:tcPr>
            <w:tcW w:type="dxa" w:w="5760"/>
          </w:tcPr>
          <w:p>
            <w:pPr>
              <w:jc w:val="left"/>
            </w:pPr>
            <w:r>
              <w:rPr>
                <w:rFonts w:ascii="Calibri" w:hAnsi="Calibri"/>
                <w:b w:val="0"/>
                <w:i w:val="0"/>
                <w:color w:val="1F2937"/>
                <w:sz w:val="19"/>
              </w:rPr>
              <w:t>504 dòng = 63 tỉnh × 8 năm; không trùng và không thiếu khóa tỉnh–năm.</w:t>
            </w:r>
          </w:p>
        </w:tc>
      </w:tr>
      <w:tr>
        <w:tc>
          <w:tcPr>
            <w:tcW w:type="dxa" w:w="2160"/>
          </w:tcPr>
          <w:p>
            <w:pPr>
              <w:jc w:val="left"/>
            </w:pPr>
            <w:r>
              <w:rPr>
                <w:rFonts w:ascii="Calibri" w:hAnsi="Calibri"/>
                <w:b w:val="0"/>
                <w:i w:val="0"/>
                <w:color w:val="1F2937"/>
                <w:sz w:val="19"/>
              </w:rPr>
              <w:t>Phân vùng</w:t>
            </w:r>
          </w:p>
        </w:tc>
        <w:tc>
          <w:tcPr>
            <w:tcW w:type="dxa" w:w="1440"/>
          </w:tcPr>
          <w:p>
            <w:pPr>
              <w:jc w:val="center"/>
            </w:pPr>
            <w:r>
              <w:rPr>
                <w:rFonts w:ascii="Calibri" w:hAnsi="Calibri"/>
                <w:b/>
                <w:i w:val="0"/>
                <w:color w:val="1F4E78"/>
                <w:sz w:val="19"/>
              </w:rPr>
              <w:t>Đúng</w:t>
            </w:r>
          </w:p>
        </w:tc>
        <w:tc>
          <w:tcPr>
            <w:tcW w:type="dxa" w:w="5760"/>
          </w:tcPr>
          <w:p>
            <w:pPr>
              <w:jc w:val="left"/>
            </w:pPr>
            <w:r>
              <w:rPr>
                <w:rFonts w:ascii="Calibri" w:hAnsi="Calibri"/>
                <w:b w:val="0"/>
                <w:i w:val="0"/>
                <w:color w:val="1F2937"/>
                <w:sz w:val="19"/>
              </w:rPr>
              <w:t>Toàn bộ 504 dòng được gán đúng 6 vùng kinh tế–xã hội; 7 nhãn vùng EBI ánh xạ đúng.</w:t>
            </w:r>
          </w:p>
        </w:tc>
      </w:tr>
      <w:tr>
        <w:tc>
          <w:tcPr>
            <w:tcW w:type="dxa" w:w="2160"/>
          </w:tcPr>
          <w:p>
            <w:pPr>
              <w:jc w:val="left"/>
            </w:pPr>
            <w:r>
              <w:rPr>
                <w:rFonts w:ascii="Calibri" w:hAnsi="Calibri"/>
                <w:b w:val="0"/>
                <w:i w:val="0"/>
                <w:color w:val="1F2937"/>
                <w:sz w:val="19"/>
              </w:rPr>
              <w:t>Biến NGTK gốc</w:t>
            </w:r>
          </w:p>
        </w:tc>
        <w:tc>
          <w:tcPr>
            <w:tcW w:type="dxa" w:w="1440"/>
          </w:tcPr>
          <w:p>
            <w:pPr>
              <w:jc w:val="center"/>
            </w:pPr>
            <w:r>
              <w:rPr>
                <w:rFonts w:ascii="Calibri" w:hAnsi="Calibri"/>
                <w:b/>
                <w:i w:val="0"/>
                <w:color w:val="1F4E78"/>
                <w:sz w:val="19"/>
              </w:rPr>
              <w:t>Đúng</w:t>
            </w:r>
          </w:p>
        </w:tc>
        <w:tc>
          <w:tcPr>
            <w:tcW w:type="dxa" w:w="5760"/>
          </w:tcPr>
          <w:p>
            <w:pPr>
              <w:jc w:val="left"/>
            </w:pPr>
            <w:r>
              <w:rPr>
                <w:rFonts w:ascii="Calibri" w:hAnsi="Calibri"/>
                <w:b w:val="0"/>
                <w:i w:val="0"/>
                <w:color w:val="1F2937"/>
                <w:sz w:val="19"/>
              </w:rPr>
              <w:t>7.308/7.308 giá trị có dữ liệu khớp chính xác với CSV tổng hợp.</w:t>
            </w:r>
          </w:p>
        </w:tc>
      </w:tr>
      <w:tr>
        <w:tc>
          <w:tcPr>
            <w:tcW w:type="dxa" w:w="2160"/>
          </w:tcPr>
          <w:p>
            <w:pPr>
              <w:jc w:val="left"/>
            </w:pPr>
            <w:r>
              <w:rPr>
                <w:rFonts w:ascii="Calibri" w:hAnsi="Calibri"/>
                <w:b w:val="0"/>
                <w:i w:val="0"/>
                <w:color w:val="1F2937"/>
                <w:sz w:val="19"/>
              </w:rPr>
              <w:t>Biến dẫn xuất</w:t>
            </w:r>
          </w:p>
        </w:tc>
        <w:tc>
          <w:tcPr>
            <w:tcW w:type="dxa" w:w="1440"/>
          </w:tcPr>
          <w:p>
            <w:pPr>
              <w:jc w:val="center"/>
            </w:pPr>
            <w:r>
              <w:rPr>
                <w:rFonts w:ascii="Calibri" w:hAnsi="Calibri"/>
                <w:b/>
                <w:i w:val="0"/>
                <w:color w:val="1F4E78"/>
                <w:sz w:val="19"/>
              </w:rPr>
              <w:t>Đúng</w:t>
            </w:r>
          </w:p>
        </w:tc>
        <w:tc>
          <w:tcPr>
            <w:tcW w:type="dxa" w:w="5760"/>
          </w:tcPr>
          <w:p>
            <w:pPr>
              <w:jc w:val="left"/>
            </w:pPr>
            <w:r>
              <w:rPr>
                <w:rFonts w:ascii="Calibri" w:hAnsi="Calibri"/>
                <w:b w:val="0"/>
                <w:i w:val="0"/>
                <w:color w:val="1F2937"/>
                <w:sz w:val="19"/>
              </w:rPr>
              <w:t>2.016/2.016 phép tính khớp: đô thị hóa, DN/1.000 dân, bán lẻ/người và FDI/người.</w:t>
            </w:r>
          </w:p>
        </w:tc>
      </w:tr>
      <w:tr>
        <w:tc>
          <w:tcPr>
            <w:tcW w:type="dxa" w:w="2160"/>
          </w:tcPr>
          <w:p>
            <w:pPr>
              <w:jc w:val="left"/>
            </w:pPr>
            <w:r>
              <w:rPr>
                <w:rFonts w:ascii="Calibri" w:hAnsi="Calibri"/>
                <w:b w:val="0"/>
                <w:i w:val="0"/>
                <w:color w:val="1F2937"/>
                <w:sz w:val="19"/>
              </w:rPr>
              <w:t>Chỉ tiêu số 2024</w:t>
            </w:r>
          </w:p>
        </w:tc>
        <w:tc>
          <w:tcPr>
            <w:tcW w:type="dxa" w:w="1440"/>
          </w:tcPr>
          <w:p>
            <w:pPr>
              <w:jc w:val="center"/>
            </w:pPr>
            <w:r>
              <w:rPr>
                <w:rFonts w:ascii="Calibri" w:hAnsi="Calibri"/>
                <w:b/>
                <w:i w:val="0"/>
                <w:color w:val="1F4E78"/>
                <w:sz w:val="19"/>
              </w:rPr>
              <w:t>Đúng số</w:t>
            </w:r>
          </w:p>
        </w:tc>
        <w:tc>
          <w:tcPr>
            <w:tcW w:type="dxa" w:w="5760"/>
          </w:tcPr>
          <w:p>
            <w:pPr>
              <w:jc w:val="left"/>
            </w:pPr>
            <w:r>
              <w:rPr>
                <w:rFonts w:ascii="Calibri" w:hAnsi="Calibri"/>
                <w:b w:val="0"/>
                <w:i w:val="0"/>
                <w:color w:val="1F2937"/>
                <w:sz w:val="19"/>
              </w:rPr>
              <w:t>315/315 giá trị khớp nguồn; tuy nhiên đây là số liệu sơ bộ.</w:t>
            </w:r>
          </w:p>
        </w:tc>
      </w:tr>
      <w:tr>
        <w:tc>
          <w:tcPr>
            <w:tcW w:type="dxa" w:w="2160"/>
          </w:tcPr>
          <w:p>
            <w:pPr>
              <w:jc w:val="left"/>
            </w:pPr>
            <w:r>
              <w:rPr>
                <w:rFonts w:ascii="Calibri" w:hAnsi="Calibri"/>
                <w:b w:val="0"/>
                <w:i w:val="0"/>
                <w:color w:val="1F2937"/>
                <w:sz w:val="19"/>
              </w:rPr>
              <w:t>Coverage</w:t>
            </w:r>
          </w:p>
        </w:tc>
        <w:tc>
          <w:tcPr>
            <w:tcW w:type="dxa" w:w="1440"/>
          </w:tcPr>
          <w:p>
            <w:pPr>
              <w:jc w:val="center"/>
            </w:pPr>
            <w:r>
              <w:rPr>
                <w:rFonts w:ascii="Calibri" w:hAnsi="Calibri"/>
                <w:b/>
                <w:i w:val="0"/>
                <w:color w:val="1F4E78"/>
                <w:sz w:val="19"/>
              </w:rPr>
              <w:t>Đúng</w:t>
            </w:r>
          </w:p>
        </w:tc>
        <w:tc>
          <w:tcPr>
            <w:tcW w:type="dxa" w:w="5760"/>
          </w:tcPr>
          <w:p>
            <w:pPr>
              <w:jc w:val="left"/>
            </w:pPr>
            <w:r>
              <w:rPr>
                <w:rFonts w:ascii="Calibri" w:hAnsi="Calibri"/>
                <w:b w:val="0"/>
                <w:i w:val="0"/>
                <w:color w:val="1F2937"/>
                <w:sz w:val="19"/>
              </w:rPr>
              <w:t>Số ô có dữ liệu theo từng biến và từng năm được thống kê chính xác.</w:t>
            </w:r>
          </w:p>
        </w:tc>
      </w:tr>
    </w:tbl>
    <w:p>
      <w:pPr>
        <w:spacing w:before="100" w:after="40"/>
      </w:pPr>
      <w:r>
        <w:rPr>
          <w:rFonts w:ascii="Calibri" w:hAnsi="Calibri"/>
          <w:b/>
          <w:i w:val="0"/>
          <w:color w:val="5B6573"/>
          <w:sz w:val="19"/>
        </w:rPr>
        <w:t xml:space="preserve">Lưu ý: </w:t>
      </w:r>
      <w:r>
        <w:rPr>
          <w:rFonts w:ascii="Calibri" w:hAnsi="Calibri"/>
          <w:b w:val="0"/>
          <w:i/>
          <w:color w:val="5B6573"/>
          <w:sz w:val="19"/>
        </w:rPr>
        <w:t>Các ô thiếu của GRDP, tỷ lệ hộ có máy tính, HDI và EBI phù hợp với phạm vi công bố/khảo sát; không phải lỗi chép dữ liệu.</w:t>
      </w:r>
    </w:p>
    <w:p>
      <w:pPr>
        <w:pStyle w:val="Heading1"/>
        <w:keepNext/>
      </w:pPr>
      <w:r>
        <w:t>2. Những điểm chưa ổn trong file gốc</w:t>
      </w:r>
    </w:p>
    <w:p>
      <w:pPr>
        <w:pStyle w:val="ListBullet"/>
        <w:spacing w:after="100" w:line="264" w:lineRule="auto"/>
        <w:ind w:left="720" w:hanging="360"/>
      </w:pPr>
      <w:r>
        <w:rPr>
          <w:rFonts w:ascii="Calibri" w:hAnsi="Calibri"/>
          <w:b/>
          <w:i w:val="0"/>
          <w:color w:val="1F2937"/>
          <w:sz w:val="22"/>
        </w:rPr>
        <w:t>Thu nhập năm 2017 — phải xử lý:</w:t>
      </w:r>
      <w:r>
        <w:rPr>
          <w:rFonts w:ascii="Calibri" w:hAnsi="Calibri"/>
          <w:b w:val="0"/>
          <w:i w:val="0"/>
          <w:color w:val="1F2937"/>
          <w:sz w:val="22"/>
        </w:rPr>
        <w:t xml:space="preserve"> 63 giá trị income_month_th gắn năm 2017 thực chất lấy từ bảng năm 2016. Không được coi đây là thu nhập năm 2017.</w:t>
      </w:r>
    </w:p>
    <w:p>
      <w:pPr>
        <w:pStyle w:val="ListBullet"/>
        <w:spacing w:after="100" w:line="264" w:lineRule="auto"/>
        <w:ind w:left="720" w:hanging="360"/>
      </w:pPr>
      <w:r>
        <w:rPr>
          <w:rFonts w:ascii="Calibri" w:hAnsi="Calibri"/>
          <w:b/>
          <w:i w:val="0"/>
          <w:color w:val="1F2937"/>
          <w:sz w:val="22"/>
        </w:rPr>
        <w:t>Mật độ dân số 2017–2018 — phải xử lý:</w:t>
      </w:r>
      <w:r>
        <w:rPr>
          <w:rFonts w:ascii="Calibri" w:hAnsi="Calibri"/>
          <w:b w:val="0"/>
          <w:i w:val="0"/>
          <w:color w:val="1F2937"/>
          <w:sz w:val="22"/>
        </w:rPr>
        <w:t xml:space="preserve"> density khớp bảng công bố cũ, nhưng pop_th lại là chuỗi dân số đã điều chỉnh. Có 92/126 dòng lệch trên 1 người/km²; 15 dòng lệch trên 5%, tối đa khoảng 11,83%.</w:t>
      </w:r>
    </w:p>
    <w:p>
      <w:pPr>
        <w:pStyle w:val="ListBullet"/>
        <w:spacing w:after="100" w:line="264" w:lineRule="auto"/>
        <w:ind w:left="720" w:hanging="360"/>
      </w:pPr>
      <w:r>
        <w:rPr>
          <w:rFonts w:ascii="Calibri" w:hAnsi="Calibri"/>
          <w:b/>
          <w:i w:val="0"/>
          <w:color w:val="1F2937"/>
          <w:sz w:val="22"/>
        </w:rPr>
        <w:t>Dữ liệu EBI — cần xác minh trước khi hồi quy:</w:t>
      </w:r>
      <w:r>
        <w:rPr>
          <w:rFonts w:ascii="Calibri" w:hAnsi="Calibri"/>
          <w:b w:val="0"/>
          <w:i w:val="0"/>
          <w:color w:val="1F2937"/>
          <w:sz w:val="22"/>
        </w:rPr>
        <w:t xml:space="preserve"> Không có file VECOM gốc trong thư mục nên chưa thể kiểm chứng EBI, NNL_HT, B2C, B2B và G2B. Điểm EBI trung bình giảm mạnh từ khoảng 41,62 năm 2020 xuống 8,54 năm 2021, có dấu hiệu thay đổi thang điểm/phương pháp.</w:t>
      </w:r>
    </w:p>
    <w:p>
      <w:pPr>
        <w:pStyle w:val="ListBullet"/>
        <w:spacing w:after="100" w:line="264" w:lineRule="auto"/>
        <w:ind w:left="720" w:hanging="360"/>
      </w:pPr>
      <w:r>
        <w:rPr>
          <w:rFonts w:ascii="Calibri" w:hAnsi="Calibri"/>
          <w:b/>
          <w:i w:val="0"/>
          <w:color w:val="1F2937"/>
          <w:sz w:val="22"/>
        </w:rPr>
        <w:t>Tên tỉnh — chỉnh kỹ thuật:</w:t>
      </w:r>
      <w:r>
        <w:rPr>
          <w:rFonts w:ascii="Calibri" w:hAnsi="Calibri"/>
          <w:b w:val="0"/>
          <w:i w:val="0"/>
          <w:color w:val="1F2937"/>
          <w:sz w:val="22"/>
        </w:rPr>
        <w:t xml:space="preserve"> File dùng “Thừa Thiên Huế”, chưa theo chuẩn “Thừa Thiên - Huế”.</w:t>
      </w:r>
    </w:p>
    <w:p>
      <w:pPr>
        <w:pStyle w:val="ListBullet"/>
        <w:spacing w:after="100" w:line="264" w:lineRule="auto"/>
        <w:ind w:left="720" w:hanging="360"/>
      </w:pPr>
      <w:r>
        <w:rPr>
          <w:rFonts w:ascii="Calibri" w:hAnsi="Calibri"/>
          <w:b/>
          <w:i w:val="0"/>
          <w:color w:val="1F2937"/>
          <w:sz w:val="22"/>
        </w:rPr>
        <w:t>Codebook — lỗi hiển thị:</w:t>
      </w:r>
      <w:r>
        <w:rPr>
          <w:rFonts w:ascii="Calibri" w:hAnsi="Calibri"/>
          <w:b w:val="0"/>
          <w:i w:val="0"/>
          <w:color w:val="1F2937"/>
          <w:sz w:val="22"/>
        </w:rPr>
        <w:t xml:space="preserve"> Các ô E16, E22, E26, E32 được nhập như công thức Excel nên xuất hiện lỗi; dữ liệu panel không bị ảnh hưởng.</w:t>
      </w:r>
    </w:p>
    <w:p>
      <w:pPr>
        <w:pStyle w:val="ListBullet"/>
        <w:spacing w:after="100" w:line="264" w:lineRule="auto"/>
        <w:ind w:left="720" w:hanging="360"/>
      </w:pPr>
      <w:r>
        <w:rPr>
          <w:rFonts w:ascii="Calibri" w:hAnsi="Calibri"/>
          <w:b/>
          <w:i w:val="0"/>
          <w:color w:val="1F2937"/>
          <w:sz w:val="22"/>
        </w:rPr>
        <w:t>Chỉ tiêu số hóa 2024 — cần ghi chú:</w:t>
      </w:r>
      <w:r>
        <w:rPr>
          <w:rFonts w:ascii="Calibri" w:hAnsi="Calibri"/>
          <w:b w:val="0"/>
          <w:i w:val="0"/>
          <w:color w:val="1F2937"/>
          <w:sz w:val="22"/>
        </w:rPr>
        <w:t xml:space="preserve"> Năm chỉ tiêu trong Digital_2024_cross là số liệu sơ bộ (Prel.), nhưng file gốc chưa thể hiện rõ.</w:t>
      </w:r>
    </w:p>
    <w:p>
      <w:pPr>
        <w:pStyle w:val="Heading1"/>
        <w:keepNext/>
      </w:pPr>
      <w:r>
        <w:t>3. Bản edited đã sửa cụ thể những gì</w:t>
      </w:r>
    </w:p>
    <w:p>
      <w:pPr>
        <w:pStyle w:val="ListBullet"/>
        <w:spacing w:after="100" w:line="264" w:lineRule="auto"/>
        <w:ind w:left="720" w:hanging="360"/>
      </w:pPr>
      <w:r>
        <w:rPr>
          <w:rFonts w:ascii="Calibri" w:hAnsi="Calibri"/>
          <w:b w:val="0"/>
          <w:i w:val="0"/>
          <w:color w:val="1F2937"/>
          <w:sz w:val="22"/>
        </w:rPr>
        <w:t>Để trống 63 ô income_month_th của năm 2017 và cập nhật Coverage từ 63 xuống 0; không đổi năm của cả dòng vì các biến còn lại vẫn là dữ liệu 2017.</w:t>
      </w:r>
    </w:p>
    <w:p>
      <w:pPr>
        <w:pStyle w:val="ListBullet"/>
        <w:spacing w:after="100" w:line="264" w:lineRule="auto"/>
        <w:ind w:left="720" w:hanging="360"/>
      </w:pPr>
      <w:r>
        <w:rPr>
          <w:rFonts w:ascii="Calibri" w:hAnsi="Calibri"/>
          <w:b w:val="0"/>
          <w:i w:val="0"/>
          <w:color w:val="1F2937"/>
          <w:sz w:val="22"/>
        </w:rPr>
        <w:t>Tính lại 126 ô density của năm 2017–2018 bằng công thức ROUND(pop_th × 1000 / area_km2, 0).</w:t>
      </w:r>
    </w:p>
    <w:p>
      <w:pPr>
        <w:pStyle w:val="ListBullet"/>
        <w:spacing w:after="100" w:line="264" w:lineRule="auto"/>
        <w:ind w:left="720" w:hanging="360"/>
      </w:pPr>
      <w:r>
        <w:rPr>
          <w:rFonts w:ascii="Calibri" w:hAnsi="Calibri"/>
          <w:b w:val="0"/>
          <w:i w:val="0"/>
          <w:color w:val="1F2937"/>
          <w:sz w:val="22"/>
        </w:rPr>
        <w:t>Chuẩn hóa 8 dòng trong Panel và 1 dòng trong Digital_2024_cross thành “Thừa Thiên - Huế”.</w:t>
      </w:r>
    </w:p>
    <w:p>
      <w:pPr>
        <w:pStyle w:val="ListBullet"/>
        <w:spacing w:after="100" w:line="264" w:lineRule="auto"/>
        <w:ind w:left="720" w:hanging="360"/>
      </w:pPr>
      <w:r>
        <w:rPr>
          <w:rFonts w:ascii="Calibri" w:hAnsi="Calibri"/>
          <w:b w:val="0"/>
          <w:i w:val="0"/>
          <w:color w:val="1F2937"/>
          <w:sz w:val="22"/>
        </w:rPr>
        <w:t>Chuyển bốn công thức mô tả bị lỗi trong Codebook thành văn bản; sửa ghi chú về năm thu nhập và nguồn mật độ.</w:t>
      </w:r>
    </w:p>
    <w:p>
      <w:pPr>
        <w:pStyle w:val="ListBullet"/>
        <w:spacing w:after="100" w:line="264" w:lineRule="auto"/>
        <w:ind w:left="720" w:hanging="360"/>
      </w:pPr>
      <w:r>
        <w:rPr>
          <w:rFonts w:ascii="Calibri" w:hAnsi="Calibri"/>
          <w:b w:val="0"/>
          <w:i w:val="0"/>
          <w:color w:val="1F2937"/>
          <w:sz w:val="22"/>
        </w:rPr>
        <w:t>Thêm ghi chú rõ rằng năm chỉ tiêu số hóa 2024 là số liệu sơ bộ.</w:t>
      </w:r>
    </w:p>
    <w:p>
      <w:pPr>
        <w:pStyle w:val="ListBullet"/>
        <w:spacing w:after="100" w:line="264" w:lineRule="auto"/>
        <w:ind w:left="720" w:hanging="360"/>
      </w:pPr>
      <w:r>
        <w:rPr>
          <w:rFonts w:ascii="Calibri" w:hAnsi="Calibri"/>
          <w:b w:val="0"/>
          <w:i w:val="0"/>
          <w:color w:val="1F2937"/>
          <w:sz w:val="22"/>
        </w:rPr>
        <w:t>Thêm sheet Edit_Log để ghi rõ phạm vi, số ô và lý do của từng chỉnh sửa.</w:t>
      </w:r>
    </w:p>
    <w:p>
      <w:pPr>
        <w:pStyle w:val="ListBullet"/>
        <w:spacing w:after="100" w:line="264" w:lineRule="auto"/>
        <w:ind w:left="720" w:hanging="360"/>
      </w:pPr>
      <w:r>
        <w:rPr>
          <w:rFonts w:ascii="Calibri" w:hAnsi="Calibri"/>
          <w:b w:val="0"/>
          <w:i w:val="0"/>
          <w:color w:val="1F2937"/>
          <w:sz w:val="22"/>
        </w:rPr>
        <w:t>Không sửa các biến EBI; chỉ thêm cảnh báo rằng cần đối chiếu file VECOM gốc và kiểm tra đứt gãy phương pháp 2020–2021.</w:t>
      </w:r>
    </w:p>
    <w:tbl>
      <w:tblPr>
        <w:tblW w:type="dxa" w:w="9360"/>
        <w:jc w:val="left"/>
        <w:tblLayout w:type="fixed"/>
        <w:tblLook w:firstColumn="1" w:firstRow="1" w:lastColumn="0" w:lastRow="0" w:noHBand="0" w:noVBand="1" w:val="04A0"/>
        <w:tblInd w:w="120" w:type="dxa"/>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9360"/>
      </w:tblGrid>
      <w:tr>
        <w:tc>
          <w:tcPr>
            <w:tcW w:type="dxa" w:w="9360"/>
            <w:tcMar>
              <w:top w:w="80" w:type="dxa"/>
              <w:start w:w="120" w:type="dxa"/>
              <w:bottom w:w="80" w:type="dxa"/>
              <w:end w:w="120" w:type="dxa"/>
            </w:tcMar>
            <w:vAlign w:val="center"/>
            <w:shd w:fill="FFF2CC"/>
          </w:tcPr>
          <w:p>
            <w:pPr>
              <w:spacing w:after="0"/>
            </w:pPr>
            <w:r>
              <w:rPr>
                <w:rFonts w:ascii="Calibri" w:hAnsi="Calibri"/>
                <w:b/>
                <w:i w:val="0"/>
                <w:color w:val="7A5A00"/>
                <w:sz w:val="22"/>
              </w:rPr>
              <w:t xml:space="preserve">KHUYẾN NGHỊ SỬ DỤNG: </w:t>
            </w:r>
            <w:r>
              <w:rPr>
                <w:rFonts w:ascii="Calibri" w:hAnsi="Calibri"/>
                <w:b w:val="0"/>
                <w:i w:val="0"/>
                <w:color w:val="7A5A00"/>
                <w:sz w:val="22"/>
              </w:rPr>
              <w:t>Có thể dùng bản edited cho phần biến NGTK. Chưa nên chạy mô hình chính thức với điểm EBI xuyên suốt 2017–2024 cho đến khi xác minh báo cáo VECOM và phương pháp chấm điểm.</w:t>
            </w:r>
          </w:p>
        </w:tc>
      </w:tr>
    </w:tbl>
    <w:p>
      <w:pPr>
        <w:pStyle w:val="Heading1"/>
        <w:keepNext/>
      </w:pPr>
      <w:r>
        <w:t>4. Nội dung cần chốt khi họp với thầy</w:t>
      </w:r>
    </w:p>
    <w:p>
      <w:pPr>
        <w:pStyle w:val="ListNumber"/>
        <w:spacing w:after="120" w:line="264" w:lineRule="auto"/>
        <w:ind w:left="720" w:hanging="360"/>
      </w:pPr>
      <w:r>
        <w:rPr>
          <w:rFonts w:ascii="Calibri" w:hAnsi="Calibri"/>
          <w:b w:val="0"/>
          <w:i w:val="0"/>
          <w:color w:val="1F2937"/>
          <w:sz w:val="22"/>
        </w:rPr>
        <w:t>Thu nhập 2017: để thiếu trong panel, hay sử dụng số năm 2016 như biến trễ và ghi rõ source_year=2016?</w:t>
      </w:r>
    </w:p>
    <w:p>
      <w:pPr>
        <w:pStyle w:val="ListNumber"/>
        <w:spacing w:after="120" w:line="264" w:lineRule="auto"/>
        <w:ind w:left="720" w:hanging="360"/>
      </w:pPr>
      <w:r>
        <w:rPr>
          <w:rFonts w:ascii="Calibri" w:hAnsi="Calibri"/>
          <w:b w:val="0"/>
          <w:i w:val="0"/>
          <w:color w:val="1F2937"/>
          <w:sz w:val="22"/>
        </w:rPr>
        <w:t>Nguồn EBI: thầy có thể cung cấp file/báo cáo VECOM gốc của từng năm để kiểm tra điểm và phạm vi khảo sát không?</w:t>
      </w:r>
    </w:p>
    <w:p>
      <w:pPr>
        <w:pStyle w:val="ListNumber"/>
        <w:spacing w:after="120" w:line="264" w:lineRule="auto"/>
        <w:ind w:left="720" w:hanging="360"/>
      </w:pPr>
      <w:r>
        <w:rPr>
          <w:rFonts w:ascii="Calibri" w:hAnsi="Calibri"/>
          <w:b w:val="0"/>
          <w:i w:val="0"/>
          <w:color w:val="1F2937"/>
          <w:sz w:val="22"/>
        </w:rPr>
        <w:t>Đứt gãy EBI 2020–2021: phương pháp hoặc thang điểm có thay đổi không? Nếu có, nên chuẩn hóa theo năm, dùng thứ hạng hay chia giai đoạn phân tích?</w:t>
      </w:r>
    </w:p>
    <w:p>
      <w:pPr>
        <w:pStyle w:val="ListNumber"/>
        <w:spacing w:after="120" w:line="264" w:lineRule="auto"/>
        <w:ind w:left="720" w:hanging="360"/>
      </w:pPr>
      <w:r>
        <w:rPr>
          <w:rFonts w:ascii="Calibri" w:hAnsi="Calibri"/>
          <w:b w:val="0"/>
          <w:i w:val="0"/>
          <w:color w:val="1F2937"/>
          <w:sz w:val="22"/>
        </w:rPr>
        <w:t>Mật độ dân số: thống nhất dùng mật độ tính lại từ pop_th và area_km2 để bảo đảm nội bộ panel nhất quán.</w:t>
      </w:r>
    </w:p>
    <w:p>
      <w:pPr>
        <w:spacing w:before="200" w:after="0"/>
      </w:pPr>
      <w:r>
        <w:rPr>
          <w:rFonts w:ascii="Calibri" w:hAnsi="Calibri"/>
          <w:b/>
          <w:i w:val="0"/>
          <w:color w:val="5B6573"/>
          <w:sz w:val="18"/>
        </w:rPr>
        <w:t xml:space="preserve">Tài liệu đối chiếu: </w:t>
      </w:r>
      <w:r>
        <w:rPr>
          <w:rFonts w:ascii="Calibri" w:hAnsi="Calibri"/>
          <w:b w:val="0"/>
          <w:i/>
          <w:color w:val="5B6573"/>
          <w:sz w:val="18"/>
        </w:rPr>
        <w:t>229 CSV trong data/csv/tonghop, file Excel gốc và file Excel edited. File Excel gốc được giữ nguyên.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5B6573"/>
        <w:sz w:val="18"/>
      </w:rPr>
      <w:t xml:space="preserve">Trang </w:t>
    </w:r>
    <w:r>
      <w:rPr>
        <w:rFonts w:ascii="Calibri" w:hAnsi="Calibri"/>
        <w:b w:val="0"/>
        <w:i w:val="0"/>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b/>
        <w:i w:val="0"/>
        <w:color w:val="5B6573"/>
        <w:sz w:val="18"/>
      </w:rPr>
      <w:t>BÁO CÁO ĐỐI CHIẾU DỮ LIỆU</w:t>
    </w:r>
    <w:r>
      <w:rPr>
        <w:rFonts w:ascii="Calibri" w:hAnsi="Calibri"/>
        <w:b w:val="0"/>
        <w:i w:val="0"/>
        <w:color w:val="5B6573"/>
        <w:sz w:val="18"/>
      </w:rPr>
      <w:tab/>
      <w:t>EBI–NGTK 2017–2024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đối chiếu EBI NGTK Panel 2017–2024</dc:title>
  <dc:subject>Tóm tắt kiểm tra dữ liệu phục vụ họp với giảng viên hướng dẫn</dc:subject>
  <dc:creator>OpenAI Codex</dc:creator>
  <cp:keywords>EBI, NGTK, panel, đối chiếu dữ liệu, Việt Nam</cp:keywords>
  <dc:description>generated by python-docx</dc:description>
  <cp:lastModifiedBy/>
  <cp:revision>1</cp:revision>
  <dcterms:created xsi:type="dcterms:W3CDTF">2013-12-23T23:15:00Z</dcterms:created>
  <dcterms:modified xsi:type="dcterms:W3CDTF">2013-12-23T23:15:00Z</dcterms:modified>
  <cp:category/>
</cp:coreProperties>
</file>