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Kế hoạch tổng thể phát triển TMĐT quốc gia giai đoạn 2021–2025 đặt mục tiêu đưa TMĐT trở thành kênh phân phối quan trọng, hỗ trợ sản xuất kinh doanh và liên kết vùng (Thủ tướng Chính phủ, 2020). Kế hoạch giai đoạn 2026–2030 đi xa hơn khi đặt mục tiêu định lượng về cân bằng không gian: tỷ trọng doanh số TMĐT B2C ngoài Hà Nội và TP. Hồ Chí Minh đạt 50% và thu hẹp khoảng cách phát triển TMĐT giữa các tỉnh, thành phố (Bộ Công Thương, 2025).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 CIEM (2023) cũng nhận diện chênh lệch về hạ tầng và công nghệ giữa các vùng miền là thách thức lớn của kinh tế số Việt Nam.</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Warschauer (2003) và van Dijk (2006)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54–58% chỉ số Theil của kinh tế số, trong khi Zhou và cộng sự (2024) và Fan và cộng sự (2024) lại thấy phần trong nội bộ vùng chiếm ưu thế và ngày càng tăng.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áp dụng phân rã Gini theo nguồn của Lerman và Yitzhaki (1985).</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Billon và cộng sự (2008) nhấn mạnh vai trò của địa lý và phụ thuộc không gian trong phân bố Internet tại Liên minh châu Âu, còn Vicente và López (2011) chỉ ra rằng khi băng rộng đã phủ rộng, khoảng cách còn lại được quyết định bởi vốn con người và cơ cấu kinh tế.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 Ở Việt Nam, Vu và cộng sự (2025) và Vu (2026) sử dụng dữ liệu cấp tỉnh từ Niên giám Thống kê để chỉ ra rằng công nghệ thông tin nâng năng suất, và các tỉnh có chất lượng điều hành và hạ tầng tốt hơn thu được lợi ích lớn hơn.</w:t>
      </w:r>
    </w:p>
    <w:p>
      <w:pPr>
        <w:spacing w:after="120" w:before="0" w:line="276"/>
        <w:ind w:firstLine="567"/>
        <w:jc w:val="both"/>
      </w:pPr>
      <w:r>
        <w:rPr>
          <w:rFonts w:ascii="Times New Roman" w:cs="Times New Roman" w:eastAsia="Times New Roman" w:hAnsi="Times New Roman"/>
          <w:sz w:val="24"/>
          <w:szCs w:val="24"/>
        </w:rPr>
        <w:t xml:space="preserve">Ở cấp doanh nghiệp, khung công nghệ – tổ chức – môi trường (Tornatzky &amp; Fleischer, 1990) và mô hình chấp nhận công nghệ (Davis, 1989) giải thích vì sao môi trường kinh doanh, năng lực tổ chức và áp lực cạnh tranh thúc đẩy ứng dụng TMĐT. Vì đơn vị phân tích của bài viết là tỉnh – năm, hai khung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Ước lượng trọng số từ dữ liệu cho thấy EBI giai đoạn 2018–2020 là tổng có trọng số 0,2/0,35/0,35/0,1 của bốn trụ cột NNL&amp;HT/B2C/B2B/G2B (năm 2017 là 0,3/0,3/0,3/0,1), còn từ năm 2021 là 0,2/0,4/0,4 của ba trụ cột. 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 bằng EBI của tỉnh chia cho trung bình giản đơn của các tỉnh có số liệu trong cùng năm, nhân 100.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Với RQ1, mức độ bất bình đẳng được đo bằng hệ số Gini và chỉ số Theil-T; cấu trúc theo vùng được phân rã theo Theil (1967) và Cowell (2011):</w:t>
      </w:r>
    </w:p>
    <w:p>
      <w:pPr>
        <w:tabs>
          <w:tab w:val="right" w:pos="9070"/>
        </w:tabs>
        <w:spacing w:after="120" w:before="60"/>
        <w:jc w:val="center"/>
      </w:pPr>
      <w:r>
        <w:rPr>
          <w:rFonts w:ascii="Times New Roman" w:cs="Times New Roman" w:eastAsia="Times New Roman" w:hAnsi="Times New Roman"/>
          <w:sz w:val="24"/>
          <w:szCs w:val="24"/>
        </w:rPr>
        <w:t xml:space="preserve">T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rPr>
        <w:t xml:space="preserve">	(1)</w:t>
      </w:r>
    </w:p>
    <w:p>
      <w:pPr>
        <w:spacing w:after="120" w:before="0" w:line="276"/>
        <w:ind w:firstLine="567"/>
        <w:jc w:val="both"/>
      </w:pPr>
      <w:r>
        <w:rPr>
          <w:rFonts w:ascii="Times New Roman" w:cs="Times New Roman" w:eastAsia="Times New Roman" w:hAnsi="Times New Roman"/>
          <w:sz w:val="24"/>
          <w:szCs w:val="24"/>
        </w:rPr>
        <w:t xml:space="preserve">trong đó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và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EBI trung bình và số tỉnh của vùng k, μ là trung bình chung; số hạng thứ nhất là phần trong nội bộ vùng, số hạng thứ hai là phần giữa các vùng. Chỉ số MLD (GE(0)), nhạy hơn với đuôi dưới, được dùng để kiểm tra vững. Mỗi tỉnh là một quan sát có trọng số bằng nhau, phù hợp với đơn vị ra quyết định chính sách là chính quyền cấp tỉnh. Vì EBI là tổng có trọng số của các trụ cột, đóng góp của từng trụ cột vào Gini được tính theo Lerman và Yitzhaki (1985): G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với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tỷ trọng của trụ cột k trong EBI,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Gini của trụ cột và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tương quan Gini giữa trụ cột với thứ hạng EBI.</w:t>
      </w:r>
    </w:p>
    <w:p>
      <w:pPr>
        <w:spacing w:after="120" w:before="0" w:line="276"/>
        <w:ind w:firstLine="567"/>
        <w:jc w:val="both"/>
      </w:pPr>
      <w:r>
        <w:rPr>
          <w:rFonts w:ascii="Times New Roman" w:cs="Times New Roman" w:eastAsia="Times New Roman" w:hAnsi="Times New Roman"/>
          <w:sz w:val="24"/>
          <w:szCs w:val="24"/>
        </w:rPr>
        <w:t xml:space="preserve">Với RQ2, hội tụ sigma được đánh giá qua hệ số biến thiên CV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độ lệch chuẩn của ln(EBI) theo năm. Hội tụ beta tuyệt đối và có điều kiện được ước lượng theo Barro và Sala-i-Martin (1992):</w:t>
      </w:r>
    </w:p>
    <w:p>
      <w:pPr>
        <w:tabs>
          <w:tab w:val="right" w:pos="9070"/>
        </w:tabs>
        <w:spacing w:after="120" w:before="60"/>
        <w:jc w:val="center"/>
      </w:pPr>
      <w:r>
        <w:rPr>
          <w:rFonts w:ascii="Times New Roman" w:cs="Times New Roman" w:eastAsia="Times New Roman" w:hAnsi="Times New Roman"/>
          <w:sz w:val="24"/>
          <w:szCs w:val="24"/>
        </w:rPr>
        <w:t xml:space="preserve">(1/T) 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α + β ln(EBI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γ′Z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w:t>
      </w:r>
    </w:p>
    <w:p>
      <w:pPr>
        <w:spacing w:after="120" w:before="0" w:line="276"/>
        <w:ind w:firstLine="567"/>
        <w:jc w:val="both"/>
      </w:pPr>
      <w:r>
        <w:rPr>
          <w:rFonts w:ascii="Times New Roman" w:cs="Times New Roman" w:eastAsia="Times New Roman" w:hAnsi="Times New Roman"/>
          <w:sz w:val="24"/>
          <w:szCs w:val="24"/>
        </w:rPr>
        <w:t xml:space="preserve">trong đó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là véc-tơ đặc trưng cấu trúc năm gốc (ln GRDP/người, mật độ doanh nghiệp, tỷ lệ dân số thành thị, tỷ lệ lao động qua đào tạo); β &lt; 0 hàm ý hội tụ; tốc độ hội tụ λ = −ln(1 + βT)/T và thời gian bán hội tụ bằng ln2/λ. Sai số chuẩn vững HC1 được sử dụng. Để tận dụng toàn bộ chuỗi, bài viết ước lượng thêm phiên bản bảng g</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 ln(EBI</w:t>
      </w:r>
      <w:r>
        <w:rPr>
          <w:rFonts w:ascii="Times New Roman" w:cs="Times New Roman" w:eastAsia="Times New Roman" w:hAnsi="Times New Roman"/>
          <w:sz w:val="24"/>
          <w:szCs w:val="24"/>
          <w:vertAlign w:val="superscript"/>
        </w:rPr>
        <w:t xml:space="preserve">rel</w:t>
      </w:r>
      <w:r>
        <w:rPr>
          <w:rFonts w:ascii="Times New Roman" w:cs="Times New Roman" w:eastAsia="Times New Roman" w:hAnsi="Times New Roman"/>
          <w:sz w:val="24"/>
          <w:szCs w:val="24"/>
          <w:vertAlign w:val="subscript"/>
        </w:rPr>
        <w:t xml:space="preserve">i,t−1</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với g là tăng trưởng hằng năm của EBI tương đối, hiệu ứng năm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sai số chuẩn cụm theo tỉnh, loại bỏ quan sát tăng trưởng 2020–2021.</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p>
      <w:pPr>
        <w:tabs>
          <w:tab w:val="right" w:pos="9070"/>
        </w:tabs>
        <w:spacing w:after="120" w:before="60"/>
        <w:jc w:val="center"/>
      </w:pPr>
      <w:r>
        <w:rPr>
          <w:rFonts w:ascii="Times New Roman" w:cs="Times New Roman" w:eastAsia="Times New Roman" w:hAnsi="Times New Roman"/>
          <w:sz w:val="24"/>
          <w:szCs w:val="24"/>
        </w:rPr>
        <w:t xml:space="preserve">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β′X</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(3)</w:t>
      </w:r>
    </w:p>
    <w:p>
      <w:pPr>
        <w:spacing w:after="120" w:before="0" w:line="276"/>
        <w:ind w:firstLine="567"/>
        <w:jc w:val="both"/>
      </w:pPr>
      <w:r>
        <w:rPr>
          <w:rFonts w:ascii="Times New Roman" w:cs="Times New Roman" w:eastAsia="Times New Roman" w:hAnsi="Times New Roman"/>
          <w:sz w:val="24"/>
          <w:szCs w:val="24"/>
        </w:rPr>
        <w:t xml:space="preserve">trong đó X là tập biến ở Mục 3.2,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là hiệu ứng cố định năm; sai số chuẩn cụm theo tỉnh để xử lý tương quan chuỗi trong nội bộ tỉnh; đa cộng tuyến được kiểm tra bằng hệ số phóng đại phương sai (VIF). Để giảm nội sinh đồng thời, mô hình được ước lượng lại với toàn bộ biến giải thích trễ một năm. Khoảng cách vùng được kiểm tra bằng cách thêm năm biến giả vùng (Đông Nam Bộ làm gốc) vào (3): nếu hệ số biến giả thu hẹp mạnh khi có X, khoảng cách vùng chủ yếu được giải thích bởi các yếu tố cấu trúc. Mô hình hiệu ứng cố định tỉnh được dùng làm kiểm tra vững, dù nó chỉ khai thác biến thiên theo thời gian và không xác định được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hai thành phần:</w:t>
      </w:r>
    </w:p>
    <w:p>
      <w:pPr>
        <w:tabs>
          <w:tab w:val="right" w:pos="9070"/>
        </w:tabs>
        <w:spacing w:after="120" w:before="60"/>
        <w:jc w:val="center"/>
      </w:pPr>
      <w:r>
        <w:rPr>
          <w:rFonts w:ascii="Times New Roman" w:cs="Times New Roman" w:eastAsia="Times New Roman" w:hAnsi="Times New Roman"/>
          <w:sz w:val="24"/>
          <w:szCs w:val="24"/>
        </w:rPr>
        <w:t xml:space="preserve">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Ȳ</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w:t>
      </w:r>
      <w:r>
        <w:rPr>
          <w:rFonts w:ascii="Times New Roman" w:cs="Times New Roman" w:eastAsia="Times New Roman" w:hAnsi="Times New Roman"/>
          <w:i/>
          <w:iCs/>
          <w:sz w:val="24"/>
          <w:szCs w:val="24"/>
        </w:rPr>
        <w:t xml:space="preserve"> + [X̄_{L}′(β_{L} − β</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 − β</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w:t>
      </w:r>
    </w:p>
    <w:p>
      <w:pPr>
        <w:spacing w:after="120" w:before="0" w:line="276"/>
        <w:ind w:firstLine="567"/>
        <w:jc w:val="both"/>
      </w:pPr>
      <w:r>
        <w:rPr>
          <w:rFonts w:ascii="Times New Roman" w:cs="Times New Roman" w:eastAsia="Times New Roman" w:hAnsi="Times New Roman"/>
          <w:sz w:val="24"/>
          <w:szCs w:val="24"/>
        </w:rPr>
        <w:t xml:space="preserve">trong đó L và N ký hiệu vùng lõi và ngoại vi, β</w:t>
      </w:r>
      <w:r>
        <w:rPr>
          <w:rFonts w:ascii="Times New Roman" w:cs="Times New Roman" w:eastAsia="Times New Roman" w:hAnsi="Times New Roman"/>
          <w:i/>
          <w:iCs/>
          <w:sz w:val="24"/>
          <w:szCs w:val="24"/>
        </w:rPr>
        <w:t xml:space="preserve"> là véc-tơ hệ số tham chiếu lấy từ mô hình gộp có biến chỉ báo nhóm (Jann, 2008); số hạng thứ nhất là phần nguồn lực, số hạng trong ngoặc vuông là phần hệ số. Phân tách được lặp lại với β</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và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1,98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 EBI của tỉnh / trung bình giản đơn của các tỉnh có số liệu trong cùng năm ×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và Hình 4).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55%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Theil-T = Σ(y_i/ȳ)ln(y_i/ȳ)/N, phân rã theo Theil (1967): T = T_giữa + T_trong.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4495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813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giữa các tỉnh và hai thành phần giữa các vùng, trong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3 tách chỉ số Theil-T tổng (đường liền) thành hai cột: cột đậm là phần chênh lệch giữa sáu vùng, cột nhạt là phần chênh lệch trong nội bộ vùng. Ở cả tám năm, cột nhạt luôn cao gấp hai đến ba lần cột đậm. Sau bước nhảy năm 2021 do đổi phương pháp, cả hai thành phần cùng giảm dần: phần trong vùng giảm từ 0,252 xuống 0,081 và phần giữa vùng từ 0,113 xuống 0,047 giữa năm 2021 và năm 2024, tức là quá trình thu hẹp diễn ra đồng thời ở cả hai cấp độ nhưng phần trong vùng vẫn chi phối mức tổng.</w:t>
      </w:r>
    </w:p>
    <w:p>
      <w:pPr>
        <w:keepNext/>
        <w:spacing w:after="60" w:before="120"/>
        <w:jc w:val="center"/>
      </w:pPr>
      <w:r>
        <w:drawing>
          <wp:inline distT="0" distB="0" distL="0" distR="0">
            <wp:extent cx="4495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838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Tỷ trọng của chênh lệch giữa các vùng trong tổng bất bình đẳng EBI theo hai thước đo Theil-T và MLD, 2017–2024 (%).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4 trình bày cùng thông tin dưới dạng tỷ trọng. Đường Theil-T dao động trong dải 31–37% và đường MLD trong dải 37–44%; cả hai đều nằm dưới mốc 50% ở mọi năm, nghĩa là chưa năm nào chênh lệch giữa các vùng vượt chênh lệch trong vùng, và cũng không có xu hướng tăng hay giảm rõ rệt qua điểm gãy 2021. Khoảng cách giữa hai đường phản ánh việc MLD nhạy hơn với đuôi dưới của phân phối, nơi tập trung các tỉnh miền núi phía Bắc, Tây Nguyên và Đồng bằng sông Cửu Long; khi các tỉnh này được cân nặng hơn, phần giữa vùng lớn hơn đôi chút nhưng kết luận không đổi.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bất bình đẳng nhất (Gini 0,274–0,442) và đóng góp lớn nhất (40–48%), nhưng Gini của NNL&amp;HT tăng lên 0,29–0,30 và vượt B2C trong hai năm 2023–2024 (B2C giảm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xem Hình 5 ở Mục 4.3)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Lerman–Yitzhaki),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(trọng số phục hồi từ dữ liệu: 2017 là 0,3/0,3/0,3/0,1; 2018–2020 là 0,2/0,35/0,35/0,1 cho NNL&amp;HT/B2C/B2B/G2B; từ 2021 là 0,2/0,4/0,4 cho NNL&amp;HT/B2C/B2B). Theo Lerman và Yitzhaki (1985), G = Σ S_k G_k R_k, trong đó S_k là tỷ trọng của trụ cột k trong EBI, G_k là Gini của trụ cột và R_k là tương quan Gini giữa trụ cột với thứ hạng EBI; đóng góp (%) = S_k G_k R_k / G × 100.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5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sigma: hệ số biến thiên của EBI và ba trụ cột giữa các tỉnh,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Hình 6 và Hình 7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γ′Z_i + ε_i; sai số chuẩn vững (HC1) trong ngoặc; ***, **, * tương ứng mức ý nghĩa 1%, 5%, 10%. λ = −ln(1 + βT)/T; thời gian bán hội tụ = ln2/λ. Biến điều kiện Z (giá trị năm gốc; riêng GRDP/người lấy năm 2018 cho gốc 2017): ln(GRDP/người), mật độ doanh nghiệp, tỷ lệ dân số thành thị, tỷ lệ lao động qua đào tạo. Dòng cuối: hồi quy bảng g_it = α_t + β·ln(EBI tương đối_i,t−1) + ε_it, sai số chuẩn cụm theo tỉnh. Nguồn: tính toán của tác giả.</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Hội tụ beta tuyệt đối giai đoạn 2017–2020 (thang đo cũ): tăng trưởng EBI bình quân năm của 54 tỉnh theo ln(EBI năm 2017). Nguồn: tính toán của tác giả từ VECOM (2017–2021).</w:t>
      </w:r>
    </w:p>
    <w:p>
      <w:pPr>
        <w:spacing w:after="120" w:before="0" w:line="276"/>
        <w:ind w:firstLine="567"/>
        <w:jc w:val="both"/>
      </w:pPr>
      <w:r>
        <w:rPr>
          <w:rFonts w:ascii="Times New Roman" w:cs="Times New Roman" w:eastAsia="Times New Roman" w:hAnsi="Times New Roman"/>
          <w:sz w:val="24"/>
          <w:szCs w:val="24"/>
        </w:rPr>
        <w:t xml:space="preserve">Hình 6 minh họa giai đoạn thang đo cũ: mỗi điểm là một trong 54 tỉnh, trục hoành là ln(EBI năm 2017), trục tung là tăng trưởng bình quân năm 2017–2020. Đường hồi quy dốc xuống (β = −0,043, p = 0,001) nhưng đám mây điểm phân tán rộng (R² = 0,16): các tỉnh xuất phát thấp như Thái Nguyên, Bến Tre tăng 14–15%/năm, trong khi Hà Nội, TP. Hồ Chí Minh và Đà Nẵng, vốn đã ở mức 75–89 điểm, chỉ tăng 3–4%/năm vì đã sát trần của thang điểm. Nói cách khác, hội tụ ở giai đoạn này chủ yếu là hiện tượng nhóm đầu chững lại chứ chưa phải nhóm cuối bứt lên đồng loạt.</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7. Hội tụ beta tuyệt đối giai đoạn 2021–2024 (thang đo mới): tăng trưởng EBI bình quân năm của 56 tỉnh theo ln(EBI năm 2021). Nguồn: tính toán của tác giả từ VECOM (2021–2025).</w:t>
      </w:r>
    </w:p>
    <w:p>
      <w:pPr>
        <w:spacing w:after="120" w:before="0" w:line="276"/>
        <w:ind w:firstLine="567"/>
        <w:jc w:val="both"/>
      </w:pPr>
      <w:r>
        <w:rPr>
          <w:rFonts w:ascii="Times New Roman" w:cs="Times New Roman" w:eastAsia="Times New Roman" w:hAnsi="Times New Roman"/>
          <w:sz w:val="24"/>
          <w:szCs w:val="24"/>
        </w:rPr>
        <w:t xml:space="preserve">Hình 7 minh họa giai đoạn thang đo mới, với quan hệ dốc hơn và chặt hơn (β = −0,089, p &lt; 0,001, R² = 0,53). Đám đông các tỉnh có ln(EBI năm 2021) trong khoảng 1,4–2,0, tương đương 4–7 điểm, tăng 35–47%/năm, nhanh nhất là Đắk Lắk và Lào Cai; hai đầu tàu tách hẳn ở góc dưới bên phải với mức tăng 8–14%/năm, Bình Dương và Đà Nẵng nằm ở vị trí trung gian. Mức tăng rất cao của nhóm giữa một phần phản ánh việc thang đo mới nén điểm số của nhóm này xuống rất thấp trong năm 2021 rồi phục hồi từ năm 2022, nên tốc độ hội tụ 10,3%/năm của giai đoạn này nên được đọc như cận trên.</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EBI thấp hơn Đông Nam Bộ từ 42% đến 62% theo logarit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41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8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(4) ở Mục 3.3, với β* là véc-tơ hệ số tham chiếu; mô hình gồm biến giả năm.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8.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và Fan và cộng sự (2024), những nghiên cứu thấy bất bình đẳng số ở Trung Quốc đang chuyển từ giữa các vùng sang bên trong vùng, và khác với Wang (2024), nơi phần giữa vùng chiếm 54–58%.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Vu (2026) và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 Billon và cộng sự, 2008).</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TMĐT giữa các tỉnh, thành phố và nâng tỷ trọng doanh số B2C ngoài Hà Nội và TP. Hồ Chí Minh lên 50% vào năm 2030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Billon, M., Ezcurra, R., &amp; Lera-López, F. (2008). The spatial distribution of the Internet in the European Union: Does geographical proximity matter? </w:t>
      </w:r>
      <w:r>
        <w:rPr>
          <w:rFonts w:ascii="Times New Roman" w:cs="Times New Roman" w:eastAsia="Times New Roman" w:hAnsi="Times New Roman"/>
          <w:i/>
          <w:iCs/>
          <w:sz w:val="20"/>
          <w:szCs w:val="20"/>
        </w:rPr>
        <w:t xml:space="preserve">European Planning Studies, 16</w:t>
      </w:r>
      <w:r>
        <w:rPr>
          <w:rFonts w:ascii="Times New Roman" w:cs="Times New Roman" w:eastAsia="Times New Roman" w:hAnsi="Times New Roman"/>
          <w:sz w:val="20"/>
          <w:szCs w:val="20"/>
        </w:rPr>
        <w:t xml:space="preserve">(1), 119–142.</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Cowell, F. A. (2011). </w:t>
      </w:r>
      <w:r>
        <w:rPr>
          <w:rFonts w:ascii="Times New Roman" w:cs="Times New Roman" w:eastAsia="Times New Roman" w:hAnsi="Times New Roman"/>
          <w:i/>
          <w:iCs/>
          <w:sz w:val="20"/>
          <w:szCs w:val="20"/>
        </w:rPr>
        <w:t xml:space="preserve">Measuring inequality</w:t>
      </w:r>
      <w:r>
        <w:rPr>
          <w:rFonts w:ascii="Times New Roman" w:cs="Times New Roman" w:eastAsia="Times New Roman" w:hAnsi="Times New Roman"/>
          <w:sz w:val="20"/>
          <w:szCs w:val="20"/>
        </w:rPr>
        <w:t xml:space="preserve"> (3rd ed.). Oxford University Press.</w:t>
      </w:r>
    </w:p>
    <w:p>
      <w:pPr>
        <w:spacing w:after="80" w:line="260"/>
        <w:ind w:left="567" w:hanging="567"/>
        <w:jc w:val="both"/>
      </w:pPr>
      <w:r>
        <w:rPr>
          <w:rFonts w:ascii="Times New Roman" w:cs="Times New Roman" w:eastAsia="Times New Roman" w:hAnsi="Times New Roman"/>
          <w:sz w:val="20"/>
          <w:szCs w:val="20"/>
        </w:rPr>
        <w:t xml:space="preserve">Davis, F. D. (1989). Perceived usefulness, perceived ease of use, and user acceptance of information technology. </w:t>
      </w:r>
      <w:r>
        <w:rPr>
          <w:rFonts w:ascii="Times New Roman" w:cs="Times New Roman" w:eastAsia="Times New Roman" w:hAnsi="Times New Roman"/>
          <w:i/>
          <w:iCs/>
          <w:sz w:val="20"/>
          <w:szCs w:val="20"/>
        </w:rPr>
        <w:t xml:space="preserve">MIS Quarterly, 13</w:t>
      </w:r>
      <w:r>
        <w:rPr>
          <w:rFonts w:ascii="Times New Roman" w:cs="Times New Roman" w:eastAsia="Times New Roman" w:hAnsi="Times New Roman"/>
          <w:sz w:val="20"/>
          <w:szCs w:val="20"/>
        </w:rPr>
        <w:t xml:space="preserve">(3), 319–340.</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Lerman, R. I., &amp; Yitzhaki, S. (1985). Income inequality effects by income source: A new approach and applications to the United States. </w:t>
      </w:r>
      <w:r>
        <w:rPr>
          <w:rFonts w:ascii="Times New Roman" w:cs="Times New Roman" w:eastAsia="Times New Roman" w:hAnsi="Times New Roman"/>
          <w:i/>
          <w:iCs/>
          <w:sz w:val="20"/>
          <w:szCs w:val="20"/>
        </w:rPr>
        <w:t xml:space="preserve">Review of Economics and Statistics, 67</w:t>
      </w:r>
      <w:r>
        <w:rPr>
          <w:rFonts w:ascii="Times New Roman" w:cs="Times New Roman" w:eastAsia="Times New Roman" w:hAnsi="Times New Roman"/>
          <w:sz w:val="20"/>
          <w:szCs w:val="20"/>
        </w:rPr>
        <w:t xml:space="preserve">(1), 151–156.</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(3), 5–22.</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Tornatzky, L. G., &amp; Fleischer, M. (1990). </w:t>
      </w:r>
      <w:r>
        <w:rPr>
          <w:rFonts w:ascii="Times New Roman" w:cs="Times New Roman" w:eastAsia="Times New Roman" w:hAnsi="Times New Roman"/>
          <w:i/>
          <w:iCs/>
          <w:sz w:val="20"/>
          <w:szCs w:val="20"/>
        </w:rPr>
        <w:t xml:space="preserve">The processes of technological innovation</w:t>
      </w:r>
      <w:r>
        <w:rPr>
          <w:rFonts w:ascii="Times New Roman" w:cs="Times New Roman" w:eastAsia="Times New Roman" w:hAnsi="Times New Roman"/>
          <w:sz w:val="20"/>
          <w:szCs w:val="20"/>
        </w:rPr>
        <w:t xml:space="preserve">. Lexington Books.</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Viện Nghiên cứu Quản lý Kinh tế Trung ương (CIEM). (2023). </w:t>
      </w:r>
      <w:r>
        <w:rPr>
          <w:rFonts w:ascii="Times New Roman" w:cs="Times New Roman" w:eastAsia="Times New Roman" w:hAnsi="Times New Roman"/>
          <w:i/>
          <w:iCs/>
          <w:sz w:val="20"/>
          <w:szCs w:val="20"/>
        </w:rPr>
        <w:t xml:space="preserve">Phát triển kinh tế số tại Việt Nam: Thực trạng và khuyến nghị</w:t>
      </w:r>
      <w:r>
        <w:rPr>
          <w:rFonts w:ascii="Times New Roman" w:cs="Times New Roman" w:eastAsia="Times New Roman" w:hAnsi="Times New Roman"/>
          <w:sz w:val="20"/>
          <w:szCs w:val="20"/>
        </w:rPr>
        <w:t xml:space="preserve">. CIEM.</w:t>
      </w:r>
    </w:p>
    <w:p>
      <w:pPr>
        <w:spacing w:after="80" w:line="260"/>
        <w:ind w:left="567" w:hanging="567"/>
        <w:jc w:val="both"/>
      </w:pPr>
      <w:r>
        <w:rPr>
          <w:rFonts w:ascii="Times New Roman" w:cs="Times New Roman" w:eastAsia="Times New Roman" w:hAnsi="Times New Roman"/>
          <w:sz w:val="20"/>
          <w:szCs w:val="20"/>
        </w:rPr>
        <w:t xml:space="preserve">Vu, H. Q. (2026). Institutional quality and infrastructure as catalyst to the effects of ICT on provincial total factor productivity. </w:t>
      </w:r>
      <w:r>
        <w:rPr>
          <w:rFonts w:ascii="Times New Roman" w:cs="Times New Roman" w:eastAsia="Times New Roman" w:hAnsi="Times New Roman"/>
          <w:i/>
          <w:iCs/>
          <w:sz w:val="20"/>
          <w:szCs w:val="20"/>
        </w:rPr>
        <w:t xml:space="preserve">Competitiveness Review, 36</w:t>
      </w:r>
      <w:r>
        <w:rPr>
          <w:rFonts w:ascii="Times New Roman" w:cs="Times New Roman" w:eastAsia="Times New Roman" w:hAnsi="Times New Roman"/>
          <w:sz w:val="20"/>
          <w:szCs w:val="20"/>
        </w:rPr>
        <w:t xml:space="preserve">(4), 748–768. https://doi.org/10.1108/CR-03-2025-0105</w:t>
      </w:r>
    </w:p>
    <w:p>
      <w:pPr>
        <w:spacing w:after="80" w:line="260"/>
        <w:ind w:left="567" w:hanging="567"/>
        <w:jc w:val="both"/>
      </w:pPr>
      <w:r>
        <w:rPr>
          <w:rFonts w:ascii="Times New Roman" w:cs="Times New Roman" w:eastAsia="Times New Roman" w:hAnsi="Times New Roman"/>
          <w:sz w:val="20"/>
          <w:szCs w:val="20"/>
        </w:rPr>
        <w:t xml:space="preserve">Vu, H. Q., Nguyen, H. M. T., &amp; Le, T. T. (2025). Digital transformation and economic growth: Empirical evidence from Vietnam. </w:t>
      </w:r>
      <w:r>
        <w:rPr>
          <w:rFonts w:ascii="Times New Roman" w:cs="Times New Roman" w:eastAsia="Times New Roman" w:hAnsi="Times New Roman"/>
          <w:i/>
          <w:iCs/>
          <w:sz w:val="20"/>
          <w:szCs w:val="20"/>
        </w:rPr>
        <w:t xml:space="preserve">Post-Communist Economies, 37</w:t>
      </w:r>
      <w:r>
        <w:rPr>
          <w:rFonts w:ascii="Times New Roman" w:cs="Times New Roman" w:eastAsia="Times New Roman" w:hAnsi="Times New Roman"/>
          <w:sz w:val="20"/>
          <w:szCs w:val="20"/>
        </w:rPr>
        <w:t xml:space="preserve">(7), 910–932. https://doi.org/10.1080/14631377.2025.2511511</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Warschauer, M. (2003). </w:t>
      </w:r>
      <w:r>
        <w:rPr>
          <w:rFonts w:ascii="Times New Roman" w:cs="Times New Roman" w:eastAsia="Times New Roman" w:hAnsi="Times New Roman"/>
          <w:i/>
          <w:iCs/>
          <w:sz w:val="20"/>
          <w:szCs w:val="20"/>
        </w:rPr>
        <w:t xml:space="preserve">Technology and social inclusion: Rethinking the digital divide</w:t>
      </w:r>
      <w:r>
        <w:rPr>
          <w:rFonts w:ascii="Times New Roman" w:cs="Times New Roman" w:eastAsia="Times New Roman" w:hAnsi="Times New Roman"/>
          <w:sz w:val="20"/>
          <w:szCs w:val="20"/>
        </w:rPr>
        <w:t xml:space="preserve">. MIT Press.</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77bfc3728d915ff042fb63a87395184f0c743.png"/><Relationship Id="rId9" Type="http://schemas.openxmlformats.org/officeDocument/2006/relationships/image" Target="media/c8b74df4f1884ccf8742714c97ec9b535d938a81.png"/><Relationship Id="rId10" Type="http://schemas.openxmlformats.org/officeDocument/2006/relationships/image" Target="media/05130e171ee1eff0405f81a565104c4530e3421f.png"/><Relationship Id="rId11" Type="http://schemas.openxmlformats.org/officeDocument/2006/relationships/image" Target="media/a67b2f83b2c489883d2a990d2adc716f83f257c9.png"/><Relationship Id="rId12" Type="http://schemas.openxmlformats.org/officeDocument/2006/relationships/image" Target="media/2a6e759ba0db88cd6718a52ab611b686be7b6e90.png"/><Relationship Id="rId13" Type="http://schemas.openxmlformats.org/officeDocument/2006/relationships/image" Target="media/357b04d8847f8f596a9dd87553c5ec8b67435ad2.png"/><Relationship Id="rId14" Type="http://schemas.openxmlformats.org/officeDocument/2006/relationships/image" Target="media/b85657864ffc6f99309cd01760a6e4456397ff34.png"/><Relationship Id="rId15" Type="http://schemas.openxmlformats.org/officeDocument/2006/relationships/image" Target="media/09fd3f9a60ea05f8206cf2d8d0de15ebcc755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2026-09-06T16:09:30.153Z</dcterms:created>
  <dcterms:modified xsi:type="dcterms:W3CDTF">2026-09-06T16:09:30.154Z</dcterms:modified>
</cp:coreProperties>
</file>

<file path=docProps/custom.xml><?xml version="1.0" encoding="utf-8"?>
<Properties xmlns="http://schemas.openxmlformats.org/officeDocument/2006/custom-properties" xmlns:vt="http://schemas.openxmlformats.org/officeDocument/2006/docPropsVTypes"/>
</file>