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INFORMATION HANDLING GUIDELINE</w:t>
      </w:r>
    </w:p>
    <w:p>
      <w:pPr>
        <w:pStyle w:val="Subtitle"/>
      </w:pPr>
      <w:r>
        <w:t>Policy ID: CLIN-PRIV-GL-026  |  Version 1.0  |  Review date: 15 April 2027</w:t>
      </w:r>
    </w:p>
    <w:p>
      <w:r>
        <w:rPr>
          <w:b/>
          <w:color w:val="974529"/>
        </w:rPr>
        <w:t>SYNTHETIC SAMPLE — NOT A REAL RECORD</w:t>
      </w:r>
    </w:p>
    <w:p>
      <w:pPr>
        <w:pStyle w:val="Heading1"/>
      </w:pPr>
      <w:r>
        <w:t>1. Purpose</w:t>
      </w:r>
    </w:p>
    <w:p>
      <w:r>
        <w:t>This fictional internal guideline describes safe handling of patient-identifying information when preparing operational summaries, document reviews, and requests to AI systems. It is a demonstration artifact, not clinical or regulatory guidance.</w:t>
      </w:r>
    </w:p>
    <w:p>
      <w:pPr>
        <w:pStyle w:val="Heading1"/>
      </w:pPr>
      <w:r>
        <w:t>2. Ownership and Applicability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Organization</w:t>
            </w:r>
          </w:p>
        </w:tc>
        <w:tc>
          <w:tcPr>
            <w:tcW w:type="dxa" w:w="4882"/>
          </w:tcPr>
          <w:p>
            <w:r>
              <w:t>Brookfield Community Care Centre (fictional)</w:t>
            </w:r>
          </w:p>
        </w:tc>
      </w:tr>
      <w:tr>
        <w:tc>
          <w:tcPr>
            <w:tcW w:type="dxa" w:w="4882"/>
          </w:tcPr>
          <w:p>
            <w:r>
              <w:t>Policy owner</w:t>
            </w:r>
          </w:p>
        </w:tc>
        <w:tc>
          <w:tcPr>
            <w:tcW w:type="dxa" w:w="4882"/>
          </w:tcPr>
          <w:p>
            <w:r>
              <w:t>Dr. Kavya Rao, Privacy &amp; Quality Lead</w:t>
            </w:r>
          </w:p>
        </w:tc>
      </w:tr>
      <w:tr>
        <w:tc>
          <w:tcPr>
            <w:tcW w:type="dxa" w:w="4882"/>
          </w:tcPr>
          <w:p>
            <w:r>
              <w:t>Department</w:t>
            </w:r>
          </w:p>
        </w:tc>
        <w:tc>
          <w:tcPr>
            <w:tcW w:type="dxa" w:w="4882"/>
          </w:tcPr>
          <w:p>
            <w:r>
              <w:t>Clinical Operations / Health Information Management</w:t>
            </w:r>
          </w:p>
        </w:tc>
      </w:tr>
      <w:tr>
        <w:tc>
          <w:tcPr>
            <w:tcW w:type="dxa" w:w="4882"/>
          </w:tcPr>
          <w:p>
            <w:r>
              <w:t>Contact</w:t>
            </w:r>
          </w:p>
        </w:tc>
        <w:tc>
          <w:tcPr>
            <w:tcW w:type="dxa" w:w="4882"/>
          </w:tcPr>
          <w:p>
            <w:r>
              <w:t>privacy.office@example.com</w:t>
            </w:r>
          </w:p>
        </w:tc>
      </w:tr>
      <w:tr>
        <w:tc>
          <w:tcPr>
            <w:tcW w:type="dxa" w:w="4882"/>
          </w:tcPr>
          <w:p>
            <w:r>
              <w:t>Facility address</w:t>
            </w:r>
          </w:p>
        </w:tc>
        <w:tc>
          <w:tcPr>
            <w:tcW w:type="dxa" w:w="4882"/>
          </w:tcPr>
          <w:p>
            <w:r>
              <w:t>82 Silver Oak Road, New Delhi 110024 (fictional address)</w:t>
            </w:r>
          </w:p>
        </w:tc>
      </w:tr>
    </w:tbl>
    <w:p>
      <w:pPr>
        <w:pStyle w:val="Heading1"/>
      </w:pPr>
      <w:r>
        <w:t>3. Information Classification</w:t>
      </w:r>
    </w:p>
    <w:p>
      <w:r>
        <w:t>Restricted: patient name, date of birth, telephone number, address, medical record number, insurance/member ID, diagnosis linked to identity, and clinician notes. Internal confidential: staff phone lists, vendor rates, internal escalation paths, and unpublished operating metrics. Public: generic, approved educational content with no person-level identifiers.</w:t>
      </w:r>
    </w:p>
    <w:p>
      <w:pPr>
        <w:pStyle w:val="Heading1"/>
      </w:pPr>
      <w:r>
        <w:t>4. Example Record for Testing — Synthetic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Patient name</w:t>
            </w:r>
          </w:p>
        </w:tc>
        <w:tc>
          <w:tcPr>
            <w:tcW w:type="dxa" w:w="4882"/>
          </w:tcPr>
          <w:p>
            <w:r>
              <w:t>Meera Kapoor</w:t>
            </w:r>
          </w:p>
        </w:tc>
      </w:tr>
      <w:tr>
        <w:tc>
          <w:tcPr>
            <w:tcW w:type="dxa" w:w="4882"/>
          </w:tcPr>
          <w:p>
            <w:r>
              <w:t>Medical record number</w:t>
            </w:r>
          </w:p>
        </w:tc>
        <w:tc>
          <w:tcPr>
            <w:tcW w:type="dxa" w:w="4882"/>
          </w:tcPr>
          <w:p>
            <w:r>
              <w:t>MRN-DEMO-104728</w:t>
            </w:r>
          </w:p>
        </w:tc>
      </w:tr>
      <w:tr>
        <w:tc>
          <w:tcPr>
            <w:tcW w:type="dxa" w:w="4882"/>
          </w:tcPr>
          <w:p>
            <w:r>
              <w:t>Date of birth</w:t>
            </w:r>
          </w:p>
        </w:tc>
        <w:tc>
          <w:tcPr>
            <w:tcW w:type="dxa" w:w="4882"/>
          </w:tcPr>
          <w:p>
            <w:r>
              <w:t>09 March 1984</w:t>
            </w:r>
          </w:p>
        </w:tc>
      </w:tr>
      <w:tr>
        <w:tc>
          <w:tcPr>
            <w:tcW w:type="dxa" w:w="4882"/>
          </w:tcPr>
          <w:p>
            <w:r>
              <w:t>Phone</w:t>
            </w:r>
          </w:p>
        </w:tc>
        <w:tc>
          <w:tcPr>
            <w:tcW w:type="dxa" w:w="4882"/>
          </w:tcPr>
          <w:p>
            <w:r>
              <w:t>+91 90000 12345 (fictional)</w:t>
            </w:r>
          </w:p>
        </w:tc>
      </w:tr>
      <w:tr>
        <w:tc>
          <w:tcPr>
            <w:tcW w:type="dxa" w:w="4882"/>
          </w:tcPr>
          <w:p>
            <w:r>
              <w:t>Email</w:t>
            </w:r>
          </w:p>
        </w:tc>
        <w:tc>
          <w:tcPr>
            <w:tcW w:type="dxa" w:w="4882"/>
          </w:tcPr>
          <w:p>
            <w:r>
              <w:t>meera.kapoor@example.com</w:t>
            </w:r>
          </w:p>
        </w:tc>
      </w:tr>
      <w:tr>
        <w:tc>
          <w:tcPr>
            <w:tcW w:type="dxa" w:w="4882"/>
          </w:tcPr>
          <w:p>
            <w:r>
              <w:t>Insurance member ID</w:t>
            </w:r>
          </w:p>
        </w:tc>
        <w:tc>
          <w:tcPr>
            <w:tcW w:type="dxa" w:w="4882"/>
          </w:tcPr>
          <w:p>
            <w:r>
              <w:t>PLAN-DEMO-552018</w:t>
            </w:r>
          </w:p>
        </w:tc>
      </w:tr>
      <w:tr>
        <w:tc>
          <w:tcPr>
            <w:tcW w:type="dxa" w:w="4882"/>
          </w:tcPr>
          <w:p>
            <w:r>
              <w:t>Encounter</w:t>
            </w:r>
          </w:p>
        </w:tc>
        <w:tc>
          <w:tcPr>
            <w:tcW w:type="dxa" w:w="4882"/>
          </w:tcPr>
          <w:p>
            <w:r>
              <w:t>Follow-up for type 2 diabetes; 14 October 2026</w:t>
            </w:r>
          </w:p>
        </w:tc>
      </w:tr>
      <w:tr>
        <w:tc>
          <w:tcPr>
            <w:tcW w:type="dxa" w:w="4882"/>
          </w:tcPr>
          <w:p>
            <w:r>
              <w:t>Assigned clinician</w:t>
            </w:r>
          </w:p>
        </w:tc>
        <w:tc>
          <w:tcPr>
            <w:tcW w:type="dxa" w:w="4882"/>
          </w:tcPr>
          <w:p>
            <w:r>
              <w:t>Dr. Dev Menon</w:t>
            </w:r>
          </w:p>
        </w:tc>
      </w:tr>
    </w:tbl>
    <w:p>
      <w:pPr>
        <w:pStyle w:val="Heading1"/>
      </w:pPr>
      <w:r>
        <w:t>5. Approved Handling Process</w:t>
      </w:r>
    </w:p>
    <w:p>
      <w:pPr>
        <w:pStyle w:val="ListNumber"/>
      </w:pPr>
      <w:r>
        <w:t>Confirm the request purpose and data category before processing.</w:t>
      </w:r>
    </w:p>
    <w:p>
      <w:pPr>
        <w:pStyle w:val="ListNumber"/>
      </w:pPr>
      <w:r>
        <w:t>Extract text in the approved internal environment.</w:t>
      </w:r>
    </w:p>
    <w:p>
      <w:pPr>
        <w:pStyle w:val="ListNumber"/>
      </w:pPr>
      <w:r>
        <w:t>Detect direct identifiers and sensitive clinical or commercial content.</w:t>
      </w:r>
    </w:p>
    <w:p>
      <w:pPr>
        <w:pStyle w:val="ListNumber"/>
      </w:pPr>
      <w:r>
        <w:t>Apply the policy: allow, replace with consistent placeholders, generalize, or block.</w:t>
      </w:r>
    </w:p>
    <w:p>
      <w:pPr>
        <w:pStyle w:val="ListNumber"/>
      </w:pPr>
      <w:r>
        <w:t>Re-scan sanitized text before any external model call; reject uncertain requests.</w:t>
      </w:r>
    </w:p>
    <w:p>
      <w:pPr>
        <w:pStyle w:val="ListNumber"/>
      </w:pPr>
      <w:r>
        <w:t>Validate the AI response for sensitive-data leakage; retain only authorized audit metadata.</w:t>
      </w:r>
    </w:p>
    <w:p>
      <w:pPr>
        <w:pStyle w:val="Heading1"/>
      </w:pPr>
      <w:r>
        <w:t>6. Example Masking Outcome</w:t>
      </w:r>
    </w:p>
    <w:p>
      <w:r>
        <w:t>Before: “Meera Kapoor (MRN-DEMO-104728) called about her type 2 diabetes follow-up.”</w:t>
      </w:r>
    </w:p>
    <w:p>
      <w:r>
        <w:t>After: “&lt;PERSON_001&gt; (&lt;MRN_001&gt;) called about a &lt;HEALTH_CONDITION&gt; follow-up.”</w:t>
      </w:r>
    </w:p>
    <w:p>
      <w:pPr>
        <w:pStyle w:val="Heading1"/>
      </w:pPr>
      <w:r>
        <w:t>7. Escalation and Exceptions</w:t>
      </w:r>
    </w:p>
    <w:p>
      <w:r>
        <w:t>If unexpected identifiers remain after masking, stop the workflow and notify the fictional Privacy &amp; Quality Lead at privacy.office@example.com. Exceptions require documented approval. No real patient information should be used in this sample.</w:t>
      </w:r>
    </w:p>
    <w:p>
      <w:pPr>
        <w:pStyle w:val="Heading1"/>
      </w:pPr>
      <w:r>
        <w:t>8. Review and Acknowledgement</w:t>
      </w:r>
    </w:p>
    <w:p>
      <w:r>
        <w:t>Document owner: Dr. Kavya Rao  |  Reviewed by: Noel Fernandes, Information Security  |  Status: DEMONSTRATION ONLY</w:t>
      </w:r>
    </w:p>
    <w:sectPr w:rsidR="00FC693F" w:rsidRPr="0006063C" w:rsidSect="00034616">
      <w:footerReference w:type="default" r:id="rId9"/>
      <w:pgSz w:w="12240" w:h="15840"/>
      <w:pgMar w:top="1080" w:right="1238" w:bottom="1008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content • fictitious identities and organizations • privacy testing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52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52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