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80" w:line="276" w:before="280"/>
        <w:ind w:left="0" w:firstLine="0" w:right="0"/>
        <w:contextualSpacing w:val="0"/>
        <w:jc w:val="center"/>
      </w:pPr>
      <w:bookmarkStart w:id="0" w:colFirst="0" w:name="h.kdrgr8nf4b9f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BINF90007 Bioinformatics Research Project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80" w:line="276" w:before="280"/>
        <w:ind w:left="0" w:firstLine="0" w:right="0"/>
        <w:contextualSpacing w:val="0"/>
        <w:jc w:val="center"/>
      </w:pPr>
      <w:bookmarkStart w:id="1" w:colFirst="0" w:name="h.4z1w6e78wh6n" w:colLast="0"/>
      <w:bookmarkEnd w:id="1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Seminar Examination Guide/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Report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9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85"/>
        <w:gridCol w:w="8115"/>
        <w:tblGridChange w:id="0">
          <w:tblGrid>
            <w:gridCol w:w="1785"/>
            <w:gridCol w:w="8115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Student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9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85"/>
        <w:gridCol w:w="8115"/>
        <w:tblGridChange w:id="0">
          <w:tblGrid>
            <w:gridCol w:w="1785"/>
            <w:gridCol w:w="8115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Topic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9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85"/>
        <w:gridCol w:w="8115"/>
        <w:tblGridChange w:id="0">
          <w:tblGrid>
            <w:gridCol w:w="1785"/>
            <w:gridCol w:w="8115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Supervisor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Grading Table</w:t>
      </w: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6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35"/>
        <w:gridCol w:w="840"/>
        <w:gridCol w:w="840"/>
        <w:gridCol w:w="840"/>
        <w:gridCol w:w="840"/>
        <w:gridCol w:w="840"/>
        <w:gridCol w:w="885"/>
        <w:gridCol w:w="885"/>
        <w:gridCol w:w="870"/>
        <w:gridCol w:w="855"/>
        <w:tblGridChange w:id="0">
          <w:tblGrid>
            <w:gridCol w:w="1935"/>
            <w:gridCol w:w="840"/>
            <w:gridCol w:w="840"/>
            <w:gridCol w:w="840"/>
            <w:gridCol w:w="840"/>
            <w:gridCol w:w="840"/>
            <w:gridCol w:w="885"/>
            <w:gridCol w:w="885"/>
            <w:gridCol w:w="870"/>
            <w:gridCol w:w="855"/>
          </w:tblGrid>
        </w:tblGridChange>
      </w:tblGrid>
      <w:tr>
        <w:trPr>
          <w:trHeight w:val="7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Category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Fail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Pass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H3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H2A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H2B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H1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H1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H1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H1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Grade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0-49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50-64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65-70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70-74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75-79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80-84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85-89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90-94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95-100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Explanation of aims and scope of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project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Grasp of the research problem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Explanation and s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oundness of approach and methodology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Presentation and interpretation of results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(if appropriate)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Conclusions and future work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(if appropriate)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Organisation and delivery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Response to questions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8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9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455"/>
        <w:gridCol w:w="2445"/>
        <w:tblGridChange w:id="0">
          <w:tblGrid>
            <w:gridCol w:w="7455"/>
            <w:gridCol w:w="2445"/>
          </w:tblGrid>
        </w:tblGridChange>
      </w:tblGrid>
      <w:tr>
        <w:trPr>
          <w:trHeight w:val="1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Overall comment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Overall Grade (/100)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                      %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Category Definitions and Evaluation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H1 95-100%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Truly outstanding in every way. The student would be welcome as a PhD candidate in the department or a research practitioner in industry, and would be expected to succeed with a hands-off supervision style.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H1 90-94%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Excellent in every way. The student would be welcome as a PhD candidate in the department or a research practitioner in industry, and would be expected to succeed with minimal support.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H1 85-89%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Excellent in many respects. Such students may be in the minority but should be frequently encountered in a typical academic’s life. The student would be welcome as a PhD candidate in the department or a research practitioner in industry, and would be expected to succeed with a hands-on supervision style.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H1 80-84%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Ideally such students should form the body of an honours/Masters cohort. The student should succeed as a PhD candidate or research practitioner but would need significant support from the supervisor(s).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H2A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75-79%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he evaluation of the existing literature is very sound without being outstanding; reasonable insight and some evidence of original thought in dealing with the critical issues evidence of a solid understanding of research methods; adequate design of the research project, although possibly containing minor but retrievable errors; choice of data analysis that is appropriate for the design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H2B 70-74%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rovided an adequate coverage of the literature, although it is more descriptive than interpretive, and arguments are often disjointed; occasional evidence of insight into the issues underlying the thesis or essay, but little evidence of original thinking; basic but somewhat limited understanding of research methods; the design of the research project is generally adequate but is marred by some errors and oversights;.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H3 65-69%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hows flaws in the structuring of logical arguments, with insufficient information provided to support the arguments made, or conclusions drawn; ideas are derivative; knowledge of research methods is deficient; flaws exist in the design of the research project, making it difficult for the research to meet its aims.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P 50-64%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Poor, little evidence of critical thinking or contribution. 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The student is likely not suited to research.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N &lt; 50%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U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nacceptable. 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The student is not suited to research.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008" w:right="1008" w:top="1008" w:bottom="10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BINF90007_SeminarExaminationGuide.docx</dc:title>
</cp:coreProperties>
</file>