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Xa541c9f43a4a26b6d4dc35cd108d142fde78211"/>
    <w:p>
      <w:pPr>
        <w:pStyle w:val="Heading1"/>
      </w:pPr>
      <w:r>
        <w:t xml:space="preserve">Voynich Manuscript Project – Ironclad Dossier</w:t>
      </w:r>
    </w:p>
    <w:bookmarkStart w:id="21" w:name="executive-summary-confidence-0.91"/>
    <w:p>
      <w:pPr>
        <w:pStyle w:val="Heading2"/>
      </w:pPr>
      <w:r>
        <w:t xml:space="preserve">Executive Summary (confidence ≈ 0.91)</w:t>
      </w:r>
    </w:p>
    <w:p>
      <w:pPr>
        <w:pStyle w:val="FirstParagraph"/>
      </w:pPr>
      <w:r>
        <w:t xml:space="preserve">The Voynich manuscript (Beinecke MS 408) is one of the most studied yet least understood documents in the historical record. Previous work has oscillated between claims of a natural language, a constructed cipher, glossolalia and, more recently, shorthand or laboratory‑log hypotheses. In this dossier we set aside speculation and build the first modular, data‑driven case based on open, falsifiable measurements. Working from the only publicly accessible transliteration with complete frequency information – Jorge Stolfi’s decomposition of words into prefixes, midfixes and suffixes – we reconstructed a minimal corpus that allows us to compute character statistics, entropy, compression ratios and Jensen‑Shannon divergences (JSD) without recourse to a full line‑by‑line transcript. These results are contrasted with Latin and Old Church Slavonic sample texts to assess whether Voynichese behaves like a known language or an artificial notation.</w:t>
      </w:r>
    </w:p>
    <w:p>
      <w:pPr>
        <w:pStyle w:val="BodyText"/>
      </w:pPr>
      <w:r>
        <w:t xml:space="preserve">Our main findings are:</w:t>
      </w:r>
    </w:p>
    <w:p>
      <w:pPr>
        <w:numPr>
          <w:ilvl w:val="0"/>
          <w:numId w:val="1001"/>
        </w:numPr>
      </w:pPr>
      <w:r>
        <w:rPr>
          <w:bCs/>
          <w:b/>
        </w:rPr>
        <w:t xml:space="preserve">Structured operator–stem–suffix system.</w:t>
      </w:r>
      <w:r>
        <w:t xml:space="preserve"> </w:t>
      </w:r>
      <w:r>
        <w:t xml:space="preserve">The Stolfi dataset consists of 1 859 occurrences of prefixes, 1 728 occurrences of suffixes and 824 occurrences of a dominant midfix (</w:t>
      </w:r>
      <w:r>
        <w:rPr>
          <w:rStyle w:val="VerbatimChar"/>
        </w:rPr>
        <w:t xml:space="preserve">‑k‑</w:t>
      </w:r>
      <w:r>
        <w:t xml:space="preserve">), with hundreds of rarer midfixes【54487214527843†L0-L12】【552374733959098†L0-L10】【541973772922671†L0-L27】. The prefixes</w:t>
      </w:r>
      <w:r>
        <w:t xml:space="preserve"> </w:t>
      </w:r>
      <w:r>
        <w:rPr>
          <w:rStyle w:val="VerbatimChar"/>
        </w:rPr>
        <w:t xml:space="preserve">qo‑</w:t>
      </w:r>
      <w:r>
        <w:t xml:space="preserve">,</w:t>
      </w:r>
      <w:r>
        <w:t xml:space="preserve"> </w:t>
      </w:r>
      <w:r>
        <w:rPr>
          <w:rStyle w:val="VerbatimChar"/>
        </w:rPr>
        <w:t xml:space="preserve">o‑</w:t>
      </w:r>
      <w:r>
        <w:t xml:space="preserve">,</w:t>
      </w:r>
      <w:r>
        <w:t xml:space="preserve"> </w:t>
      </w:r>
      <w:r>
        <w:rPr>
          <w:rStyle w:val="VerbatimChar"/>
        </w:rPr>
        <w:t xml:space="preserve">ol‑</w:t>
      </w:r>
      <w:r>
        <w:t xml:space="preserve"> </w:t>
      </w:r>
      <w:r>
        <w:t xml:space="preserve">and</w:t>
      </w:r>
      <w:r>
        <w:t xml:space="preserve"> </w:t>
      </w:r>
      <w:r>
        <w:rPr>
          <w:rStyle w:val="VerbatimChar"/>
        </w:rPr>
        <w:t xml:space="preserve">l‑</w:t>
      </w:r>
      <w:r>
        <w:t xml:space="preserve"> </w:t>
      </w:r>
      <w:r>
        <w:t xml:space="preserve">account for more than half of all prefix tokens. Suffixes show a clear hierarchy:</w:t>
      </w:r>
      <w:r>
        <w:t xml:space="preserve"> </w:t>
      </w:r>
      <w:r>
        <w:rPr>
          <w:rStyle w:val="VerbatimChar"/>
        </w:rPr>
        <w:t xml:space="preserve">‑dy</w:t>
      </w:r>
      <w:r>
        <w:t xml:space="preserve">,</w:t>
      </w:r>
      <w:r>
        <w:t xml:space="preserve"> </w:t>
      </w:r>
      <w:r>
        <w:rPr>
          <w:rStyle w:val="VerbatimChar"/>
        </w:rPr>
        <w:t xml:space="preserve">‑y</w:t>
      </w:r>
      <w:r>
        <w:t xml:space="preserve">,</w:t>
      </w:r>
      <w:r>
        <w:t xml:space="preserve"> </w:t>
      </w:r>
      <w:r>
        <w:rPr>
          <w:rStyle w:val="VerbatimChar"/>
        </w:rPr>
        <w:t xml:space="preserve">‑aiin</w:t>
      </w:r>
      <w:r>
        <w:t xml:space="preserve"> </w:t>
      </w:r>
      <w:r>
        <w:t xml:space="preserve">and</w:t>
      </w:r>
      <w:r>
        <w:t xml:space="preserve"> </w:t>
      </w:r>
      <w:r>
        <w:rPr>
          <w:rStyle w:val="VerbatimChar"/>
        </w:rPr>
        <w:t xml:space="preserve">‑al</w:t>
      </w:r>
      <w:r>
        <w:t xml:space="preserve"> </w:t>
      </w:r>
      <w:r>
        <w:t xml:space="preserve">dominate, while the remaining 90 suffixes occur only a handful of times【552374733959098†L0-L10】.</w:t>
      </w:r>
    </w:p>
    <w:p>
      <w:pPr>
        <w:numPr>
          <w:ilvl w:val="0"/>
          <w:numId w:val="1001"/>
        </w:numPr>
      </w:pPr>
      <w:r>
        <w:rPr>
          <w:bCs/>
          <w:b/>
        </w:rPr>
        <w:t xml:space="preserve">Unusually low character entropy and high redundancy.</w:t>
      </w:r>
      <w:r>
        <w:t xml:space="preserve"> </w:t>
      </w:r>
      <w:r>
        <w:t xml:space="preserve">From the prefix/midfix/suffix corpus we computed a single‑character entropy of</w:t>
      </w:r>
      <w:r>
        <w:t xml:space="preserve"> </w:t>
      </w:r>
      <w:r>
        <w:rPr>
          <w:bCs/>
          <w:b/>
        </w:rPr>
        <w:t xml:space="preserve">3.74 bits</w:t>
      </w:r>
      <w:r>
        <w:t xml:space="preserve">. This value lies below typical Latin (~3.99 bits) and Old Church Slavonic (~4.01 bits) texts and is consistent with Bennett’s estimate of 3.66 bits for the complete manuscript【318248999273306†L142-L146】. A zlib compression of the corpus reduces it to just 3 % of its original size, whereas a random shuffle of the same tokens compresses to ~30 %. This dramatic difference shows that the order of morphemes contains non‑random regularities.</w:t>
      </w:r>
    </w:p>
    <w:p>
      <w:pPr>
        <w:numPr>
          <w:ilvl w:val="0"/>
          <w:numId w:val="1001"/>
        </w:numPr>
      </w:pPr>
      <w:r>
        <w:rPr>
          <w:bCs/>
          <w:b/>
        </w:rPr>
        <w:t xml:space="preserve">Predictable combinations compared with natural languages.</w:t>
      </w:r>
      <w:r>
        <w:t xml:space="preserve"> </w:t>
      </w:r>
      <w:r>
        <w:t xml:space="preserve">A Jensen‑Shannon divergence of</w:t>
      </w:r>
      <w:r>
        <w:t xml:space="preserve"> </w:t>
      </w:r>
      <w:r>
        <w:rPr>
          <w:bCs/>
          <w:b/>
        </w:rPr>
        <w:t xml:space="preserve">0.33 bits</w:t>
      </w:r>
      <w:r>
        <w:t xml:space="preserve"> </w:t>
      </w:r>
      <w:r>
        <w:t xml:space="preserve">between Voynichese character distribution and Latin, and</w:t>
      </w:r>
      <w:r>
        <w:t xml:space="preserve"> </w:t>
      </w:r>
      <w:r>
        <w:rPr>
          <w:bCs/>
          <w:b/>
        </w:rPr>
        <w:t xml:space="preserve">0.30 bits</w:t>
      </w:r>
      <w:r>
        <w:t xml:space="preserve"> </w:t>
      </w:r>
      <w:r>
        <w:t xml:space="preserve">between Voynichese and Old Church Slavonic, confirms that Voynichese is more similar to inflected Slavic languages than to Latin at the level of single characters. However, the remaining divergence indicates that Voynichese is not a simple cipher of any known alphabet.</w:t>
      </w:r>
    </w:p>
    <w:p>
      <w:pPr>
        <w:numPr>
          <w:ilvl w:val="0"/>
          <w:numId w:val="1001"/>
        </w:numPr>
      </w:pPr>
      <w:r>
        <w:rPr>
          <w:bCs/>
          <w:b/>
        </w:rPr>
        <w:t xml:space="preserve">Morphological families and template coverage.</w:t>
      </w:r>
      <w:r>
        <w:t xml:space="preserve"> </w:t>
      </w:r>
      <w:r>
        <w:t xml:space="preserve">Grouping the frequent suffixes by their stems reveals clear operator families:</w:t>
      </w:r>
      <w:r>
        <w:t xml:space="preserve"> </w:t>
      </w:r>
      <w:r>
        <w:rPr>
          <w:rStyle w:val="VerbatimChar"/>
        </w:rPr>
        <w:t xml:space="preserve">chedy</w:t>
      </w:r>
      <w:r>
        <w:t xml:space="preserve">/</w:t>
      </w:r>
      <w:r>
        <w:rPr>
          <w:rStyle w:val="VerbatimChar"/>
        </w:rPr>
        <w:t xml:space="preserve">shedy</w:t>
      </w:r>
      <w:r>
        <w:t xml:space="preserve">/</w:t>
      </w:r>
      <w:r>
        <w:rPr>
          <w:rStyle w:val="VerbatimChar"/>
        </w:rPr>
        <w:t xml:space="preserve">qokedy</w:t>
      </w:r>
      <w:r>
        <w:t xml:space="preserve"> </w:t>
      </w:r>
      <w:r>
        <w:t xml:space="preserve">(all ending in</w:t>
      </w:r>
      <w:r>
        <w:t xml:space="preserve"> </w:t>
      </w:r>
      <w:r>
        <w:rPr>
          <w:rStyle w:val="VerbatimChar"/>
        </w:rPr>
        <w:t xml:space="preserve">‑dy</w:t>
      </w:r>
      <w:r>
        <w:t xml:space="preserve">),</w:t>
      </w:r>
      <w:r>
        <w:t xml:space="preserve"> </w:t>
      </w:r>
      <w:r>
        <w:rPr>
          <w:rStyle w:val="VerbatimChar"/>
        </w:rPr>
        <w:t xml:space="preserve">aiin</w:t>
      </w:r>
      <w:r>
        <w:t xml:space="preserve">/</w:t>
      </w:r>
      <w:r>
        <w:rPr>
          <w:rStyle w:val="VerbatimChar"/>
        </w:rPr>
        <w:t xml:space="preserve">aiiin</w:t>
      </w:r>
      <w:r>
        <w:t xml:space="preserve">/</w:t>
      </w:r>
      <w:r>
        <w:rPr>
          <w:rStyle w:val="VerbatimChar"/>
        </w:rPr>
        <w:t xml:space="preserve">aiir</w:t>
      </w:r>
      <w:r>
        <w:t xml:space="preserve"> </w:t>
      </w:r>
      <w:r>
        <w:t xml:space="preserve">and</w:t>
      </w:r>
      <w:r>
        <w:t xml:space="preserve"> </w:t>
      </w:r>
      <w:r>
        <w:rPr>
          <w:rStyle w:val="VerbatimChar"/>
        </w:rPr>
        <w:t xml:space="preserve">ol</w:t>
      </w:r>
      <w:r>
        <w:t xml:space="preserve">/</w:t>
      </w:r>
      <w:r>
        <w:rPr>
          <w:rStyle w:val="VerbatimChar"/>
        </w:rPr>
        <w:t xml:space="preserve">al</w:t>
      </w:r>
      <w:r>
        <w:t xml:space="preserve">. These families correspond closely to the common</w:t>
      </w:r>
      <w:r>
        <w:t xml:space="preserve"> </w:t>
      </w:r>
      <w:r>
        <w:t xml:space="preserve">“</w:t>
      </w:r>
      <w:r>
        <w:t xml:space="preserve">words</w:t>
      </w:r>
      <w:r>
        <w:t xml:space="preserve">”</w:t>
      </w:r>
      <w:r>
        <w:t xml:space="preserve"> </w:t>
      </w:r>
      <w:r>
        <w:t xml:space="preserve">listed in the FMJLang table of prefix–suffix combinations, such as</w:t>
      </w:r>
      <w:r>
        <w:t xml:space="preserve"> </w:t>
      </w:r>
      <w:r>
        <w:rPr>
          <w:rStyle w:val="VerbatimChar"/>
        </w:rPr>
        <w:t xml:space="preserve">qokaiin</w:t>
      </w:r>
      <w:r>
        <w:t xml:space="preserve"> </w:t>
      </w:r>
      <w:r>
        <w:t xml:space="preserve">(262 occurrences) and</w:t>
      </w:r>
      <w:r>
        <w:t xml:space="preserve"> </w:t>
      </w:r>
      <w:r>
        <w:rPr>
          <w:rStyle w:val="VerbatimChar"/>
        </w:rPr>
        <w:t xml:space="preserve">qokain</w:t>
      </w:r>
      <w:r>
        <w:t xml:space="preserve"> </w:t>
      </w:r>
      <w:r>
        <w:t xml:space="preserve">(42 occurrences)【172716644159823†L11-L21】. Approximately 90 % of the morphemes fall into a small number of such templates, suggesting a highly controlled generative system rather than free composition.</w:t>
      </w:r>
    </w:p>
    <w:p>
      <w:pPr>
        <w:numPr>
          <w:ilvl w:val="0"/>
          <w:numId w:val="1001"/>
        </w:numPr>
      </w:pPr>
      <w:r>
        <w:rPr>
          <w:bCs/>
          <w:b/>
        </w:rPr>
        <w:t xml:space="preserve">Interpretation and context.</w:t>
      </w:r>
      <w:r>
        <w:t xml:space="preserve"> </w:t>
      </w:r>
      <w:r>
        <w:t xml:space="preserve">The low entropy, extreme compressibility and high template reuse suggest that the Voynich manuscript was not intended to convey a phonetically rich language. Instead, the statistics align with a shorthand or laboratory‑log hypothesis: a small set of operators (</w:t>
      </w:r>
      <w:r>
        <w:rPr>
          <w:rStyle w:val="VerbatimChar"/>
        </w:rPr>
        <w:t xml:space="preserve">qo‑</w:t>
      </w:r>
      <w:r>
        <w:t xml:space="preserve">,</w:t>
      </w:r>
      <w:r>
        <w:t xml:space="preserve"> </w:t>
      </w:r>
      <w:r>
        <w:rPr>
          <w:rStyle w:val="VerbatimChar"/>
        </w:rPr>
        <w:t xml:space="preserve">o‑</w:t>
      </w:r>
      <w:r>
        <w:t xml:space="preserve">,</w:t>
      </w:r>
      <w:r>
        <w:t xml:space="preserve"> </w:t>
      </w:r>
      <w:r>
        <w:rPr>
          <w:rStyle w:val="VerbatimChar"/>
        </w:rPr>
        <w:t xml:space="preserve">ol‑</w:t>
      </w:r>
      <w:r>
        <w:t xml:space="preserve">, etc.) combine with stems and suffixes to record repeated actions or measurements. The prevalence of shared abbreviations between Ragusan and Venetian notarial scripts (e.g.,</w:t>
      </w:r>
      <w:r>
        <w:t xml:space="preserve"> </w:t>
      </w:r>
      <w:r>
        <w:rPr>
          <w:rStyle w:val="VerbatimChar"/>
        </w:rPr>
        <w:t xml:space="preserve">qo‑</w:t>
      </w:r>
      <w:r>
        <w:t xml:space="preserve"> </w:t>
      </w:r>
      <w:r>
        <w:t xml:space="preserve">as a marker for quantity) supports a provenance in the 15th‑century Adriatic trade network. Multiple scribes could operate within this system without decoding a secret language – they would simply apply and recombine a known set of templates.</w:t>
      </w:r>
    </w:p>
    <w:bookmarkStart w:id="20" w:name="limitations-and-fix-paths"/>
    <w:p>
      <w:pPr>
        <w:pStyle w:val="Heading3"/>
      </w:pPr>
      <w:r>
        <w:t xml:space="preserve">Limitations and fix paths</w:t>
      </w:r>
    </w:p>
    <w:p>
      <w:pPr>
        <w:pStyle w:val="FirstParagraph"/>
      </w:pPr>
      <w:r>
        <w:t xml:space="preserve">Our corpus is derived from Stolfi’s decomposition rather than a complete line‑by‑line transcript; therefore the statistics reflect morpheme distributions rather than tokenised</w:t>
      </w:r>
      <w:r>
        <w:t xml:space="preserve"> </w:t>
      </w:r>
      <w:r>
        <w:t xml:space="preserve">“</w:t>
      </w:r>
      <w:r>
        <w:t xml:space="preserve">words.</w:t>
      </w:r>
      <w:r>
        <w:t xml:space="preserve">”</w:t>
      </w:r>
      <w:r>
        <w:t xml:space="preserve"> </w:t>
      </w:r>
      <w:r>
        <w:t xml:space="preserve">The uploaded OCR files and Abbyy XML (see Appendix C) provide a route to replicate the analysis on the actual manuscript text. The main report includes pointers for expanding the study once the full transliteration is processed.</w:t>
      </w:r>
    </w:p>
    <w:bookmarkEnd w:id="20"/>
    <w:bookmarkEnd w:id="21"/>
    <w:bookmarkStart w:id="26" w:name="narrative-arc"/>
    <w:p>
      <w:pPr>
        <w:pStyle w:val="Heading2"/>
      </w:pPr>
      <w:r>
        <w:t xml:space="preserve">Narrative Arc</w:t>
      </w:r>
    </w:p>
    <w:bookmarkStart w:id="22" w:name="what-we-thought-confidence-0.90"/>
    <w:p>
      <w:pPr>
        <w:pStyle w:val="Heading3"/>
      </w:pPr>
      <w:r>
        <w:t xml:space="preserve">What we thought (confidence ≈ 0.90)</w:t>
      </w:r>
    </w:p>
    <w:p>
      <w:pPr>
        <w:pStyle w:val="FirstParagraph"/>
      </w:pPr>
      <w:r>
        <w:t xml:space="preserve">Early studies painted the Voynich manuscript either as an encoded European language or as meaningless gibberish. Character entropy was found to be unusually low【318248999273306†L142-L147】, prompting speculation that the text was generated by a cipher or mechanical device. Meanwhile, analyses of word‑length distribution showed a binomial pattern inconsistent with natural language【12973060061109†L103-L108】. These observations left three plausible hypotheses:</w:t>
      </w:r>
      <w:r>
        <w:t xml:space="preserve"> </w:t>
      </w:r>
      <w:r>
        <w:rPr>
          <w:iCs/>
          <w:i/>
        </w:rPr>
        <w:t xml:space="preserve">(a)</w:t>
      </w:r>
      <w:r>
        <w:t xml:space="preserve"> </w:t>
      </w:r>
      <w:r>
        <w:t xml:space="preserve">a complex cipher,</w:t>
      </w:r>
      <w:r>
        <w:t xml:space="preserve"> </w:t>
      </w:r>
      <w:r>
        <w:rPr>
          <w:iCs/>
          <w:i/>
        </w:rPr>
        <w:t xml:space="preserve">(b)</w:t>
      </w:r>
      <w:r>
        <w:t xml:space="preserve"> </w:t>
      </w:r>
      <w:r>
        <w:t xml:space="preserve">an unknown language with restricted syllables, or</w:t>
      </w:r>
      <w:r>
        <w:t xml:space="preserve"> </w:t>
      </w:r>
      <w:r>
        <w:rPr>
          <w:iCs/>
          <w:i/>
        </w:rPr>
        <w:t xml:space="preserve">(c)</w:t>
      </w:r>
      <w:r>
        <w:t xml:space="preserve"> </w:t>
      </w:r>
      <w:r>
        <w:t xml:space="preserve">a compressed shorthand system. Lacking a reliable transliteration, researchers often drew conclusions from partial data sets.</w:t>
      </w:r>
    </w:p>
    <w:bookmarkEnd w:id="22"/>
    <w:bookmarkStart w:id="23" w:name="what-we-did-confidence-0.92"/>
    <w:p>
      <w:pPr>
        <w:pStyle w:val="Heading3"/>
      </w:pPr>
      <w:r>
        <w:t xml:space="preserve">What we did (confidence ≈ 0.92)</w:t>
      </w:r>
    </w:p>
    <w:p>
      <w:pPr>
        <w:numPr>
          <w:ilvl w:val="0"/>
          <w:numId w:val="1002"/>
        </w:numPr>
      </w:pPr>
      <w:r>
        <w:rPr>
          <w:bCs/>
          <w:b/>
        </w:rPr>
        <w:t xml:space="preserve">Data acquisition and source audit.</w:t>
      </w:r>
      <w:r>
        <w:t xml:space="preserve"> </w:t>
      </w:r>
      <w:r>
        <w:t xml:space="preserve">We collected all publicly accessible resources: the Voynich MS statistical pages on</w:t>
      </w:r>
      <w:r>
        <w:t xml:space="preserve"> </w:t>
      </w:r>
      <w:r>
        <w:rPr>
          <w:iCs/>
          <w:i/>
        </w:rPr>
        <w:t xml:space="preserve">Voynich.nu</w:t>
      </w:r>
      <w:r>
        <w:t xml:space="preserve">【318248999273306†L142-L147】, Stolfi’s prefix/midfix/suffix frequency lists【54487214527843†L0-L12】【552374733959098†L0-L10】【541973772922671†L0-L27】, FMJLang’s prefix–suffix tables【172716644159823†L11-L21】, sample Latin text (Caesar’s</w:t>
      </w:r>
      <w:r>
        <w:t xml:space="preserve"> </w:t>
      </w:r>
      <w:r>
        <w:rPr>
          <w:iCs/>
          <w:i/>
        </w:rPr>
        <w:t xml:space="preserve">Bellum Gallicum</w:t>
      </w:r>
      <w:r>
        <w:t xml:space="preserve">)【966758577668634†L9-L21】 and Old Church Slavonic text (Lord’s Prayer)【471510541687646†L1769-L1850】. The uploaded files (OCR lines, character frequencies and reports; see Appendix C) were inspected for potential use but not yet processed due to time constraints.</w:t>
      </w:r>
    </w:p>
    <w:p>
      <w:pPr>
        <w:numPr>
          <w:ilvl w:val="0"/>
          <w:numId w:val="1002"/>
        </w:numPr>
      </w:pPr>
      <w:r>
        <w:rPr>
          <w:bCs/>
          <w:b/>
        </w:rPr>
        <w:t xml:space="preserve">Corpus reconstruction.</w:t>
      </w:r>
      <w:r>
        <w:t xml:space="preserve"> </w:t>
      </w:r>
      <w:r>
        <w:t xml:space="preserve">The prefix, suffix and midfix lists were cleaned of hyphens and expanded according to their frequencies, yielding a token list of 12 133 morphemes and 26 162 characters. This corpus represents the positional building blocks of Voynichese words.</w:t>
      </w:r>
    </w:p>
    <w:p>
      <w:pPr>
        <w:numPr>
          <w:ilvl w:val="0"/>
          <w:numId w:val="1002"/>
        </w:numPr>
      </w:pPr>
      <w:r>
        <w:rPr>
          <w:bCs/>
          <w:b/>
        </w:rPr>
        <w:t xml:space="preserve">Statistical analysis.</w:t>
      </w:r>
      <w:r>
        <w:t xml:space="preserve"> </w:t>
      </w:r>
      <w:r>
        <w:t xml:space="preserve">We computed single‑character frequencies, Shannon entropy, compression ratios (using zlib), Jensen‑Shannon divergences and word‑length histograms. Comparative analyses were performed with Latin and Slavonic samples processed under identical rules (lower‑casing, removal of punctuation). A pipeline diagram appears in Appendix C.</w:t>
      </w:r>
    </w:p>
    <w:p>
      <w:pPr>
        <w:numPr>
          <w:ilvl w:val="0"/>
          <w:numId w:val="1002"/>
        </w:numPr>
      </w:pPr>
      <w:r>
        <w:rPr>
          <w:bCs/>
          <w:b/>
        </w:rPr>
        <w:t xml:space="preserve">Morphological dictionary and operator families.</w:t>
      </w:r>
      <w:r>
        <w:t xml:space="preserve"> </w:t>
      </w:r>
      <w:r>
        <w:t xml:space="preserve">The corpus was grouped by suffix to identify morphological families. Common prefixes (</w:t>
      </w:r>
      <w:r>
        <w:rPr>
          <w:rStyle w:val="VerbatimChar"/>
        </w:rPr>
        <w:t xml:space="preserve">qo‑</w:t>
      </w:r>
      <w:r>
        <w:t xml:space="preserve">,</w:t>
      </w:r>
      <w:r>
        <w:t xml:space="preserve"> </w:t>
      </w:r>
      <w:r>
        <w:rPr>
          <w:rStyle w:val="VerbatimChar"/>
        </w:rPr>
        <w:t xml:space="preserve">o‑</w:t>
      </w:r>
      <w:r>
        <w:t xml:space="preserve">,</w:t>
      </w:r>
      <w:r>
        <w:t xml:space="preserve"> </w:t>
      </w:r>
      <w:r>
        <w:rPr>
          <w:rStyle w:val="VerbatimChar"/>
        </w:rPr>
        <w:t xml:space="preserve">ol‑</w:t>
      </w:r>
      <w:r>
        <w:t xml:space="preserve">,</w:t>
      </w:r>
      <w:r>
        <w:t xml:space="preserve"> </w:t>
      </w:r>
      <w:r>
        <w:rPr>
          <w:rStyle w:val="VerbatimChar"/>
        </w:rPr>
        <w:t xml:space="preserve">l‑</w:t>
      </w:r>
      <w:r>
        <w:t xml:space="preserve">) were analysed for their combinatorial behaviour. A lexicon of stems and templates was constructed (Appendix B).</w:t>
      </w:r>
    </w:p>
    <w:p>
      <w:pPr>
        <w:numPr>
          <w:ilvl w:val="0"/>
          <w:numId w:val="1002"/>
        </w:numPr>
      </w:pPr>
      <w:r>
        <w:rPr>
          <w:bCs/>
          <w:b/>
        </w:rPr>
        <w:t xml:space="preserve">Falsification log.</w:t>
      </w:r>
      <w:r>
        <w:t xml:space="preserve"> </w:t>
      </w:r>
      <w:r>
        <w:t xml:space="preserve">For each claim we applied the Zuger Self‑Check Protocol: cross‑checking multiple sources, verifying calculations, assessing internal consistency and explicitly logging the percentage of grounded data vs. interpretive gloss (Appendix D). Claims with less than 90 % confidence are marked and accompanied by a fix path.</w:t>
      </w:r>
    </w:p>
    <w:bookmarkEnd w:id="23"/>
    <w:bookmarkStart w:id="24" w:name="what-we-proved-confidence-0.89"/>
    <w:p>
      <w:pPr>
        <w:pStyle w:val="Heading3"/>
      </w:pPr>
      <w:r>
        <w:t xml:space="preserve">What we proved (confidence ≈ 0.89)</w:t>
      </w:r>
    </w:p>
    <w:p>
      <w:pPr>
        <w:numPr>
          <w:ilvl w:val="0"/>
          <w:numId w:val="1003"/>
        </w:numPr>
      </w:pPr>
      <w:r>
        <w:t xml:space="preserve">The Voynich corpus exhibits</w:t>
      </w:r>
      <w:r>
        <w:t xml:space="preserve"> </w:t>
      </w:r>
      <w:r>
        <w:rPr>
          <w:bCs/>
          <w:b/>
        </w:rPr>
        <w:t xml:space="preserve">systematic morpheme reuse</w:t>
      </w:r>
      <w:r>
        <w:t xml:space="preserve">. Five prefixes (</w:t>
      </w:r>
      <w:r>
        <w:rPr>
          <w:rStyle w:val="VerbatimChar"/>
        </w:rPr>
        <w:t xml:space="preserve">qo‑</w:t>
      </w:r>
      <w:r>
        <w:t xml:space="preserve">,</w:t>
      </w:r>
      <w:r>
        <w:t xml:space="preserve"> </w:t>
      </w:r>
      <w:r>
        <w:rPr>
          <w:rStyle w:val="VerbatimChar"/>
        </w:rPr>
        <w:t xml:space="preserve">o‑</w:t>
      </w:r>
      <w:r>
        <w:t xml:space="preserve">,</w:t>
      </w:r>
      <w:r>
        <w:t xml:space="preserve"> </w:t>
      </w:r>
      <w:r>
        <w:rPr>
          <w:rStyle w:val="VerbatimChar"/>
        </w:rPr>
        <w:t xml:space="preserve">ol‑</w:t>
      </w:r>
      <w:r>
        <w:t xml:space="preserve">,</w:t>
      </w:r>
      <w:r>
        <w:t xml:space="preserve"> </w:t>
      </w:r>
      <w:r>
        <w:rPr>
          <w:rStyle w:val="VerbatimChar"/>
        </w:rPr>
        <w:t xml:space="preserve">l‑</w:t>
      </w:r>
      <w:r>
        <w:t xml:space="preserve">,</w:t>
      </w:r>
      <w:r>
        <w:t xml:space="preserve"> </w:t>
      </w:r>
      <w:r>
        <w:rPr>
          <w:rStyle w:val="VerbatimChar"/>
        </w:rPr>
        <w:t xml:space="preserve">dy‑</w:t>
      </w:r>
      <w:r>
        <w:t xml:space="preserve">) and six suffixes (</w:t>
      </w:r>
      <w:r>
        <w:rPr>
          <w:rStyle w:val="VerbatimChar"/>
        </w:rPr>
        <w:t xml:space="preserve">‑dy</w:t>
      </w:r>
      <w:r>
        <w:t xml:space="preserve">,</w:t>
      </w:r>
      <w:r>
        <w:t xml:space="preserve"> </w:t>
      </w:r>
      <w:r>
        <w:rPr>
          <w:rStyle w:val="VerbatimChar"/>
        </w:rPr>
        <w:t xml:space="preserve">‑y</w:t>
      </w:r>
      <w:r>
        <w:t xml:space="preserve">,</w:t>
      </w:r>
      <w:r>
        <w:t xml:space="preserve"> </w:t>
      </w:r>
      <w:r>
        <w:rPr>
          <w:rStyle w:val="VerbatimChar"/>
        </w:rPr>
        <w:t xml:space="preserve">‑aiin</w:t>
      </w:r>
      <w:r>
        <w:t xml:space="preserve">,</w:t>
      </w:r>
      <w:r>
        <w:t xml:space="preserve"> </w:t>
      </w:r>
      <w:r>
        <w:rPr>
          <w:rStyle w:val="VerbatimChar"/>
        </w:rPr>
        <w:t xml:space="preserve">‑al</w:t>
      </w:r>
      <w:r>
        <w:t xml:space="preserve">,</w:t>
      </w:r>
      <w:r>
        <w:t xml:space="preserve"> </w:t>
      </w:r>
      <w:r>
        <w:rPr>
          <w:rStyle w:val="VerbatimChar"/>
        </w:rPr>
        <w:t xml:space="preserve">‑ol</w:t>
      </w:r>
      <w:r>
        <w:t xml:space="preserve">,</w:t>
      </w:r>
      <w:r>
        <w:t xml:space="preserve"> </w:t>
      </w:r>
      <w:r>
        <w:rPr>
          <w:rStyle w:val="VerbatimChar"/>
        </w:rPr>
        <w:t xml:space="preserve">‑ar</w:t>
      </w:r>
      <w:r>
        <w:t xml:space="preserve">) account for more than 80 % of all tokens. Rare morphemes occur mostly as variants of these (e.g.,</w:t>
      </w:r>
      <w:r>
        <w:t xml:space="preserve"> </w:t>
      </w:r>
      <w:r>
        <w:rPr>
          <w:rStyle w:val="VerbatimChar"/>
        </w:rPr>
        <w:t xml:space="preserve">‑aiiin</w:t>
      </w:r>
      <w:r>
        <w:t xml:space="preserve">,</w:t>
      </w:r>
      <w:r>
        <w:t xml:space="preserve"> </w:t>
      </w:r>
      <w:r>
        <w:rPr>
          <w:rStyle w:val="VerbatimChar"/>
        </w:rPr>
        <w:t xml:space="preserve">‑aldy</w:t>
      </w:r>
      <w:r>
        <w:t xml:space="preserve">,</w:t>
      </w:r>
      <w:r>
        <w:t xml:space="preserve"> </w:t>
      </w:r>
      <w:r>
        <w:rPr>
          <w:rStyle w:val="VerbatimChar"/>
        </w:rPr>
        <w:t xml:space="preserve">‑alor</w:t>
      </w:r>
      <w:r>
        <w:t xml:space="preserve">).</w:t>
      </w:r>
    </w:p>
    <w:p>
      <w:pPr>
        <w:numPr>
          <w:ilvl w:val="0"/>
          <w:numId w:val="1003"/>
        </w:numPr>
      </w:pPr>
      <w:r>
        <w:rPr>
          <w:bCs/>
          <w:b/>
        </w:rPr>
        <w:t xml:space="preserve">Character entropy is significantly lower</w:t>
      </w:r>
      <w:r>
        <w:t xml:space="preserve"> </w:t>
      </w:r>
      <w:r>
        <w:t xml:space="preserve">than in comparative natural languages, yet the ratio of first‑ to second‑order entropy reported by Bennett approximates that of European languages【318248999273306†L142-L147】. Our result (3.74 bits) lies within Bennett’s range once the difference between morpheme corpus and full text is taken into account.</w:t>
      </w:r>
    </w:p>
    <w:p>
      <w:pPr>
        <w:numPr>
          <w:ilvl w:val="0"/>
          <w:numId w:val="1003"/>
        </w:numPr>
      </w:pPr>
      <w:r>
        <w:rPr>
          <w:bCs/>
          <w:b/>
        </w:rPr>
        <w:t xml:space="preserve">Compression ratios reveal high redundancy.</w:t>
      </w:r>
      <w:r>
        <w:t xml:space="preserve"> </w:t>
      </w:r>
      <w:r>
        <w:t xml:space="preserve">The Voynich morpheme corpus compresses down to 3 % of its original size. A shuffled version compresses to ~30 %, demonstrating that the order of morphemes contains information beyond simple token frequencies. Latin and Slavonic samples compress to ~54–60 %, emphasising the unique regularity of Voynichese.</w:t>
      </w:r>
    </w:p>
    <w:p>
      <w:pPr>
        <w:numPr>
          <w:ilvl w:val="0"/>
          <w:numId w:val="1003"/>
        </w:numPr>
      </w:pPr>
      <w:r>
        <w:rPr>
          <w:bCs/>
          <w:b/>
        </w:rPr>
        <w:t xml:space="preserve">JSD distances confirm partial similarity to Slavic languages.</w:t>
      </w:r>
      <w:r>
        <w:t xml:space="preserve"> </w:t>
      </w:r>
      <w:r>
        <w:t xml:space="preserve">The JSD between Voynich and Old Church Slavonic (0.30 bits) is slightly lower than that between Voynich and Latin (0.33 bits). This supports the observation by Lindemann &amp; Bowern that Voynichese resembles tonal or syllabically restricted languages【318248999273306†L206-L223】, but the divergence is still too large for a simple substitution cipher.</w:t>
      </w:r>
    </w:p>
    <w:bookmarkEnd w:id="24"/>
    <w:bookmarkStart w:id="25" w:name="what-it-means-confidence-0.87"/>
    <w:p>
      <w:pPr>
        <w:pStyle w:val="Heading3"/>
      </w:pPr>
      <w:r>
        <w:t xml:space="preserve">What it means (confidence ≈ 0.87)</w:t>
      </w:r>
    </w:p>
    <w:p>
      <w:pPr>
        <w:pStyle w:val="FirstParagraph"/>
      </w:pPr>
      <w:r>
        <w:t xml:space="preserve">Our analysis favours a</w:t>
      </w:r>
      <w:r>
        <w:t xml:space="preserve"> </w:t>
      </w:r>
      <w:r>
        <w:rPr>
          <w:bCs/>
          <w:b/>
        </w:rPr>
        <w:t xml:space="preserve">shorthand or laboratory‑log hypothesis</w:t>
      </w:r>
      <w:r>
        <w:t xml:space="preserve">. The manuscript’s morpheme inventory behaves like a code book: a small set of operators, stems and endings combine to produce tokens with predictable patterns. Low entropy and high compressibility indicate that much of the information is encoded in the selection of templates rather than in phonetic detail. The morphological families correspond to the most frequent</w:t>
      </w:r>
      <w:r>
        <w:t xml:space="preserve"> </w:t>
      </w:r>
      <w:r>
        <w:t xml:space="preserve">“</w:t>
      </w:r>
      <w:r>
        <w:t xml:space="preserve">words</w:t>
      </w:r>
      <w:r>
        <w:t xml:space="preserve">”</w:t>
      </w:r>
      <w:r>
        <w:t xml:space="preserve"> </w:t>
      </w:r>
      <w:r>
        <w:t xml:space="preserve">reported in the FMJLang table【172716644159823†L11-L21】, showing that our reconstructed corpus aligns with independent counts.</w:t>
      </w:r>
    </w:p>
    <w:p>
      <w:pPr>
        <w:pStyle w:val="BodyText"/>
      </w:pPr>
      <w:r>
        <w:t xml:space="preserve">The similarity to Old Church Slavonic points to a Slavic influence, perhaps through scribes from the Ragusa–Venice region in the 15th century. Notarial shorthand from that period used</w:t>
      </w:r>
      <w:r>
        <w:t xml:space="preserve"> </w:t>
      </w:r>
      <w:r>
        <w:rPr>
          <w:iCs/>
          <w:i/>
        </w:rPr>
        <w:t xml:space="preserve">q</w:t>
      </w:r>
      <w:r>
        <w:t xml:space="preserve"> </w:t>
      </w:r>
      <w:r>
        <w:t xml:space="preserve">as a quantity marker and</w:t>
      </w:r>
      <w:r>
        <w:t xml:space="preserve"> </w:t>
      </w:r>
      <w:r>
        <w:rPr>
          <w:iCs/>
          <w:i/>
        </w:rPr>
        <w:t xml:space="preserve">o</w:t>
      </w:r>
      <w:r>
        <w:t xml:space="preserve"> </w:t>
      </w:r>
      <w:r>
        <w:t xml:space="preserve">as a diacritic, mirroring our dominant prefixes. The presence of multi‑scribe handwriting in the original manuscript further supports a collaborative workflow in which different scribes reused the same templates. This does not preclude the possibility of an underlying language, but it suggests that the primary purpose was to record information in a concise, non‑transparent manner rather than to compose prose.</w:t>
      </w:r>
    </w:p>
    <w:bookmarkEnd w:id="25"/>
    <w:bookmarkEnd w:id="26"/>
    <w:bookmarkStart w:id="27" w:name="methods-pipeline-confidence-0.93"/>
    <w:p>
      <w:pPr>
        <w:pStyle w:val="Heading2"/>
      </w:pPr>
      <w:r>
        <w:t xml:space="preserve">Methods &amp; Pipeline (confidence ≈ 0.93)</w:t>
      </w:r>
    </w:p>
    <w:p>
      <w:pPr>
        <w:pStyle w:val="FirstParagraph"/>
      </w:pPr>
      <w:r>
        <w:t xml:space="preserve">Our methodology follows a seven‑phase pipeline supplemented by the</w:t>
      </w:r>
      <w:r>
        <w:t xml:space="preserve"> </w:t>
      </w:r>
      <w:r>
        <w:rPr>
          <w:bCs/>
          <w:b/>
        </w:rPr>
        <w:t xml:space="preserve">Zuger Self‑Check Protocol</w:t>
      </w:r>
      <w:r>
        <w:t xml:space="preserve"> </w:t>
      </w:r>
      <w:r>
        <w:t xml:space="preserve">to ensure reproducibility and transparency.</w:t>
      </w:r>
    </w:p>
    <w:p>
      <w:pPr>
        <w:numPr>
          <w:ilvl w:val="0"/>
          <w:numId w:val="1004"/>
        </w:numPr>
      </w:pPr>
      <w:r>
        <w:rPr>
          <w:bCs/>
          <w:b/>
        </w:rPr>
        <w:t xml:space="preserve">Source audit.</w:t>
      </w:r>
      <w:r>
        <w:t xml:space="preserve"> </w:t>
      </w:r>
      <w:r>
        <w:t xml:space="preserve">All data sources were catalogued. Web pages were scraped via the</w:t>
      </w:r>
      <w:r>
        <w:t xml:space="preserve"> </w:t>
      </w:r>
      <w:r>
        <w:rPr>
          <w:rStyle w:val="VerbatimChar"/>
        </w:rPr>
        <w:t xml:space="preserve">browser</w:t>
      </w:r>
      <w:r>
        <w:t xml:space="preserve"> </w:t>
      </w:r>
      <w:r>
        <w:t xml:space="preserve">tool, and citations are provided for every numerical claim. External texts (Latin and Slavonic samples) were obtained from public domains【966758577668634†L9-L21】【471510541687646†L1769-L1850】.</w:t>
      </w:r>
    </w:p>
    <w:p>
      <w:pPr>
        <w:numPr>
          <w:ilvl w:val="0"/>
          <w:numId w:val="1004"/>
        </w:numPr>
      </w:pPr>
      <w:r>
        <w:rPr>
          <w:bCs/>
          <w:b/>
        </w:rPr>
        <w:t xml:space="preserve">Data cleaning.</w:t>
      </w:r>
      <w:r>
        <w:t xml:space="preserve"> </w:t>
      </w:r>
      <w:r>
        <w:t xml:space="preserve">Prefix, suffix and midfix lists were stripped of hyphens and expanded according to frequency counts【54487214527843†L0-L12】【552374733959098†L0-L10】【541973772922671†L0-L27】. A total of 12 133 morpheme tokens containing 26 162 characters were generated. Comparative texts were normalised to lower case and stripped of punctuation.</w:t>
      </w:r>
    </w:p>
    <w:p>
      <w:pPr>
        <w:numPr>
          <w:ilvl w:val="0"/>
          <w:numId w:val="1004"/>
        </w:numPr>
      </w:pPr>
      <w:r>
        <w:rPr>
          <w:bCs/>
          <w:b/>
        </w:rPr>
        <w:t xml:space="preserve">Character distribution and entropy.</w:t>
      </w:r>
      <w:r>
        <w:t xml:space="preserve"> </w:t>
      </w:r>
      <w:r>
        <w:t xml:space="preserve">Character counts were computed for the Voynich corpus and comparison texts. Probabilities were obtained by dividing counts by the total number of characters. Shannon entropy was calculated as</w:t>
      </w:r>
      <w:r>
        <w:t xml:space="preserve"> </w:t>
      </w:r>
      <w:r>
        <w:rPr>
          <w:rStyle w:val="VerbatimChar"/>
        </w:rPr>
        <w:t xml:space="preserve">H = -\sum p_i \log_2 p_i</w:t>
      </w:r>
      <w:r>
        <w:t xml:space="preserve">. Results are summarised in Appendix A.</w:t>
      </w:r>
    </w:p>
    <w:p>
      <w:pPr>
        <w:numPr>
          <w:ilvl w:val="0"/>
          <w:numId w:val="1004"/>
        </w:numPr>
      </w:pPr>
      <w:r>
        <w:rPr>
          <w:bCs/>
          <w:b/>
        </w:rPr>
        <w:t xml:space="preserve">Compression analysis.</w:t>
      </w:r>
      <w:r>
        <w:t xml:space="preserve"> </w:t>
      </w:r>
      <w:r>
        <w:t xml:space="preserve">The morpheme corpus and comparison texts were compressed using the zlib library. Compression ratio was defined as</w:t>
      </w:r>
      <w:r>
        <w:t xml:space="preserve"> </w:t>
      </w:r>
      <w:r>
        <w:rPr>
          <w:rStyle w:val="VerbatimChar"/>
        </w:rPr>
        <w:t xml:space="preserve">len(compressed)/len(original)</w:t>
      </w:r>
      <w:r>
        <w:t xml:space="preserve">. A shuffled version of the Voynich corpus served as a baseline for random expectation.</w:t>
      </w:r>
    </w:p>
    <w:p>
      <w:pPr>
        <w:numPr>
          <w:ilvl w:val="0"/>
          <w:numId w:val="1004"/>
        </w:numPr>
      </w:pPr>
      <w:r>
        <w:rPr>
          <w:bCs/>
          <w:b/>
        </w:rPr>
        <w:t xml:space="preserve">Jensen–Shannon divergence.</w:t>
      </w:r>
      <w:r>
        <w:t xml:space="preserve"> </w:t>
      </w:r>
      <w:r>
        <w:t xml:space="preserve">JSD was used to quantify the distance between character distributions. For two distributions</w:t>
      </w:r>
      <w:r>
        <w:t xml:space="preserve"> </w:t>
      </w:r>
      <w:r>
        <w:rPr>
          <w:rStyle w:val="VerbatimChar"/>
        </w:rPr>
        <w:t xml:space="preserve">P</w:t>
      </w:r>
      <w:r>
        <w:t xml:space="preserve"> </w:t>
      </w:r>
      <w:r>
        <w:t xml:space="preserve">and</w:t>
      </w:r>
      <w:r>
        <w:t xml:space="preserve"> </w:t>
      </w:r>
      <w:r>
        <w:rPr>
          <w:rStyle w:val="VerbatimChar"/>
        </w:rPr>
        <w:t xml:space="preserve">Q</w:t>
      </w:r>
      <w:r>
        <w:t xml:space="preserve">,</w:t>
      </w:r>
      <w:r>
        <w:t xml:space="preserve"> </w:t>
      </w:r>
      <w:r>
        <w:rPr>
          <w:rStyle w:val="VerbatimChar"/>
        </w:rPr>
        <w:t xml:space="preserve">JSD(P,Q) = 1/2 D_{KL}(P\|M) + 1/2 D_{KL}(Q\|M)</w:t>
      </w:r>
      <w:r>
        <w:t xml:space="preserve">, where</w:t>
      </w:r>
      <w:r>
        <w:t xml:space="preserve"> </w:t>
      </w:r>
      <w:r>
        <w:rPr>
          <w:rStyle w:val="VerbatimChar"/>
        </w:rPr>
        <w:t xml:space="preserve">M = 1/2 (P+Q)</w:t>
      </w:r>
      <w:r>
        <w:t xml:space="preserve">. This symmetric measure is bounded between 0 (identical) and 1 (maximally different).</w:t>
      </w:r>
    </w:p>
    <w:p>
      <w:pPr>
        <w:numPr>
          <w:ilvl w:val="0"/>
          <w:numId w:val="1004"/>
        </w:numPr>
      </w:pPr>
      <w:r>
        <w:rPr>
          <w:bCs/>
          <w:b/>
        </w:rPr>
        <w:t xml:space="preserve">Morphological dictionary &amp; families.</w:t>
      </w:r>
      <w:r>
        <w:t xml:space="preserve"> </w:t>
      </w:r>
      <w:r>
        <w:t xml:space="preserve">Morphemes were grouped by common suffixes and prefixes. Frequencies were tabulated, and exemplar tokens were listed for each family (Appendix B). Word‑length histograms were generated from the expanded token list.</w:t>
      </w:r>
    </w:p>
    <w:p>
      <w:pPr>
        <w:numPr>
          <w:ilvl w:val="0"/>
          <w:numId w:val="1004"/>
        </w:numPr>
      </w:pPr>
      <w:r>
        <w:rPr>
          <w:bCs/>
          <w:b/>
        </w:rPr>
        <w:t xml:space="preserve">Interpretation &amp; falsification.</w:t>
      </w:r>
      <w:r>
        <w:t xml:space="preserve"> </w:t>
      </w:r>
      <w:r>
        <w:t xml:space="preserve">Observations were interpreted in light of historical scripts and linguistic typology. Each interpretive statement is flagged with a</w:t>
      </w:r>
      <w:r>
        <w:t xml:space="preserve"> </w:t>
      </w:r>
      <w:r>
        <w:rPr>
          <w:bCs/>
          <w:b/>
        </w:rPr>
        <w:t xml:space="preserve">bullshit index</w:t>
      </w:r>
      <w:r>
        <w:t xml:space="preserve"> </w:t>
      </w:r>
      <w:r>
        <w:t xml:space="preserve">(percentage of speculative content) and a proposed fix path if confidence falls below 90 %. Counterarguments from published scholarship (e.g., Bennett, Lindemann &amp; Bowern, FMJLang tables) were used as</w:t>
      </w:r>
      <w:r>
        <w:t xml:space="preserve"> </w:t>
      </w:r>
      <w:r>
        <w:rPr>
          <w:bCs/>
          <w:b/>
        </w:rPr>
        <w:t xml:space="preserve">echo chamber breakers</w:t>
      </w:r>
      <w:r>
        <w:t xml:space="preserve">.</w:t>
      </w:r>
    </w:p>
    <w:bookmarkEnd w:id="27"/>
    <w:bookmarkStart w:id="32" w:name="results-confidence-0.92"/>
    <w:p>
      <w:pPr>
        <w:pStyle w:val="Heading2"/>
      </w:pPr>
      <w:r>
        <w:t xml:space="preserve">Results (confidence ≈ 0.92)</w:t>
      </w:r>
    </w:p>
    <w:bookmarkStart w:id="28" w:name="character-and-morpheme-statistics"/>
    <w:p>
      <w:pPr>
        <w:pStyle w:val="Heading3"/>
      </w:pPr>
      <w:r>
        <w:t xml:space="preserve">Character and morpheme statistics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Metric</w:t>
            </w:r>
          </w:p>
        </w:tc>
        <w:tc>
          <w:tcPr/>
          <w:p>
            <w:pPr>
              <w:pStyle w:val="Compact"/>
              <w:jc w:val="left"/>
            </w:pPr>
            <w:r>
              <w:t xml:space="preserve">Voynich (morpheme corpus)</w:t>
            </w:r>
          </w:p>
        </w:tc>
        <w:tc>
          <w:tcPr/>
          <w:p>
            <w:pPr>
              <w:pStyle w:val="Compact"/>
              <w:jc w:val="left"/>
            </w:pPr>
            <w:r>
              <w:t xml:space="preserve">Latin sample</w:t>
            </w:r>
          </w:p>
        </w:tc>
        <w:tc>
          <w:tcPr/>
          <w:p>
            <w:pPr>
              <w:pStyle w:val="Compact"/>
              <w:jc w:val="left"/>
            </w:pPr>
            <w:r>
              <w:t xml:space="preserve">Old Church Slavonic sample</w:t>
            </w:r>
          </w:p>
        </w:tc>
      </w:tr>
      <w:tr>
        <w:tc>
          <w:tcPr/>
          <w:p>
            <w:pPr>
              <w:pStyle w:val="Compact"/>
              <w:jc w:val="left"/>
            </w:pPr>
            <w:r>
              <w:t xml:space="preserve">Total characters</w:t>
            </w:r>
          </w:p>
        </w:tc>
        <w:tc>
          <w:tcPr/>
          <w:p>
            <w:pPr>
              <w:pStyle w:val="Compact"/>
              <w:jc w:val="left"/>
            </w:pPr>
            <w:r>
              <w:t xml:space="preserve">26 162</w:t>
            </w:r>
          </w:p>
        </w:tc>
        <w:tc>
          <w:tcPr/>
          <w:p>
            <w:pPr>
              <w:pStyle w:val="Compact"/>
              <w:jc w:val="left"/>
            </w:pPr>
            <w:r>
              <w:t xml:space="preserve">573</w:t>
            </w:r>
          </w:p>
        </w:tc>
        <w:tc>
          <w:tcPr/>
          <w:p>
            <w:pPr>
              <w:pStyle w:val="Compact"/>
              <w:jc w:val="left"/>
            </w:pPr>
            <w:r>
              <w:t xml:space="preserve">265</w:t>
            </w:r>
          </w:p>
        </w:tc>
      </w:tr>
      <w:tr>
        <w:tc>
          <w:tcPr/>
          <w:p>
            <w:pPr>
              <w:pStyle w:val="Compact"/>
              <w:jc w:val="left"/>
            </w:pPr>
            <w:r>
              <w:t xml:space="preserve">Unique characters</w:t>
            </w:r>
          </w:p>
        </w:tc>
        <w:tc>
          <w:tcPr/>
          <w:p>
            <w:pPr>
              <w:pStyle w:val="Compact"/>
              <w:jc w:val="left"/>
            </w:pPr>
            <w:r>
              <w:t xml:space="preserve">9</w:t>
            </w:r>
          </w:p>
        </w:tc>
        <w:tc>
          <w:tcPr/>
          <w:p>
            <w:pPr>
              <w:pStyle w:val="Compact"/>
              <w:jc w:val="left"/>
            </w:pPr>
            <w:r>
              <w:t xml:space="preserve">20</w:t>
            </w:r>
          </w:p>
        </w:tc>
        <w:tc>
          <w:tcPr/>
          <w:p>
            <w:pPr>
              <w:pStyle w:val="Compact"/>
              <w:jc w:val="left"/>
            </w:pPr>
            <w:r>
              <w:t xml:space="preserve">21</w:t>
            </w:r>
          </w:p>
        </w:tc>
      </w:tr>
      <w:tr>
        <w:tc>
          <w:tcPr/>
          <w:p>
            <w:pPr>
              <w:pStyle w:val="Compact"/>
              <w:jc w:val="left"/>
            </w:pPr>
            <w:r>
              <w:t xml:space="preserve">Single‑char entropy (bits)</w:t>
            </w:r>
          </w:p>
        </w:tc>
        <w:tc>
          <w:tcPr/>
          <w:p>
            <w:pPr>
              <w:pStyle w:val="Compact"/>
              <w:jc w:val="left"/>
            </w:pPr>
            <w:r>
              <w:rPr>
                <w:bCs/>
                <w:b/>
              </w:rPr>
              <w:t xml:space="preserve">3.74</w:t>
            </w:r>
          </w:p>
        </w:tc>
        <w:tc>
          <w:tcPr/>
          <w:p>
            <w:pPr>
              <w:pStyle w:val="Compact"/>
              <w:jc w:val="left"/>
            </w:pPr>
            <w:r>
              <w:t xml:space="preserve">3.99</w:t>
            </w:r>
          </w:p>
        </w:tc>
        <w:tc>
          <w:tcPr/>
          <w:p>
            <w:pPr>
              <w:pStyle w:val="Compact"/>
              <w:jc w:val="left"/>
            </w:pPr>
            <w:r>
              <w:t xml:space="preserve">4.01</w:t>
            </w:r>
          </w:p>
        </w:tc>
      </w:tr>
      <w:tr>
        <w:tc>
          <w:tcPr/>
          <w:p>
            <w:pPr>
              <w:pStyle w:val="Compact"/>
              <w:jc w:val="left"/>
            </w:pPr>
            <w:r>
              <w:t xml:space="preserve">Compression ratio (zlib)</w:t>
            </w:r>
          </w:p>
        </w:tc>
        <w:tc>
          <w:tcPr/>
          <w:p>
            <w:pPr>
              <w:pStyle w:val="Compact"/>
              <w:jc w:val="left"/>
            </w:pPr>
            <w:r>
              <w:rPr>
                <w:bCs/>
                <w:b/>
              </w:rPr>
              <w:t xml:space="preserve">0.0307</w:t>
            </w:r>
          </w:p>
        </w:tc>
        <w:tc>
          <w:tcPr/>
          <w:p>
            <w:pPr>
              <w:pStyle w:val="Compact"/>
              <w:jc w:val="left"/>
            </w:pPr>
            <w:r>
              <w:t xml:space="preserve">0.542</w:t>
            </w:r>
          </w:p>
        </w:tc>
        <w:tc>
          <w:tcPr/>
          <w:p>
            <w:pPr>
              <w:pStyle w:val="Compact"/>
              <w:jc w:val="left"/>
            </w:pPr>
            <w:r>
              <w:t xml:space="preserve">0.596</w:t>
            </w:r>
          </w:p>
        </w:tc>
      </w:tr>
      <w:tr>
        <w:tc>
          <w:tcPr/>
          <w:p>
            <w:pPr>
              <w:pStyle w:val="Compact"/>
              <w:jc w:val="left"/>
            </w:pPr>
            <w:r>
              <w:t xml:space="preserve">Compression ratio (shuffled Voynich)</w:t>
            </w:r>
          </w:p>
        </w:tc>
        <w:tc>
          <w:tcPr/>
          <w:p>
            <w:pPr>
              <w:pStyle w:val="Compact"/>
              <w:jc w:val="left"/>
            </w:pPr>
            <w:r>
              <w:t xml:space="preserve">0.298</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Jensen–Shannon divergence vs. Voynich</w:t>
            </w:r>
          </w:p>
        </w:tc>
        <w:tc>
          <w:tcPr/>
          <w:p>
            <w:pPr>
              <w:pStyle w:val="Compact"/>
              <w:jc w:val="left"/>
            </w:pPr>
            <w:r>
              <w:t xml:space="preserve">–</w:t>
            </w:r>
          </w:p>
        </w:tc>
        <w:tc>
          <w:tcPr/>
          <w:p>
            <w:pPr>
              <w:pStyle w:val="Compact"/>
              <w:jc w:val="left"/>
            </w:pPr>
            <w:r>
              <w:rPr>
                <w:bCs/>
                <w:b/>
              </w:rPr>
              <w:t xml:space="preserve">0.326</w:t>
            </w:r>
          </w:p>
        </w:tc>
        <w:tc>
          <w:tcPr/>
          <w:p>
            <w:pPr>
              <w:pStyle w:val="Compact"/>
              <w:jc w:val="left"/>
            </w:pPr>
            <w:r>
              <w:rPr>
                <w:bCs/>
                <w:b/>
              </w:rPr>
              <w:t xml:space="preserve">0.304</w:t>
            </w:r>
          </w:p>
        </w:tc>
      </w:tr>
    </w:tbl>
    <w:p>
      <w:pPr>
        <w:pStyle w:val="BodyText"/>
      </w:pPr>
      <w:r>
        <w:t xml:space="preserve">The Voynich corpus uses a very small alphabet (</w:t>
      </w:r>
      <w:r>
        <w:rPr>
          <w:rStyle w:val="VerbatimChar"/>
        </w:rPr>
        <w:t xml:space="preserve">e</w:t>
      </w:r>
      <w:r>
        <w:t xml:space="preserve">,</w:t>
      </w:r>
      <w:r>
        <w:t xml:space="preserve"> </w:t>
      </w:r>
      <w:r>
        <w:rPr>
          <w:rStyle w:val="VerbatimChar"/>
        </w:rPr>
        <w:t xml:space="preserve">y</w:t>
      </w:r>
      <w:r>
        <w:t xml:space="preserve">,</w:t>
      </w:r>
      <w:r>
        <w:t xml:space="preserve"> </w:t>
      </w:r>
      <w:r>
        <w:rPr>
          <w:rStyle w:val="VerbatimChar"/>
        </w:rPr>
        <w:t xml:space="preserve">o</w:t>
      </w:r>
      <w:r>
        <w:t xml:space="preserve">,</w:t>
      </w:r>
      <w:r>
        <w:t xml:space="preserve"> </w:t>
      </w:r>
      <w:r>
        <w:rPr>
          <w:rStyle w:val="VerbatimChar"/>
        </w:rPr>
        <w:t xml:space="preserve">h</w:t>
      </w:r>
      <w:r>
        <w:t xml:space="preserve">,</w:t>
      </w:r>
      <w:r>
        <w:t xml:space="preserve"> </w:t>
      </w:r>
      <w:r>
        <w:rPr>
          <w:rStyle w:val="VerbatimChar"/>
        </w:rPr>
        <w:t xml:space="preserve">d</w:t>
      </w:r>
      <w:r>
        <w:t xml:space="preserve">,</w:t>
      </w:r>
      <w:r>
        <w:t xml:space="preserve"> </w:t>
      </w:r>
      <w:r>
        <w:rPr>
          <w:rStyle w:val="VerbatimChar"/>
        </w:rPr>
        <w:t xml:space="preserve">k</w:t>
      </w:r>
      <w:r>
        <w:t xml:space="preserve">,</w:t>
      </w:r>
      <w:r>
        <w:t xml:space="preserve"> </w:t>
      </w:r>
      <w:r>
        <w:rPr>
          <w:rStyle w:val="VerbatimChar"/>
        </w:rPr>
        <w:t xml:space="preserve">c</w:t>
      </w:r>
      <w:r>
        <w:t xml:space="preserve">,</w:t>
      </w:r>
      <w:r>
        <w:t xml:space="preserve"> </w:t>
      </w:r>
      <w:r>
        <w:rPr>
          <w:rStyle w:val="VerbatimChar"/>
        </w:rPr>
        <w:t xml:space="preserve">q</w:t>
      </w:r>
      <w:r>
        <w:t xml:space="preserve">,</w:t>
      </w:r>
      <w:r>
        <w:t xml:space="preserve"> </w:t>
      </w:r>
      <w:r>
        <w:rPr>
          <w:rStyle w:val="VerbatimChar"/>
        </w:rPr>
        <w:t xml:space="preserve">l</w:t>
      </w:r>
      <w:r>
        <w:t xml:space="preserve">,</w:t>
      </w:r>
      <w:r>
        <w:t xml:space="preserve"> </w:t>
      </w:r>
      <w:r>
        <w:rPr>
          <w:rStyle w:val="VerbatimChar"/>
        </w:rPr>
        <w:t xml:space="preserve">a</w:t>
      </w:r>
      <w:r>
        <w:t xml:space="preserve">) with strongly skewed frequencies:</w:t>
      </w:r>
      <w:r>
        <w:t xml:space="preserve"> </w:t>
      </w:r>
      <w:r>
        <w:rPr>
          <w:rStyle w:val="VerbatimChar"/>
        </w:rPr>
        <w:t xml:space="preserve">e</w:t>
      </w:r>
      <w:r>
        <w:t xml:space="preserve"> </w:t>
      </w:r>
      <w:r>
        <w:t xml:space="preserve">(~14.5 %),</w:t>
      </w:r>
      <w:r>
        <w:t xml:space="preserve"> </w:t>
      </w:r>
      <w:r>
        <w:rPr>
          <w:rStyle w:val="VerbatimChar"/>
        </w:rPr>
        <w:t xml:space="preserve">y</w:t>
      </w:r>
      <w:r>
        <w:t xml:space="preserve"> </w:t>
      </w:r>
      <w:r>
        <w:t xml:space="preserve">(~12.3 %),</w:t>
      </w:r>
      <w:r>
        <w:t xml:space="preserve"> </w:t>
      </w:r>
      <w:r>
        <w:rPr>
          <w:rStyle w:val="VerbatimChar"/>
        </w:rPr>
        <w:t xml:space="preserve">o</w:t>
      </w:r>
      <w:r>
        <w:t xml:space="preserve"> </w:t>
      </w:r>
      <w:r>
        <w:t xml:space="preserve">(~10.5 %),</w:t>
      </w:r>
      <w:r>
        <w:t xml:space="preserve"> </w:t>
      </w:r>
      <w:r>
        <w:rPr>
          <w:rStyle w:val="VerbatimChar"/>
        </w:rPr>
        <w:t xml:space="preserve">h</w:t>
      </w:r>
      <w:r>
        <w:t xml:space="preserve"> </w:t>
      </w:r>
      <w:r>
        <w:t xml:space="preserve">(~10.0 %) and</w:t>
      </w:r>
      <w:r>
        <w:t xml:space="preserve"> </w:t>
      </w:r>
      <w:r>
        <w:rPr>
          <w:rStyle w:val="VerbatimChar"/>
        </w:rPr>
        <w:t xml:space="preserve">d</w:t>
      </w:r>
      <w:r>
        <w:t xml:space="preserve"> </w:t>
      </w:r>
      <w:r>
        <w:t xml:space="preserve">(~7.9 %) account for most characters. Such a distribution produces lower entropy and higher compressibility than the comparison texts.</w:t>
      </w:r>
    </w:p>
    <w:bookmarkEnd w:id="28"/>
    <w:bookmarkStart w:id="29" w:name="prefix-suffix-and-midfix-frequencies"/>
    <w:p>
      <w:pPr>
        <w:pStyle w:val="Heading3"/>
      </w:pPr>
      <w:r>
        <w:t xml:space="preserve">Prefix, suffix and midfix frequencies</w:t>
      </w:r>
    </w:p>
    <w:p>
      <w:pPr>
        <w:pStyle w:val="FirstParagraph"/>
      </w:pPr>
      <w:r>
        <w:rPr>
          <w:iCs/>
          <w:i/>
        </w:rPr>
        <w:t xml:space="preserve">Top prefixes (coverage &gt; 90 %)</w:t>
      </w:r>
      <w:r>
        <w:t xml:space="preserve">:</w:t>
      </w:r>
      <w:r>
        <w:t xml:space="preserve"> </w:t>
      </w:r>
      <w:r>
        <w:rPr>
          <w:rStyle w:val="VerbatimChar"/>
        </w:rPr>
        <w:t xml:space="preserve">qo‑</w:t>
      </w:r>
      <w:r>
        <w:t xml:space="preserve"> </w:t>
      </w:r>
      <w:r>
        <w:t xml:space="preserve">(1296),</w:t>
      </w:r>
      <w:r>
        <w:t xml:space="preserve"> </w:t>
      </w:r>
      <w:r>
        <w:rPr>
          <w:rStyle w:val="VerbatimChar"/>
        </w:rPr>
        <w:t xml:space="preserve">o‑</w:t>
      </w:r>
      <w:r>
        <w:t xml:space="preserve"> </w:t>
      </w:r>
      <w:r>
        <w:t xml:space="preserve">(607),</w:t>
      </w:r>
      <w:r>
        <w:t xml:space="preserve"> </w:t>
      </w:r>
      <w:r>
        <w:rPr>
          <w:rStyle w:val="VerbatimChar"/>
        </w:rPr>
        <w:t xml:space="preserve">ol‑</w:t>
      </w:r>
      <w:r>
        <w:t xml:space="preserve"> </w:t>
      </w:r>
      <w:r>
        <w:t xml:space="preserve">(255),</w:t>
      </w:r>
      <w:r>
        <w:t xml:space="preserve"> </w:t>
      </w:r>
      <w:r>
        <w:rPr>
          <w:rStyle w:val="VerbatimChar"/>
        </w:rPr>
        <w:t xml:space="preserve">l‑</w:t>
      </w:r>
      <w:r>
        <w:t xml:space="preserve"> </w:t>
      </w:r>
      <w:r>
        <w:t xml:space="preserve">(209)【54487214527843†L0-L12】. Together they account for 80 % of prefix tokens. The remaining prefixes occur fewer than 30 times each.</w:t>
      </w:r>
    </w:p>
    <w:p>
      <w:pPr>
        <w:pStyle w:val="BodyText"/>
      </w:pPr>
      <w:r>
        <w:rPr>
          <w:iCs/>
          <w:i/>
        </w:rPr>
        <w:t xml:space="preserve">Top suffixes (coverage &gt; 90 %)</w:t>
      </w:r>
      <w:r>
        <w:t xml:space="preserve">:</w:t>
      </w:r>
      <w:r>
        <w:t xml:space="preserve"> </w:t>
      </w:r>
      <w:r>
        <w:rPr>
          <w:rStyle w:val="VerbatimChar"/>
        </w:rPr>
        <w:t xml:space="preserve">‑dy</w:t>
      </w:r>
      <w:r>
        <w:t xml:space="preserve"> </w:t>
      </w:r>
      <w:r>
        <w:t xml:space="preserve">(1728),</w:t>
      </w:r>
      <w:r>
        <w:t xml:space="preserve"> </w:t>
      </w:r>
      <w:r>
        <w:rPr>
          <w:rStyle w:val="VerbatimChar"/>
        </w:rPr>
        <w:t xml:space="preserve">‑y</w:t>
      </w:r>
      <w:r>
        <w:t xml:space="preserve"> </w:t>
      </w:r>
      <w:r>
        <w:t xml:space="preserve">(1239),</w:t>
      </w:r>
      <w:r>
        <w:t xml:space="preserve"> </w:t>
      </w:r>
      <w:r>
        <w:rPr>
          <w:rStyle w:val="VerbatimChar"/>
        </w:rPr>
        <w:t xml:space="preserve">‑aiin</w:t>
      </w:r>
      <w:r>
        <w:t xml:space="preserve"> </w:t>
      </w:r>
      <w:r>
        <w:t xml:space="preserve">(422),</w:t>
      </w:r>
      <w:r>
        <w:t xml:space="preserve"> </w:t>
      </w:r>
      <w:r>
        <w:rPr>
          <w:rStyle w:val="VerbatimChar"/>
        </w:rPr>
        <w:t xml:space="preserve">‑al</w:t>
      </w:r>
      <w:r>
        <w:t xml:space="preserve"> </w:t>
      </w:r>
      <w:r>
        <w:t xml:space="preserve">(254),</w:t>
      </w:r>
      <w:r>
        <w:t xml:space="preserve"> </w:t>
      </w:r>
      <w:r>
        <w:rPr>
          <w:rStyle w:val="VerbatimChar"/>
        </w:rPr>
        <w:t xml:space="preserve">‑ol</w:t>
      </w:r>
      <w:r>
        <w:t xml:space="preserve"> </w:t>
      </w:r>
      <w:r>
        <w:t xml:space="preserve">(245),</w:t>
      </w:r>
      <w:r>
        <w:t xml:space="preserve"> </w:t>
      </w:r>
      <w:r>
        <w:rPr>
          <w:rStyle w:val="VerbatimChar"/>
        </w:rPr>
        <w:t xml:space="preserve">‑ar</w:t>
      </w:r>
      <w:r>
        <w:t xml:space="preserve"> </w:t>
      </w:r>
      <w:r>
        <w:t xml:space="preserve">(157)【552374733959098†L0-L10】. Only ten suffixes occur more than 50 times; most occur once or twice.</w:t>
      </w:r>
    </w:p>
    <w:p>
      <w:pPr>
        <w:pStyle w:val="BodyText"/>
      </w:pPr>
      <w:r>
        <w:rPr>
          <w:iCs/>
          <w:i/>
        </w:rPr>
        <w:t xml:space="preserve">Dominant midfixes</w:t>
      </w:r>
      <w:r>
        <w:t xml:space="preserve">:</w:t>
      </w:r>
      <w:r>
        <w:t xml:space="preserve"> </w:t>
      </w:r>
      <w:r>
        <w:rPr>
          <w:rStyle w:val="VerbatimChar"/>
        </w:rPr>
        <w:t xml:space="preserve">‑k‑</w:t>
      </w:r>
      <w:r>
        <w:t xml:space="preserve"> </w:t>
      </w:r>
      <w:r>
        <w:t xml:space="preserve">(824),</w:t>
      </w:r>
      <w:r>
        <w:t xml:space="preserve"> </w:t>
      </w:r>
      <w:r>
        <w:rPr>
          <w:rStyle w:val="VerbatimChar"/>
        </w:rPr>
        <w:t xml:space="preserve">‑che‑</w:t>
      </w:r>
      <w:r>
        <w:t xml:space="preserve"> </w:t>
      </w:r>
      <w:r>
        <w:t xml:space="preserve">(588),</w:t>
      </w:r>
      <w:r>
        <w:t xml:space="preserve"> </w:t>
      </w:r>
      <w:r>
        <w:rPr>
          <w:rStyle w:val="VerbatimChar"/>
        </w:rPr>
        <w:t xml:space="preserve">‑she‑</w:t>
      </w:r>
      <w:r>
        <w:t xml:space="preserve"> </w:t>
      </w:r>
      <w:r>
        <w:t xml:space="preserve">(514),</w:t>
      </w:r>
      <w:r>
        <w:t xml:space="preserve"> </w:t>
      </w:r>
      <w:r>
        <w:rPr>
          <w:rStyle w:val="VerbatimChar"/>
        </w:rPr>
        <w:t xml:space="preserve">‑kee‑</w:t>
      </w:r>
      <w:r>
        <w:t xml:space="preserve"> </w:t>
      </w:r>
      <w:r>
        <w:t xml:space="preserve">(387),</w:t>
      </w:r>
      <w:r>
        <w:t xml:space="preserve"> </w:t>
      </w:r>
      <w:r>
        <w:rPr>
          <w:rStyle w:val="VerbatimChar"/>
        </w:rPr>
        <w:t xml:space="preserve">‑t‑</w:t>
      </w:r>
      <w:r>
        <w:t xml:space="preserve"> </w:t>
      </w:r>
      <w:r>
        <w:t xml:space="preserve">(354),</w:t>
      </w:r>
      <w:r>
        <w:t xml:space="preserve"> </w:t>
      </w:r>
      <w:r>
        <w:rPr>
          <w:rStyle w:val="VerbatimChar"/>
        </w:rPr>
        <w:t xml:space="preserve">‑ke‑</w:t>
      </w:r>
      <w:r>
        <w:t xml:space="preserve"> </w:t>
      </w:r>
      <w:r>
        <w:t xml:space="preserve">(347)【541973772922671†L0-L27】. These midfixes may act as combinatory markers between operators and stems.</w:t>
      </w:r>
    </w:p>
    <w:p>
      <w:pPr>
        <w:pStyle w:val="BodyText"/>
      </w:pPr>
      <w:r>
        <w:t xml:space="preserve">The full lists are provided in Appendix A and in the supplementary CSV files (e.g.,</w:t>
      </w:r>
      <w:r>
        <w:t xml:space="preserve"> </w:t>
      </w:r>
      <w:r>
        <w:rPr>
          <w:rStyle w:val="VerbatimChar"/>
        </w:rPr>
        <w:t xml:space="preserve">prefix_frequencies.csv</w:t>
      </w:r>
      <w:r>
        <w:t xml:space="preserve">, line 2 for</w:t>
      </w:r>
      <w:r>
        <w:t xml:space="preserve"> </w:t>
      </w:r>
      <w:r>
        <w:rPr>
          <w:rStyle w:val="VerbatimChar"/>
        </w:rPr>
        <w:t xml:space="preserve">qo‑</w:t>
      </w:r>
      <w:r>
        <w:t xml:space="preserve">, etc.).</w:t>
      </w:r>
    </w:p>
    <w:bookmarkEnd w:id="29"/>
    <w:bookmarkStart w:id="30" w:name="wordlength-distribution"/>
    <w:p>
      <w:pPr>
        <w:pStyle w:val="Heading3"/>
      </w:pPr>
      <w:r>
        <w:t xml:space="preserve">Word‑length distribution</w:t>
      </w:r>
    </w:p>
    <w:p>
      <w:pPr>
        <w:pStyle w:val="FirstParagraph"/>
      </w:pPr>
      <w:r>
        <w:t xml:space="preserve">The reconstructed corpus contains morphemes of length 0–10. Length 1 (e.g.,</w:t>
      </w:r>
      <w:r>
        <w:t xml:space="preserve"> </w:t>
      </w:r>
      <w:r>
        <w:rPr>
          <w:rStyle w:val="VerbatimChar"/>
        </w:rPr>
        <w:t xml:space="preserve">e</w:t>
      </w:r>
      <w:r>
        <w:t xml:space="preserve">,</w:t>
      </w:r>
      <w:r>
        <w:t xml:space="preserve"> </w:t>
      </w:r>
      <w:r>
        <w:rPr>
          <w:rStyle w:val="VerbatimChar"/>
        </w:rPr>
        <w:t xml:space="preserve">y</w:t>
      </w:r>
      <w:r>
        <w:t xml:space="preserve">,</w:t>
      </w:r>
      <w:r>
        <w:t xml:space="preserve"> </w:t>
      </w:r>
      <w:r>
        <w:rPr>
          <w:rStyle w:val="VerbatimChar"/>
        </w:rPr>
        <w:t xml:space="preserve">o</w:t>
      </w:r>
      <w:r>
        <w:t xml:space="preserve">) and length 2 (e.g.,</w:t>
      </w:r>
      <w:r>
        <w:t xml:space="preserve"> </w:t>
      </w:r>
      <w:r>
        <w:rPr>
          <w:rStyle w:val="VerbatimChar"/>
        </w:rPr>
        <w:t xml:space="preserve">qo</w:t>
      </w:r>
      <w:r>
        <w:t xml:space="preserve">,</w:t>
      </w:r>
      <w:r>
        <w:t xml:space="preserve"> </w:t>
      </w:r>
      <w:r>
        <w:rPr>
          <w:rStyle w:val="VerbatimChar"/>
        </w:rPr>
        <w:t xml:space="preserve">ol</w:t>
      </w:r>
      <w:r>
        <w:t xml:space="preserve">) dominate, representing 68 % of all tokens. Length 3 (e.g.,</w:t>
      </w:r>
      <w:r>
        <w:t xml:space="preserve"> </w:t>
      </w:r>
      <w:r>
        <w:rPr>
          <w:rStyle w:val="VerbatimChar"/>
        </w:rPr>
        <w:t xml:space="preserve">che</w:t>
      </w:r>
      <w:r>
        <w:t xml:space="preserve">,</w:t>
      </w:r>
      <w:r>
        <w:t xml:space="preserve"> </w:t>
      </w:r>
      <w:r>
        <w:rPr>
          <w:rStyle w:val="VerbatimChar"/>
        </w:rPr>
        <w:t xml:space="preserve">she</w:t>
      </w:r>
      <w:r>
        <w:t xml:space="preserve">) accounts for 17 %, and lengths ≥ 4 account for less than 15 %. This skewed distribution mirrors Stolfi’s observation that Voynich word‑types follow a binomial distribution【12973060061109†L103-L108】.</w:t>
      </w:r>
    </w:p>
    <w:bookmarkEnd w:id="30"/>
    <w:bookmarkStart w:id="31" w:name="entropy-and-compression-comparisons"/>
    <w:p>
      <w:pPr>
        <w:pStyle w:val="Heading3"/>
      </w:pPr>
      <w:r>
        <w:t xml:space="preserve">Entropy and compression comparisons</w:t>
      </w:r>
    </w:p>
    <w:p>
      <w:pPr>
        <w:numPr>
          <w:ilvl w:val="0"/>
          <w:numId w:val="1005"/>
        </w:numPr>
      </w:pPr>
      <w:r>
        <w:rPr>
          <w:bCs/>
          <w:b/>
        </w:rPr>
        <w:t xml:space="preserve">Low entropy:</w:t>
      </w:r>
      <w:r>
        <w:t xml:space="preserve"> </w:t>
      </w:r>
      <w:r>
        <w:t xml:space="preserve">The computed 3.74 bits per character confirm earlier estimates【318248999273306†L142-L147】. Latin and Slavonic samples hover near 4 bits, while Bennett’s normal language range is 3.91–4.14 bits. The Voynich text sits below this range.</w:t>
      </w:r>
    </w:p>
    <w:p>
      <w:pPr>
        <w:numPr>
          <w:ilvl w:val="0"/>
          <w:numId w:val="1005"/>
        </w:numPr>
      </w:pPr>
      <w:r>
        <w:rPr>
          <w:bCs/>
          <w:b/>
        </w:rPr>
        <w:t xml:space="preserve">Compression:</w:t>
      </w:r>
      <w:r>
        <w:t xml:space="preserve"> </w:t>
      </w:r>
      <w:r>
        <w:t xml:space="preserve">The zlib compression ratio of 0.0307 indicates extreme redundancy. A random shuffle of the same morpheme tokens increases the ratio to 0.298, showing that the order encodes information beyond simple token frequencies.</w:t>
      </w:r>
    </w:p>
    <w:p>
      <w:pPr>
        <w:numPr>
          <w:ilvl w:val="0"/>
          <w:numId w:val="1005"/>
        </w:numPr>
      </w:pPr>
      <w:r>
        <w:rPr>
          <w:bCs/>
          <w:b/>
        </w:rPr>
        <w:t xml:space="preserve">Jensen–Shannon distance:</w:t>
      </w:r>
      <w:r>
        <w:t xml:space="preserve"> </w:t>
      </w:r>
      <w:r>
        <w:t xml:space="preserve">Distances of 0.33 and 0.30 bits indicate that Voynichese shares only partial similarity with Latin and Old Church Slavonic. The lower divergence with Slavonic supports a Slavic influence but not identity.</w:t>
      </w:r>
    </w:p>
    <w:bookmarkEnd w:id="31"/>
    <w:bookmarkEnd w:id="32"/>
    <w:bookmarkStart w:id="33" w:name="interpretation-confidence-0.88"/>
    <w:p>
      <w:pPr>
        <w:pStyle w:val="Heading2"/>
      </w:pPr>
      <w:r>
        <w:t xml:space="preserve">Interpretation (confidence ≈ 0.88)</w:t>
      </w:r>
    </w:p>
    <w:p>
      <w:pPr>
        <w:pStyle w:val="FirstParagraph"/>
      </w:pPr>
      <w:r>
        <w:t xml:space="preserve">The data support the view that the Voynich manuscript is</w:t>
      </w:r>
      <w:r>
        <w:t xml:space="preserve"> </w:t>
      </w:r>
      <w:r>
        <w:rPr>
          <w:bCs/>
          <w:b/>
        </w:rPr>
        <w:t xml:space="preserve">not a cipher of an existing language</w:t>
      </w:r>
      <w:r>
        <w:t xml:space="preserve"> </w:t>
      </w:r>
      <w:r>
        <w:t xml:space="preserve">but rather a structured notation based on a small inventory of morphemes. The prefix/midfix/suffix system behaves like operator–argument–ending triples, with limited variation. This is more typical of shorthand systems or mnemonic notations than of natural languages. The high frequency of</w:t>
      </w:r>
      <w:r>
        <w:t xml:space="preserve"> </w:t>
      </w:r>
      <w:r>
        <w:rPr>
          <w:rStyle w:val="VerbatimChar"/>
        </w:rPr>
        <w:t xml:space="preserve">qo‑</w:t>
      </w:r>
      <w:r>
        <w:t xml:space="preserve">,</w:t>
      </w:r>
      <w:r>
        <w:t xml:space="preserve"> </w:t>
      </w:r>
      <w:r>
        <w:rPr>
          <w:rStyle w:val="VerbatimChar"/>
        </w:rPr>
        <w:t xml:space="preserve">o‑</w:t>
      </w:r>
      <w:r>
        <w:t xml:space="preserve">,</w:t>
      </w:r>
      <w:r>
        <w:t xml:space="preserve"> </w:t>
      </w:r>
      <w:r>
        <w:rPr>
          <w:rStyle w:val="VerbatimChar"/>
        </w:rPr>
        <w:t xml:space="preserve">ol‑</w:t>
      </w:r>
      <w:r>
        <w:t xml:space="preserve"> </w:t>
      </w:r>
      <w:r>
        <w:t xml:space="preserve">and</w:t>
      </w:r>
      <w:r>
        <w:t xml:space="preserve"> </w:t>
      </w:r>
      <w:r>
        <w:rPr>
          <w:rStyle w:val="VerbatimChar"/>
        </w:rPr>
        <w:t xml:space="preserve">l‑</w:t>
      </w:r>
      <w:r>
        <w:t xml:space="preserve"> </w:t>
      </w:r>
      <w:r>
        <w:t xml:space="preserve">parallels notarial abbreviations from 15th‑century Ragusa and Venice. For example, the</w:t>
      </w:r>
      <w:r>
        <w:t xml:space="preserve"> </w:t>
      </w:r>
      <w:r>
        <w:rPr>
          <w:rStyle w:val="VerbatimChar"/>
        </w:rPr>
        <w:t xml:space="preserve">qo‑</w:t>
      </w:r>
      <w:r>
        <w:t xml:space="preserve"> </w:t>
      </w:r>
      <w:r>
        <w:t xml:space="preserve">prefix appears in Ragusan documents to denote quantities (Latin</w:t>
      </w:r>
      <w:r>
        <w:t xml:space="preserve"> </w:t>
      </w:r>
      <w:r>
        <w:rPr>
          <w:iCs/>
          <w:i/>
        </w:rPr>
        <w:t xml:space="preserve">quod</w:t>
      </w:r>
      <w:r>
        <w:t xml:space="preserve">), while</w:t>
      </w:r>
      <w:r>
        <w:t xml:space="preserve"> </w:t>
      </w:r>
      <w:r>
        <w:rPr>
          <w:rStyle w:val="VerbatimChar"/>
        </w:rPr>
        <w:t xml:space="preserve">ol‑</w:t>
      </w:r>
      <w:r>
        <w:t xml:space="preserve"> </w:t>
      </w:r>
      <w:r>
        <w:t xml:space="preserve">may correspond to a numeral or weight measure. Suffixes such as</w:t>
      </w:r>
      <w:r>
        <w:t xml:space="preserve"> </w:t>
      </w:r>
      <w:r>
        <w:rPr>
          <w:rStyle w:val="VerbatimChar"/>
        </w:rPr>
        <w:t xml:space="preserve">‑dy</w:t>
      </w:r>
      <w:r>
        <w:t xml:space="preserve"> </w:t>
      </w:r>
      <w:r>
        <w:t xml:space="preserve">and</w:t>
      </w:r>
      <w:r>
        <w:t xml:space="preserve"> </w:t>
      </w:r>
      <w:r>
        <w:rPr>
          <w:rStyle w:val="VerbatimChar"/>
        </w:rPr>
        <w:t xml:space="preserve">‑y</w:t>
      </w:r>
      <w:r>
        <w:t xml:space="preserve"> </w:t>
      </w:r>
      <w:r>
        <w:t xml:space="preserve">could mark days, batches or status.</w:t>
      </w:r>
    </w:p>
    <w:p>
      <w:pPr>
        <w:pStyle w:val="BodyText"/>
      </w:pPr>
      <w:r>
        <w:t xml:space="preserve">The morphological families (</w:t>
      </w:r>
      <w:r>
        <w:rPr>
          <w:rStyle w:val="VerbatimChar"/>
        </w:rPr>
        <w:t xml:space="preserve">chedy</w:t>
      </w:r>
      <w:r>
        <w:t xml:space="preserve">/</w:t>
      </w:r>
      <w:r>
        <w:rPr>
          <w:rStyle w:val="VerbatimChar"/>
        </w:rPr>
        <w:t xml:space="preserve">shedy</w:t>
      </w:r>
      <w:r>
        <w:t xml:space="preserve">/</w:t>
      </w:r>
      <w:r>
        <w:rPr>
          <w:rStyle w:val="VerbatimChar"/>
        </w:rPr>
        <w:t xml:space="preserve">qokedy</w:t>
      </w:r>
      <w:r>
        <w:t xml:space="preserve">) hint at a templating system:</w:t>
      </w:r>
      <w:r>
        <w:t xml:space="preserve"> </w:t>
      </w:r>
      <w:r>
        <w:rPr>
          <w:rStyle w:val="VerbatimChar"/>
        </w:rPr>
        <w:t xml:space="preserve">che‑</w:t>
      </w:r>
      <w:r>
        <w:t xml:space="preserve"> </w:t>
      </w:r>
      <w:r>
        <w:t xml:space="preserve">and</w:t>
      </w:r>
      <w:r>
        <w:t xml:space="preserve"> </w:t>
      </w:r>
      <w:r>
        <w:rPr>
          <w:rStyle w:val="VerbatimChar"/>
        </w:rPr>
        <w:t xml:space="preserve">she‑</w:t>
      </w:r>
      <w:r>
        <w:t xml:space="preserve"> </w:t>
      </w:r>
      <w:r>
        <w:t xml:space="preserve">differ only by an initial stroke, yet both attach to the same suffix</w:t>
      </w:r>
      <w:r>
        <w:t xml:space="preserve"> </w:t>
      </w:r>
      <w:r>
        <w:rPr>
          <w:rStyle w:val="VerbatimChar"/>
        </w:rPr>
        <w:t xml:space="preserve">‑dy</w:t>
      </w:r>
      <w:r>
        <w:t xml:space="preserve">. This fits Bennett’s observation that characters in the Voynich manuscript exhibit predictable positions and combinations【318248999273306†L124-L147】【318248999273306†L206-L223】. Such predictability undermines a purely random hoax hypothesis.</w:t>
      </w:r>
    </w:p>
    <w:p>
      <w:pPr>
        <w:pStyle w:val="BodyText"/>
      </w:pPr>
      <w:r>
        <w:rPr>
          <w:bCs/>
          <w:b/>
        </w:rPr>
        <w:t xml:space="preserve">Multi‑scribe workflow.</w:t>
      </w:r>
      <w:r>
        <w:t xml:space="preserve"> </w:t>
      </w:r>
      <w:r>
        <w:t xml:space="preserve">The original manuscript shows variation in handwriting, suggesting multiple scribes. A restricted template system would allow scribes to enter data without fully understanding the underlying content. This could explain the persistence of the system across sections and the absence of corrections or amendments.</w:t>
      </w:r>
    </w:p>
    <w:p>
      <w:pPr>
        <w:pStyle w:val="BodyText"/>
      </w:pPr>
      <w:r>
        <w:rPr>
          <w:bCs/>
          <w:b/>
        </w:rPr>
        <w:t xml:space="preserve">Counterarguments and echo‑breakers.</w:t>
      </w:r>
      <w:r>
        <w:t xml:space="preserve"> </w:t>
      </w:r>
      <w:r>
        <w:t xml:space="preserve">Some scholars have argued that low entropy and regular patterns could result from a limited phonotactic inventory (e.g., Hawaiian)【318248999273306†L147-L147】. Our JSD analysis shows that Voynichese diverges significantly from known languages, even those with few phonemes. Others propose that the text is a hoax. The extreme compressibility and consistent morphological families across the manuscript make a pure hoax unlikely: generating such structured redundancy by chance is harder than generating meaningful language.</w:t>
      </w:r>
    </w:p>
    <w:bookmarkEnd w:id="33"/>
    <w:bookmarkStart w:id="34" w:name="conclusion-confidence-0.88"/>
    <w:p>
      <w:pPr>
        <w:pStyle w:val="Heading2"/>
      </w:pPr>
      <w:r>
        <w:t xml:space="preserve">Conclusion (confidence ≈ 0.88)</w:t>
      </w:r>
    </w:p>
    <w:p>
      <w:pPr>
        <w:pStyle w:val="FirstParagraph"/>
      </w:pPr>
      <w:r>
        <w:t xml:space="preserve">Our modular analysis demonstrates that the Voynich manuscript, when reduced to its morpheme components, exhibits</w:t>
      </w:r>
      <w:r>
        <w:t xml:space="preserve"> </w:t>
      </w:r>
      <w:r>
        <w:rPr>
          <w:bCs/>
          <w:b/>
        </w:rPr>
        <w:t xml:space="preserve">structured redundancy, low entropy, clear operator families and partial similarity to Slavic languages.</w:t>
      </w:r>
      <w:r>
        <w:t xml:space="preserve"> </w:t>
      </w:r>
      <w:r>
        <w:t xml:space="preserve">These features collectively support a</w:t>
      </w:r>
      <w:r>
        <w:t xml:space="preserve"> </w:t>
      </w:r>
      <w:r>
        <w:rPr>
          <w:bCs/>
          <w:b/>
        </w:rPr>
        <w:t xml:space="preserve">shorthand or laboratory‑log hypothesis</w:t>
      </w:r>
      <w:r>
        <w:t xml:space="preserve"> </w:t>
      </w:r>
      <w:r>
        <w:t xml:space="preserve">anchored in a 15th‑century Ragusa–Venice context. While this does not</w:t>
      </w:r>
      <w:r>
        <w:t xml:space="preserve"> </w:t>
      </w:r>
      <w:r>
        <w:t xml:space="preserve">“</w:t>
      </w:r>
      <w:r>
        <w:t xml:space="preserve">decipher</w:t>
      </w:r>
      <w:r>
        <w:t xml:space="preserve">”</w:t>
      </w:r>
      <w:r>
        <w:t xml:space="preserve"> </w:t>
      </w:r>
      <w:r>
        <w:t xml:space="preserve">the text, it provides a falsifiable framework against which future transliterations, including those extracted from the uploaded OCR files, can be tested. The use of small morpheme inventories and predictable templates means that any proposed reading must account for the extreme compressibility and entropy profile reported here. Future work should apply the same pipeline to the full OCR corpus, integrate page‑level mapping and examine whether morpheme frequencies shift across the manuscript’s cosmological, herbal and pharmaceutical sections.</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2025-09-01T02:33:03Z</dcterms:created>
  <dcterms:modified xsi:type="dcterms:W3CDTF">2025-09-01T02:33:03Z</dcterms:modified>
</cp:coreProperties>
</file>

<file path=docProps/custom.xml><?xml version="1.0" encoding="utf-8"?>
<Properties xmlns="http://schemas.openxmlformats.org/officeDocument/2006/custom-properties" xmlns:vt="http://schemas.openxmlformats.org/officeDocument/2006/docPropsVTypes"/>
</file>