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D1" w:rsidRDefault="00687AD1" w:rsidP="00687AD1">
      <w:pPr>
        <w:jc w:val="center"/>
      </w:pPr>
      <w:r>
        <w:t>资产负债表</w:t>
      </w:r>
    </w:p>
    <w:p w:rsidR="00FD7214" w:rsidRDefault="00687AD1" w:rsidP="00FD7214">
      <w:pPr>
        <w:jc w:val="center"/>
      </w:pPr>
      <w:r>
        <w:rPr>
          <w:rFonts w:hint="eastAsia"/>
        </w:rPr>
        <w:t xml:space="preserve">                                         单位：元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194"/>
        <w:gridCol w:w="1080"/>
        <w:gridCol w:w="1080"/>
        <w:gridCol w:w="1194"/>
        <w:gridCol w:w="1080"/>
      </w:tblGrid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 w:rsidP="00FD7214">
            <w:r w:rsidRPr="00FD7214">
              <w:rPr>
                <w:rFonts w:hint="eastAsia"/>
              </w:rPr>
              <w:t>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期末余额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年初余额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负债及所有者权益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期末余额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年初余额</w:t>
            </w:r>
          </w:p>
        </w:tc>
      </w:tr>
      <w:tr w:rsidR="00FD7214" w:rsidRPr="00FD7214" w:rsidTr="00ED5E34">
        <w:trPr>
          <w:trHeight w:val="54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流动资产：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流动负债：</w:t>
            </w:r>
          </w:p>
        </w:tc>
        <w:tc>
          <w:tcPr>
            <w:tcW w:w="1120" w:type="dxa"/>
          </w:tcPr>
          <w:p w:rsidR="00FD7214" w:rsidRPr="00FD7214" w:rsidRDefault="00FD7214"/>
        </w:tc>
        <w:tc>
          <w:tcPr>
            <w:tcW w:w="1080" w:type="dxa"/>
          </w:tcPr>
          <w:p w:rsidR="00FD7214" w:rsidRPr="00FD7214" w:rsidRDefault="00FD7214"/>
        </w:tc>
        <w:bookmarkStart w:id="0" w:name="_GoBack"/>
        <w:bookmarkEnd w:id="0"/>
      </w:tr>
      <w:tr w:rsidR="00FD7214" w:rsidRPr="00FD7214" w:rsidTr="00ED5E34">
        <w:trPr>
          <w:trHeight w:val="30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货币资金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60,000.00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短期借款</w:t>
            </w:r>
          </w:p>
        </w:tc>
        <w:tc>
          <w:tcPr>
            <w:tcW w:w="1120" w:type="dxa"/>
          </w:tcPr>
          <w:p w:rsidR="00FD7214" w:rsidRPr="00FD7214" w:rsidRDefault="00ED5E34">
            <w:r>
              <w:rPr>
                <w:rFonts w:hint="eastAsia"/>
              </w:rPr>
              <w:t>20</w:t>
            </w:r>
            <w:r>
              <w:t>,000.00</w:t>
            </w:r>
          </w:p>
        </w:tc>
        <w:tc>
          <w:tcPr>
            <w:tcW w:w="1080" w:type="dxa"/>
          </w:tcPr>
          <w:p w:rsidR="00FD7214" w:rsidRPr="00FD7214" w:rsidRDefault="00FD7214"/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交易性金融资产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交易性金融负债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30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应收票据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应付票据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30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应收账款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240,000.00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应付账款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30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预付账款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预收款项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应收利息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应付职工薪酬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30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应收股利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应交税费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15,625.00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其他应收款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应付利息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7,500.00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30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存货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应付股利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82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一年内到期的非流动资产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其他应付款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82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其他流动资产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一年内到期的非流动负债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流动资产合计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300,000.00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其他流动负债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4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非流动资产：</w:t>
            </w:r>
          </w:p>
        </w:tc>
        <w:tc>
          <w:tcPr>
            <w:tcW w:w="112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流动负债合计</w:t>
            </w:r>
          </w:p>
        </w:tc>
        <w:tc>
          <w:tcPr>
            <w:tcW w:w="112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223,125.00</w:t>
            </w:r>
          </w:p>
        </w:tc>
        <w:tc>
          <w:tcPr>
            <w:tcW w:w="108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可供出售金融资产</w:t>
            </w:r>
          </w:p>
        </w:tc>
        <w:tc>
          <w:tcPr>
            <w:tcW w:w="1120" w:type="dxa"/>
            <w:vMerge/>
            <w:hideMark/>
          </w:tcPr>
          <w:p w:rsidR="00FD7214" w:rsidRPr="00FD7214" w:rsidRDefault="00FD7214"/>
        </w:tc>
        <w:tc>
          <w:tcPr>
            <w:tcW w:w="1080" w:type="dxa"/>
            <w:vMerge/>
            <w:hideMark/>
          </w:tcPr>
          <w:p w:rsidR="00FD7214" w:rsidRPr="00FD7214" w:rsidRDefault="00FD7214"/>
        </w:tc>
        <w:tc>
          <w:tcPr>
            <w:tcW w:w="1080" w:type="dxa"/>
            <w:vMerge/>
            <w:hideMark/>
          </w:tcPr>
          <w:p w:rsidR="00FD7214" w:rsidRPr="00FD7214" w:rsidRDefault="00FD7214"/>
        </w:tc>
        <w:tc>
          <w:tcPr>
            <w:tcW w:w="1120" w:type="dxa"/>
            <w:vMerge/>
            <w:hideMark/>
          </w:tcPr>
          <w:p w:rsidR="00FD7214" w:rsidRPr="00FD7214" w:rsidRDefault="00FD7214"/>
        </w:tc>
        <w:tc>
          <w:tcPr>
            <w:tcW w:w="1080" w:type="dxa"/>
            <w:vMerge/>
            <w:hideMark/>
          </w:tcPr>
          <w:p w:rsidR="00FD7214" w:rsidRPr="00FD7214" w:rsidRDefault="00FD7214"/>
        </w:tc>
      </w:tr>
      <w:tr w:rsidR="00FD7214" w:rsidRPr="00FD7214" w:rsidTr="00FD7214">
        <w:trPr>
          <w:trHeight w:val="540"/>
          <w:jc w:val="center"/>
        </w:trPr>
        <w:tc>
          <w:tcPr>
            <w:tcW w:w="108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持有至到期投资</w:t>
            </w:r>
          </w:p>
        </w:tc>
        <w:tc>
          <w:tcPr>
            <w:tcW w:w="112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非流动负债：</w:t>
            </w:r>
          </w:p>
        </w:tc>
        <w:tc>
          <w:tcPr>
            <w:tcW w:w="112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vMerge w:val="restart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300"/>
          <w:jc w:val="center"/>
        </w:trPr>
        <w:tc>
          <w:tcPr>
            <w:tcW w:w="1080" w:type="dxa"/>
            <w:vMerge/>
            <w:hideMark/>
          </w:tcPr>
          <w:p w:rsidR="00FD7214" w:rsidRPr="00FD7214" w:rsidRDefault="00FD7214"/>
        </w:tc>
        <w:tc>
          <w:tcPr>
            <w:tcW w:w="1120" w:type="dxa"/>
            <w:vMerge/>
            <w:hideMark/>
          </w:tcPr>
          <w:p w:rsidR="00FD7214" w:rsidRPr="00FD7214" w:rsidRDefault="00FD7214"/>
        </w:tc>
        <w:tc>
          <w:tcPr>
            <w:tcW w:w="1080" w:type="dxa"/>
            <w:vMerge/>
            <w:hideMark/>
          </w:tcPr>
          <w:p w:rsidR="00FD7214" w:rsidRPr="00FD7214" w:rsidRDefault="00FD7214"/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长期借款</w:t>
            </w:r>
          </w:p>
        </w:tc>
        <w:tc>
          <w:tcPr>
            <w:tcW w:w="1120" w:type="dxa"/>
            <w:vMerge/>
            <w:hideMark/>
          </w:tcPr>
          <w:p w:rsidR="00FD7214" w:rsidRPr="00FD7214" w:rsidRDefault="00FD7214"/>
        </w:tc>
        <w:tc>
          <w:tcPr>
            <w:tcW w:w="1080" w:type="dxa"/>
            <w:vMerge/>
            <w:hideMark/>
          </w:tcPr>
          <w:p w:rsidR="00FD7214" w:rsidRPr="00FD7214" w:rsidRDefault="00FD7214"/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长期应收款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应付债券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长期股权投资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长期应付款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投资性房地产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专项应付款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30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固定资产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370,000.00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预计负债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在建工程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递延所得税负债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工程物资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其他非流</w:t>
            </w:r>
            <w:r w:rsidRPr="00FD7214">
              <w:rPr>
                <w:rFonts w:hint="eastAsia"/>
              </w:rPr>
              <w:lastRenderedPageBreak/>
              <w:t>动负债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lastRenderedPageBreak/>
              <w:t>固定资产清理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非流动负债合计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生产性生物资产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负债合计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223,125.00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82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油气资产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所有者权益（或股东权益）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82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无形资产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实收资本（或股本）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400,000.00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300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开发支出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资本公积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商誉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减：库存股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长期均摊费用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盈余公积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递延所得税资产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未分配利润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46,875.00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109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其他非流动资产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所有者权益（或股东权益）合计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446,875.00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55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非流动资产合计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370,000.00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  <w:tr w:rsidR="00FD7214" w:rsidRPr="00FD7214" w:rsidTr="00FD7214">
        <w:trPr>
          <w:trHeight w:val="1365"/>
          <w:jc w:val="center"/>
        </w:trPr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资产总计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670,000.00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负债和所有者权益（或股东权益）合计</w:t>
            </w:r>
          </w:p>
        </w:tc>
        <w:tc>
          <w:tcPr>
            <w:tcW w:w="112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>670,000.00</w:t>
            </w:r>
          </w:p>
        </w:tc>
        <w:tc>
          <w:tcPr>
            <w:tcW w:w="1080" w:type="dxa"/>
            <w:hideMark/>
          </w:tcPr>
          <w:p w:rsidR="00FD7214" w:rsidRPr="00FD7214" w:rsidRDefault="00FD7214">
            <w:r w:rsidRPr="00FD7214">
              <w:rPr>
                <w:rFonts w:hint="eastAsia"/>
              </w:rPr>
              <w:t xml:space="preserve">　</w:t>
            </w:r>
          </w:p>
        </w:tc>
      </w:tr>
    </w:tbl>
    <w:p w:rsidR="00FD7214" w:rsidRDefault="00FD7214" w:rsidP="00687AD1"/>
    <w:p w:rsidR="00687AD1" w:rsidRDefault="00687AD1" w:rsidP="00687AD1">
      <w:r>
        <w:t>单位负责人</w:t>
      </w:r>
      <w:r>
        <w:rPr>
          <w:rFonts w:hint="eastAsia"/>
        </w:rPr>
        <w:t xml:space="preserve">： </w:t>
      </w:r>
      <w:r>
        <w:t xml:space="preserve">                             主管会计负责人</w:t>
      </w:r>
      <w:r>
        <w:rPr>
          <w:rFonts w:hint="eastAsia"/>
        </w:rPr>
        <w:t>：                           会计机构负责人：</w:t>
      </w:r>
    </w:p>
    <w:p w:rsidR="009A108F" w:rsidRPr="00687AD1" w:rsidRDefault="009A108F"/>
    <w:sectPr w:rsidR="009A108F" w:rsidRPr="0068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DC" w:rsidRDefault="001A2FDC" w:rsidP="008145EA">
      <w:r>
        <w:separator/>
      </w:r>
    </w:p>
  </w:endnote>
  <w:endnote w:type="continuationSeparator" w:id="0">
    <w:p w:rsidR="001A2FDC" w:rsidRDefault="001A2FDC" w:rsidP="0081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DC" w:rsidRDefault="001A2FDC" w:rsidP="008145EA">
      <w:r>
        <w:separator/>
      </w:r>
    </w:p>
  </w:footnote>
  <w:footnote w:type="continuationSeparator" w:id="0">
    <w:p w:rsidR="001A2FDC" w:rsidRDefault="001A2FDC" w:rsidP="00814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D1"/>
    <w:rsid w:val="001A2FDC"/>
    <w:rsid w:val="00687AD1"/>
    <w:rsid w:val="006E618D"/>
    <w:rsid w:val="008145EA"/>
    <w:rsid w:val="009A108F"/>
    <w:rsid w:val="00BD19F7"/>
    <w:rsid w:val="00ED5E34"/>
    <w:rsid w:val="00F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16271"/>
  <w15:chartTrackingRefBased/>
  <w15:docId w15:val="{FEFDD73F-D794-4F36-BFD2-50A5D77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A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68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14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45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4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4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3</cp:revision>
  <dcterms:created xsi:type="dcterms:W3CDTF">2016-11-01T09:27:00Z</dcterms:created>
  <dcterms:modified xsi:type="dcterms:W3CDTF">2016-11-06T14:32:00Z</dcterms:modified>
</cp:coreProperties>
</file>