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96F97" w14:textId="34B370CE" w:rsidR="0004392E" w:rsidRPr="0004392E" w:rsidRDefault="0004392E" w:rsidP="0004392E">
      <w:pPr>
        <w:jc w:val="center"/>
        <w:rPr>
          <w:rFonts w:ascii="Times New Roman" w:hAnsi="Times New Roman" w:cs="Times New Roman"/>
          <w:b/>
          <w:bCs/>
        </w:rPr>
      </w:pPr>
      <w:r w:rsidRPr="0004392E">
        <w:rPr>
          <w:rFonts w:ascii="Times New Roman" w:hAnsi="Times New Roman" w:cs="Times New Roman"/>
          <w:b/>
          <w:bCs/>
        </w:rPr>
        <w:t>Supplementary</w:t>
      </w:r>
      <w:r w:rsidRPr="0004392E">
        <w:rPr>
          <w:rFonts w:ascii="Times New Roman" w:hAnsi="Times New Roman" w:cs="Times New Roman"/>
          <w:b/>
          <w:bCs/>
        </w:rPr>
        <w:t xml:space="preserve"> Information</w:t>
      </w:r>
    </w:p>
    <w:p w14:paraId="22DAB27F" w14:textId="77777777" w:rsidR="0004392E" w:rsidRPr="0004392E" w:rsidRDefault="0004392E" w:rsidP="0004392E">
      <w:pPr>
        <w:jc w:val="center"/>
        <w:rPr>
          <w:rFonts w:ascii="Times New Roman" w:hAnsi="Times New Roman" w:cs="Times New Roman"/>
        </w:rPr>
      </w:pPr>
    </w:p>
    <w:p w14:paraId="3AFE8648" w14:textId="79E93E50" w:rsidR="0004392E" w:rsidRPr="0004392E" w:rsidRDefault="0004392E" w:rsidP="0004392E">
      <w:pPr>
        <w:jc w:val="center"/>
        <w:rPr>
          <w:rFonts w:ascii="Times New Roman" w:hAnsi="Times New Roman" w:cs="Times New Roman"/>
          <w:b/>
          <w:bCs/>
        </w:rPr>
      </w:pPr>
      <w:r w:rsidRPr="0004392E">
        <w:rPr>
          <w:rFonts w:ascii="Times New Roman" w:hAnsi="Times New Roman" w:cs="Times New Roman"/>
          <w:b/>
          <w:bCs/>
        </w:rPr>
        <w:t>The Stress Test That Changed Nothing: Pre-pandemic Social Cohesion Determined Lockdown Strategy but Neither the Virus nor the Response Drove Polarization in OECD Nations</w:t>
      </w:r>
    </w:p>
    <w:p w14:paraId="51725152" w14:textId="77777777" w:rsidR="0004392E" w:rsidRPr="0004392E" w:rsidRDefault="0004392E" w:rsidP="0004392E">
      <w:pPr>
        <w:rPr>
          <w:rFonts w:ascii="Times New Roman" w:hAnsi="Times New Roman" w:cs="Times New Roman"/>
        </w:rPr>
      </w:pPr>
    </w:p>
    <w:p w14:paraId="28F63BC2" w14:textId="09B1B155" w:rsidR="0004392E" w:rsidRPr="0004392E" w:rsidRDefault="0004392E" w:rsidP="0004392E">
      <w:pPr>
        <w:rPr>
          <w:rFonts w:ascii="Times New Roman" w:hAnsi="Times New Roman" w:cs="Times New Roman"/>
          <w:b/>
          <w:bCs/>
        </w:rPr>
      </w:pPr>
      <w:r w:rsidRPr="0004392E">
        <w:rPr>
          <w:rFonts w:ascii="Times New Roman" w:hAnsi="Times New Roman" w:cs="Times New Roman"/>
          <w:b/>
          <w:bCs/>
        </w:rPr>
        <w:t>SI Text 1: Robustness to Economic Support</w:t>
      </w:r>
    </w:p>
    <w:p w14:paraId="095F46A4" w14:textId="77777777" w:rsidR="0004392E" w:rsidRPr="0004392E" w:rsidRDefault="0004392E" w:rsidP="0004392E">
      <w:pPr>
        <w:rPr>
          <w:rFonts w:ascii="Times New Roman" w:hAnsi="Times New Roman" w:cs="Times New Roman"/>
        </w:rPr>
      </w:pPr>
    </w:p>
    <w:p w14:paraId="2725A7CB" w14:textId="77777777" w:rsidR="0004392E" w:rsidRPr="0004392E" w:rsidRDefault="0004392E" w:rsidP="0004392E">
      <w:pPr>
        <w:rPr>
          <w:rFonts w:ascii="Times New Roman" w:hAnsi="Times New Roman" w:cs="Times New Roman"/>
        </w:rPr>
      </w:pPr>
      <w:r w:rsidRPr="0004392E">
        <w:rPr>
          <w:rFonts w:ascii="Times New Roman" w:hAnsi="Times New Roman" w:cs="Times New Roman"/>
        </w:rPr>
        <w:t>A plausible alternative explanation for the null stringency–polarization finding is that governments simultaneously deployed economic support measures — income subsidies, debt relief, and fiscal transfers — that offset the social costs of lockdowns. Under this "economic buffer" hypothesis, strict lockdowns might indeed erode social cohesion, but the effect would be masked by compensatory fiscal policy.</w:t>
      </w:r>
    </w:p>
    <w:p w14:paraId="05DDD439" w14:textId="4D2188F8" w:rsidR="0004392E" w:rsidRPr="0004392E" w:rsidRDefault="0004392E" w:rsidP="0004392E">
      <w:pPr>
        <w:rPr>
          <w:rFonts w:ascii="Times New Roman" w:hAnsi="Times New Roman" w:cs="Times New Roman"/>
        </w:rPr>
      </w:pPr>
      <w:r>
        <w:rPr>
          <w:rFonts w:ascii="Times New Roman" w:hAnsi="Times New Roman" w:cs="Times New Roman"/>
        </w:rPr>
        <w:tab/>
      </w:r>
      <w:r w:rsidRPr="0004392E">
        <w:rPr>
          <w:rFonts w:ascii="Times New Roman" w:hAnsi="Times New Roman" w:cs="Times New Roman"/>
        </w:rPr>
        <w:t xml:space="preserve">To test this hypothesis, we augment the main TWFE first-difference model with the </w:t>
      </w:r>
      <w:proofErr w:type="spellStart"/>
      <w:r w:rsidRPr="0004392E">
        <w:rPr>
          <w:rFonts w:ascii="Times New Roman" w:hAnsi="Times New Roman" w:cs="Times New Roman"/>
        </w:rPr>
        <w:t>OxCGRT</w:t>
      </w:r>
      <w:proofErr w:type="spellEnd"/>
      <w:r w:rsidRPr="0004392E">
        <w:rPr>
          <w:rFonts w:ascii="Times New Roman" w:hAnsi="Times New Roman" w:cs="Times New Roman"/>
        </w:rPr>
        <w:t xml:space="preserve"> Economic Support Index (0–100), which captures income support (E1) and debt/contract relief for households (E2). We estimate:</w:t>
      </w:r>
    </w:p>
    <w:p w14:paraId="2A2340FC" w14:textId="77777777" w:rsidR="0004392E" w:rsidRDefault="0004392E" w:rsidP="0004392E">
      <w:pPr>
        <w:rPr>
          <w:rFonts w:ascii="Times New Roman" w:hAnsi="Times New Roman" w:cs="Times New Roman"/>
        </w:rPr>
      </w:pPr>
    </w:p>
    <w:p w14:paraId="1F21C083" w14:textId="03E5A46D" w:rsidR="0004392E" w:rsidRPr="0004392E" w:rsidRDefault="0004392E" w:rsidP="0004392E">
      <w:pPr>
        <w:rPr>
          <w:rFonts w:ascii="Times New Roman" w:hAnsi="Times New Roman" w:cs="Times New Roman"/>
        </w:rPr>
      </w:pPr>
      <m:oMathPara>
        <m:oMath>
          <m:r>
            <m:rPr>
              <m:sty m:val="p"/>
            </m:rPr>
            <w:rPr>
              <w:rFonts w:ascii="Cambria Math" w:hAnsi="Cambria Math" w:cs="Times New Roman"/>
            </w:rPr>
            <m:t>Δ</m:t>
          </m:r>
          <m:sSub>
            <m:sSubPr>
              <m:ctrlPr>
                <w:rPr>
                  <w:rFonts w:ascii="Cambria Math" w:eastAsiaTheme="minorEastAsia" w:hAnsi="Cambria Math" w:cs="Times New Roman"/>
                  <w:i/>
                  <w:kern w:val="2"/>
                </w:rPr>
              </m:ctrlPr>
            </m:sSubPr>
            <m:e>
              <m:r>
                <w:rPr>
                  <w:rFonts w:ascii="Cambria Math" w:hAnsi="Cambria Math" w:cs="Times New Roman"/>
                </w:rPr>
                <m:t>Polarization</m:t>
              </m:r>
            </m:e>
            <m:sub>
              <m:r>
                <w:rPr>
                  <w:rFonts w:ascii="Cambria Math" w:hAnsi="Cambria Math" w:cs="Times New Roman"/>
                </w:rPr>
                <m:t>it</m:t>
              </m:r>
            </m:sub>
          </m:sSub>
          <m:r>
            <w:rPr>
              <w:rFonts w:ascii="Cambria Math" w:hAnsi="Cambria Math" w:cs="Times New Roman"/>
            </w:rPr>
            <m:t>=</m:t>
          </m:r>
          <m:sSub>
            <m:sSubPr>
              <m:ctrlPr>
                <w:rPr>
                  <w:rFonts w:ascii="Cambria Math" w:eastAsiaTheme="minorEastAsia" w:hAnsi="Cambria Math" w:cs="Times New Roman"/>
                  <w:i/>
                  <w:kern w:val="2"/>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m:t>
          </m:r>
          <m:sSub>
            <m:sSubPr>
              <m:ctrlPr>
                <w:rPr>
                  <w:rFonts w:ascii="Cambria Math" w:eastAsiaTheme="minorEastAsia" w:hAnsi="Cambria Math" w:cs="Times New Roman"/>
                  <w:i/>
                  <w:kern w:val="2"/>
                </w:rPr>
              </m:ctrlPr>
            </m:sSubPr>
            <m:e>
              <m:r>
                <w:rPr>
                  <w:rFonts w:ascii="Cambria Math" w:hAnsi="Cambria Math" w:cs="Times New Roman"/>
                </w:rPr>
                <m:t>Stringency</m:t>
              </m:r>
            </m:e>
            <m:sub>
              <m:r>
                <w:rPr>
                  <w:rFonts w:ascii="Cambria Math" w:hAnsi="Cambria Math" w:cs="Times New Roman"/>
                </w:rPr>
                <m:t>it</m:t>
              </m:r>
            </m:sub>
          </m:sSub>
          <m:r>
            <w:rPr>
              <w:rFonts w:ascii="Cambria Math" w:hAnsi="Cambria Math" w:cs="Times New Roman"/>
            </w:rPr>
            <m:t>+</m:t>
          </m:r>
          <m:sSub>
            <m:sSubPr>
              <m:ctrlPr>
                <w:rPr>
                  <w:rFonts w:ascii="Cambria Math" w:eastAsiaTheme="minorEastAsia" w:hAnsi="Cambria Math" w:cs="Times New Roman"/>
                  <w:i/>
                  <w:kern w:val="2"/>
                </w:rPr>
              </m:ctrlPr>
            </m:sSubPr>
            <m:e>
              <m:r>
                <w:rPr>
                  <w:rFonts w:ascii="Cambria Math" w:hAnsi="Cambria Math" w:cs="Times New Roman"/>
                </w:rPr>
                <m:t>β</m:t>
              </m:r>
            </m:e>
            <m:sub>
              <m:r>
                <w:rPr>
                  <w:rFonts w:ascii="Cambria Math" w:hAnsi="Cambria Math" w:cs="Times New Roman"/>
                </w:rPr>
                <m:t>2</m:t>
              </m:r>
            </m:sub>
          </m:sSub>
          <m:sSub>
            <m:sSubPr>
              <m:ctrlPr>
                <w:rPr>
                  <w:rFonts w:ascii="Cambria Math" w:eastAsiaTheme="minorEastAsia" w:hAnsi="Cambria Math" w:cs="Times New Roman"/>
                  <w:i/>
                  <w:kern w:val="2"/>
                </w:rPr>
              </m:ctrlPr>
            </m:sSubPr>
            <m:e>
              <m:r>
                <w:rPr>
                  <w:rFonts w:ascii="Cambria Math" w:hAnsi="Cambria Math" w:cs="Times New Roman"/>
                </w:rPr>
                <m:t>EconSupport</m:t>
              </m:r>
            </m:e>
            <m:sub>
              <m:r>
                <w:rPr>
                  <w:rFonts w:ascii="Cambria Math" w:hAnsi="Cambria Math" w:cs="Times New Roman"/>
                </w:rPr>
                <m:t>it</m:t>
              </m:r>
            </m:sub>
          </m:sSub>
          <m:r>
            <w:rPr>
              <w:rFonts w:ascii="Cambria Math" w:hAnsi="Cambria Math" w:cs="Times New Roman"/>
            </w:rPr>
            <m:t>+</m:t>
          </m:r>
          <m:sSub>
            <m:sSubPr>
              <m:ctrlPr>
                <w:rPr>
                  <w:rFonts w:ascii="Cambria Math" w:eastAsiaTheme="minorEastAsia" w:hAnsi="Cambria Math" w:cs="Times New Roman"/>
                  <w:i/>
                  <w:kern w:val="2"/>
                </w:rPr>
              </m:ctrlPr>
            </m:sSubPr>
            <m:e>
              <m:r>
                <w:rPr>
                  <w:rFonts w:ascii="Cambria Math" w:hAnsi="Cambria Math" w:cs="Times New Roman"/>
                </w:rPr>
                <m:t>β</m:t>
              </m:r>
            </m:e>
            <m:sub>
              <m:r>
                <w:rPr>
                  <w:rFonts w:ascii="Cambria Math" w:hAnsi="Cambria Math" w:cs="Times New Roman"/>
                </w:rPr>
                <m:t>3</m:t>
              </m:r>
            </m:sub>
          </m:sSub>
          <m:r>
            <w:rPr>
              <w:rFonts w:ascii="Cambria Math" w:hAnsi="Cambria Math" w:cs="Times New Roman"/>
            </w:rPr>
            <m:t>Stringency×</m:t>
          </m:r>
          <m:sSub>
            <m:sSubPr>
              <m:ctrlPr>
                <w:rPr>
                  <w:rFonts w:ascii="Cambria Math" w:eastAsiaTheme="minorEastAsia" w:hAnsi="Cambria Math" w:cs="Times New Roman"/>
                  <w:i/>
                  <w:kern w:val="2"/>
                </w:rPr>
              </m:ctrlPr>
            </m:sSubPr>
            <m:e>
              <m:r>
                <w:rPr>
                  <w:rFonts w:ascii="Cambria Math" w:hAnsi="Cambria Math" w:cs="Times New Roman"/>
                </w:rPr>
                <m:t>EconSupport</m:t>
              </m:r>
            </m:e>
            <m:sub>
              <m:r>
                <w:rPr>
                  <w:rFonts w:ascii="Cambria Math" w:hAnsi="Cambria Math" w:cs="Times New Roman"/>
                </w:rPr>
                <m:t>it</m:t>
              </m:r>
            </m:sub>
          </m:sSub>
          <m:r>
            <w:rPr>
              <w:rFonts w:ascii="Cambria Math" w:hAnsi="Cambria Math" w:cs="Times New Roman"/>
            </w:rPr>
            <m:t>+</m:t>
          </m:r>
          <m:sSub>
            <m:sSubPr>
              <m:ctrlPr>
                <w:rPr>
                  <w:rFonts w:ascii="Cambria Math" w:eastAsiaTheme="minorEastAsia" w:hAnsi="Cambria Math" w:cs="Times New Roman"/>
                  <w:i/>
                  <w:kern w:val="2"/>
                </w:rPr>
              </m:ctrlPr>
            </m:sSubPr>
            <m:e>
              <m:r>
                <w:rPr>
                  <w:rFonts w:ascii="Cambria Math" w:hAnsi="Cambria Math" w:cs="Times New Roman"/>
                </w:rPr>
                <m:t>α</m:t>
              </m:r>
            </m:e>
            <m:sub>
              <m:r>
                <w:rPr>
                  <w:rFonts w:ascii="Cambria Math" w:hAnsi="Cambria Math" w:cs="Times New Roman"/>
                </w:rPr>
                <m:t>i</m:t>
              </m:r>
            </m:sub>
          </m:sSub>
          <m:r>
            <w:rPr>
              <w:rFonts w:ascii="Cambria Math" w:hAnsi="Cambria Math" w:cs="Times New Roman"/>
            </w:rPr>
            <m:t>+</m:t>
          </m:r>
          <m:sSub>
            <m:sSubPr>
              <m:ctrlPr>
                <w:rPr>
                  <w:rFonts w:ascii="Cambria Math" w:eastAsiaTheme="minorEastAsia" w:hAnsi="Cambria Math" w:cs="Times New Roman"/>
                  <w:i/>
                  <w:kern w:val="2"/>
                </w:rPr>
              </m:ctrlPr>
            </m:sSubPr>
            <m:e>
              <m:r>
                <w:rPr>
                  <w:rFonts w:ascii="Cambria Math" w:hAnsi="Cambria Math" w:cs="Times New Roman"/>
                </w:rPr>
                <m:t>γ</m:t>
              </m:r>
            </m:e>
            <m:sub>
              <m:r>
                <w:rPr>
                  <w:rFonts w:ascii="Cambria Math" w:hAnsi="Cambria Math" w:cs="Times New Roman"/>
                </w:rPr>
                <m:t>t</m:t>
              </m:r>
            </m:sub>
          </m:sSub>
          <m:r>
            <w:rPr>
              <w:rFonts w:ascii="Cambria Math" w:hAnsi="Cambria Math" w:cs="Times New Roman"/>
            </w:rPr>
            <m:t>+</m:t>
          </m:r>
          <m:sSub>
            <m:sSubPr>
              <m:ctrlPr>
                <w:rPr>
                  <w:rFonts w:ascii="Cambria Math" w:eastAsiaTheme="minorEastAsia" w:hAnsi="Cambria Math" w:cs="Times New Roman"/>
                  <w:i/>
                  <w:kern w:val="2"/>
                </w:rPr>
              </m:ctrlPr>
            </m:sSubPr>
            <m:e>
              <m:r>
                <w:rPr>
                  <w:rFonts w:ascii="Cambria Math" w:hAnsi="Cambria Math" w:cs="Times New Roman"/>
                </w:rPr>
                <m:t>ε</m:t>
              </m:r>
            </m:e>
            <m:sub>
              <m:r>
                <w:rPr>
                  <w:rFonts w:ascii="Cambria Math" w:hAnsi="Cambria Math" w:cs="Times New Roman"/>
                </w:rPr>
                <m:t>it</m:t>
              </m:r>
            </m:sub>
          </m:sSub>
        </m:oMath>
      </m:oMathPara>
    </w:p>
    <w:p w14:paraId="5B0A9886" w14:textId="77777777" w:rsidR="0004392E" w:rsidRPr="0004392E" w:rsidRDefault="0004392E" w:rsidP="0004392E">
      <w:pPr>
        <w:rPr>
          <w:rFonts w:ascii="Times New Roman" w:hAnsi="Times New Roman" w:cs="Times New Roman"/>
        </w:rPr>
      </w:pPr>
    </w:p>
    <w:p w14:paraId="0A25CE86" w14:textId="77777777" w:rsidR="0004392E" w:rsidRPr="0004392E" w:rsidRDefault="0004392E" w:rsidP="0004392E">
      <w:pPr>
        <w:rPr>
          <w:rFonts w:ascii="Times New Roman" w:hAnsi="Times New Roman" w:cs="Times New Roman"/>
          <w:i/>
          <w:iCs/>
        </w:rPr>
      </w:pPr>
      <w:r w:rsidRPr="0004392E">
        <w:rPr>
          <w:rFonts w:ascii="Times New Roman" w:hAnsi="Times New Roman" w:cs="Times New Roman"/>
          <w:i/>
          <w:iCs/>
        </w:rPr>
        <w:t>Results</w:t>
      </w:r>
    </w:p>
    <w:p w14:paraId="408A3B46" w14:textId="0C4F537B" w:rsidR="0004392E" w:rsidRPr="0004392E" w:rsidRDefault="0004392E" w:rsidP="0004392E">
      <w:pPr>
        <w:rPr>
          <w:rFonts w:ascii="Times New Roman" w:hAnsi="Times New Roman" w:cs="Times New Roman"/>
        </w:rPr>
      </w:pPr>
      <w:r w:rsidRPr="0004392E">
        <w:rPr>
          <w:rFonts w:ascii="Times New Roman" w:hAnsi="Times New Roman" w:cs="Times New Roman"/>
        </w:rPr>
        <w:t>In the additive specification, the stringency coefficient remains negative and non-significant (</w:t>
      </w:r>
      <m:oMath>
        <m:acc>
          <m:accPr>
            <m:ctrlPr>
              <w:rPr>
                <w:rFonts w:ascii="Cambria Math" w:eastAsiaTheme="minorEastAsia" w:hAnsi="Cambria Math" w:cs="Times New Roman"/>
                <w:i/>
                <w:kern w:val="2"/>
              </w:rPr>
            </m:ctrlPr>
          </m:accPr>
          <m:e>
            <m:sSub>
              <m:sSubPr>
                <m:ctrlPr>
                  <w:rPr>
                    <w:rFonts w:ascii="Cambria Math" w:eastAsiaTheme="minorEastAsia" w:hAnsi="Cambria Math" w:cs="Times New Roman"/>
                    <w:i/>
                    <w:kern w:val="2"/>
                  </w:rPr>
                </m:ctrlPr>
              </m:sSubPr>
              <m:e>
                <m:r>
                  <w:rPr>
                    <w:rFonts w:ascii="Cambria Math" w:hAnsi="Cambria Math" w:cs="Times New Roman"/>
                  </w:rPr>
                  <m:t>β</m:t>
                </m:r>
              </m:e>
              <m:sub>
                <m:r>
                  <w:rPr>
                    <w:rFonts w:ascii="Cambria Math" w:hAnsi="Cambria Math" w:cs="Times New Roman"/>
                  </w:rPr>
                  <m:t>1</m:t>
                </m:r>
              </m:sub>
            </m:sSub>
          </m:e>
        </m:acc>
      </m:oMath>
      <w:r w:rsidRPr="0004392E">
        <w:rPr>
          <w:rFonts w:ascii="Times New Roman" w:hAnsi="Times New Roman" w:cs="Times New Roman"/>
        </w:rPr>
        <w:t xml:space="preserve"> = −0.913, p = 0.15), and the economic support coefficient is also non-significant (</w:t>
      </w:r>
      <m:oMath>
        <m:acc>
          <m:accPr>
            <m:ctrlPr>
              <w:rPr>
                <w:rFonts w:ascii="Cambria Math" w:eastAsiaTheme="minorEastAsia" w:hAnsi="Cambria Math" w:cs="Times New Roman"/>
                <w:i/>
                <w:kern w:val="2"/>
              </w:rPr>
            </m:ctrlPr>
          </m:accPr>
          <m:e>
            <m:sSub>
              <m:sSubPr>
                <m:ctrlPr>
                  <w:rPr>
                    <w:rFonts w:ascii="Cambria Math" w:eastAsiaTheme="minorEastAsia" w:hAnsi="Cambria Math" w:cs="Times New Roman"/>
                    <w:i/>
                    <w:kern w:val="2"/>
                  </w:rPr>
                </m:ctrlPr>
              </m:sSubPr>
              <m:e>
                <m:r>
                  <w:rPr>
                    <w:rFonts w:ascii="Cambria Math" w:hAnsi="Cambria Math" w:cs="Times New Roman"/>
                  </w:rPr>
                  <m:t>β</m:t>
                </m:r>
              </m:e>
              <m:sub>
                <m:r>
                  <w:rPr>
                    <w:rFonts w:ascii="Cambria Math" w:hAnsi="Cambria Math" w:cs="Times New Roman"/>
                  </w:rPr>
                  <m:t>2</m:t>
                </m:r>
              </m:sub>
            </m:sSub>
          </m:e>
        </m:acc>
      </m:oMath>
      <w:r w:rsidRPr="0004392E">
        <w:rPr>
          <w:rFonts w:ascii="Times New Roman" w:hAnsi="Times New Roman" w:cs="Times New Roman"/>
        </w:rPr>
        <w:t xml:space="preserve"> = +0.213, p = 0.16). In the interaction specification, the stringency main effect strengthens (</w:t>
      </w:r>
      <m:oMath>
        <m:acc>
          <m:accPr>
            <m:ctrlPr>
              <w:rPr>
                <w:rFonts w:ascii="Cambria Math" w:eastAsiaTheme="minorEastAsia" w:hAnsi="Cambria Math" w:cs="Times New Roman"/>
                <w:i/>
                <w:kern w:val="2"/>
              </w:rPr>
            </m:ctrlPr>
          </m:accPr>
          <m:e>
            <m:sSub>
              <m:sSubPr>
                <m:ctrlPr>
                  <w:rPr>
                    <w:rFonts w:ascii="Cambria Math" w:eastAsiaTheme="minorEastAsia" w:hAnsi="Cambria Math" w:cs="Times New Roman"/>
                    <w:i/>
                    <w:kern w:val="2"/>
                  </w:rPr>
                </m:ctrlPr>
              </m:sSubPr>
              <m:e>
                <m:r>
                  <w:rPr>
                    <w:rFonts w:ascii="Cambria Math" w:hAnsi="Cambria Math" w:cs="Times New Roman"/>
                  </w:rPr>
                  <m:t>β</m:t>
                </m:r>
              </m:e>
              <m:sub>
                <m:r>
                  <w:rPr>
                    <w:rFonts w:ascii="Cambria Math" w:hAnsi="Cambria Math" w:cs="Times New Roman"/>
                  </w:rPr>
                  <m:t>1</m:t>
                </m:r>
              </m:sub>
            </m:sSub>
          </m:e>
        </m:acc>
      </m:oMath>
      <w:r w:rsidRPr="0004392E">
        <w:rPr>
          <w:rFonts w:ascii="Times New Roman" w:hAnsi="Times New Roman" w:cs="Times New Roman"/>
        </w:rPr>
        <w:t xml:space="preserve"> = −1.654, p = 0.037), the economic support main effect remains null (</w:t>
      </w:r>
      <m:oMath>
        <m:acc>
          <m:accPr>
            <m:ctrlPr>
              <w:rPr>
                <w:rFonts w:ascii="Cambria Math" w:eastAsiaTheme="minorEastAsia" w:hAnsi="Cambria Math" w:cs="Times New Roman"/>
                <w:i/>
                <w:kern w:val="2"/>
              </w:rPr>
            </m:ctrlPr>
          </m:accPr>
          <m:e>
            <m:sSub>
              <m:sSubPr>
                <m:ctrlPr>
                  <w:rPr>
                    <w:rFonts w:ascii="Cambria Math" w:eastAsiaTheme="minorEastAsia" w:hAnsi="Cambria Math" w:cs="Times New Roman"/>
                    <w:i/>
                    <w:kern w:val="2"/>
                  </w:rPr>
                </m:ctrlPr>
              </m:sSubPr>
              <m:e>
                <m:r>
                  <w:rPr>
                    <w:rFonts w:ascii="Cambria Math" w:hAnsi="Cambria Math" w:cs="Times New Roman"/>
                  </w:rPr>
                  <m:t>β</m:t>
                </m:r>
              </m:e>
              <m:sub>
                <m:r>
                  <w:rPr>
                    <w:rFonts w:ascii="Cambria Math" w:hAnsi="Cambria Math" w:cs="Times New Roman"/>
                  </w:rPr>
                  <m:t>2</m:t>
                </m:r>
              </m:sub>
            </m:sSub>
          </m:e>
        </m:acc>
      </m:oMath>
      <w:r w:rsidRPr="0004392E">
        <w:rPr>
          <w:rFonts w:ascii="Times New Roman" w:hAnsi="Times New Roman" w:cs="Times New Roman"/>
        </w:rPr>
        <w:t xml:space="preserve"> = −0.260, p = 0.40), and the interaction term is marginally non-significant (</w:t>
      </w:r>
      <m:oMath>
        <m:acc>
          <m:accPr>
            <m:ctrlPr>
              <w:rPr>
                <w:rFonts w:ascii="Cambria Math" w:eastAsiaTheme="minorEastAsia" w:hAnsi="Cambria Math" w:cs="Times New Roman"/>
                <w:i/>
                <w:kern w:val="2"/>
              </w:rPr>
            </m:ctrlPr>
          </m:accPr>
          <m:e>
            <m:sSub>
              <m:sSubPr>
                <m:ctrlPr>
                  <w:rPr>
                    <w:rFonts w:ascii="Cambria Math" w:eastAsiaTheme="minorEastAsia" w:hAnsi="Cambria Math" w:cs="Times New Roman"/>
                    <w:i/>
                    <w:kern w:val="2"/>
                  </w:rPr>
                </m:ctrlPr>
              </m:sSubPr>
              <m:e>
                <m:r>
                  <w:rPr>
                    <w:rFonts w:ascii="Cambria Math" w:hAnsi="Cambria Math" w:cs="Times New Roman"/>
                  </w:rPr>
                  <m:t>β</m:t>
                </m:r>
              </m:e>
              <m:sub>
                <m:r>
                  <w:rPr>
                    <w:rFonts w:ascii="Cambria Math" w:hAnsi="Cambria Math" w:cs="Times New Roman"/>
                  </w:rPr>
                  <m:t>3</m:t>
                </m:r>
              </m:sub>
            </m:sSub>
          </m:e>
        </m:acc>
      </m:oMath>
      <w:r w:rsidRPr="0004392E">
        <w:rPr>
          <w:rFonts w:ascii="Times New Roman" w:hAnsi="Times New Roman" w:cs="Times New Roman"/>
        </w:rPr>
        <w:t xml:space="preserve"> = +1.328, p = 0.053). The marginal interaction suggests a slight tendency for economic support to attenuate the (negative) stringency effect, but the overall pattern does not support the economic buffer hypothesis. Critically, adding economic support controls does not reveal a hidden positive effect of stringency on polarization — the coefficient remains negative or null across all specifications. The null finding is not an artifact of omitted fiscal policy controls.</w:t>
      </w:r>
    </w:p>
    <w:p w14:paraId="29289004" w14:textId="1A907CDF" w:rsidR="0004392E" w:rsidRPr="0004392E" w:rsidRDefault="0004392E" w:rsidP="0004392E">
      <w:pPr>
        <w:rPr>
          <w:rFonts w:ascii="Times New Roman" w:hAnsi="Times New Roman" w:cs="Times New Roman"/>
        </w:rPr>
      </w:pPr>
      <w:r>
        <w:rPr>
          <w:rFonts w:ascii="Times New Roman" w:hAnsi="Times New Roman" w:cs="Times New Roman"/>
        </w:rPr>
        <w:tab/>
      </w:r>
      <w:r w:rsidRPr="0004392E">
        <w:rPr>
          <w:rFonts w:ascii="Times New Roman" w:hAnsi="Times New Roman" w:cs="Times New Roman"/>
        </w:rPr>
        <w:t>In a cross-sectional OLS regression of total polarization change (2019–2024) on mean stringency and mean economic support (2020–2021), stringency retains its significant negative association (</w:t>
      </w:r>
      <m:oMath>
        <m:acc>
          <m:accPr>
            <m:ctrlPr>
              <w:rPr>
                <w:rFonts w:ascii="Cambria Math" w:eastAsiaTheme="minorEastAsia" w:hAnsi="Cambria Math" w:cs="Times New Roman"/>
                <w:i/>
                <w:kern w:val="2"/>
              </w:rPr>
            </m:ctrlPr>
          </m:accPr>
          <m:e>
            <m:r>
              <w:rPr>
                <w:rFonts w:ascii="Cambria Math" w:hAnsi="Cambria Math" w:cs="Times New Roman"/>
              </w:rPr>
              <m:t>β</m:t>
            </m:r>
          </m:e>
        </m:acc>
      </m:oMath>
      <w:r w:rsidRPr="0004392E">
        <w:rPr>
          <w:rFonts w:ascii="Times New Roman" w:hAnsi="Times New Roman" w:cs="Times New Roman"/>
        </w:rPr>
        <w:t xml:space="preserve"> = −0.054, p = 0.008) while economic support is non-</w:t>
      </w:r>
      <w:r w:rsidRPr="0004392E">
        <w:rPr>
          <w:rFonts w:ascii="Times New Roman" w:hAnsi="Times New Roman" w:cs="Times New Roman"/>
        </w:rPr>
        <w:lastRenderedPageBreak/>
        <w:t>significant (</w:t>
      </w:r>
      <m:oMath>
        <m:acc>
          <m:accPr>
            <m:ctrlPr>
              <w:rPr>
                <w:rFonts w:ascii="Cambria Math" w:eastAsiaTheme="minorEastAsia" w:hAnsi="Cambria Math" w:cs="Times New Roman"/>
                <w:i/>
                <w:kern w:val="2"/>
              </w:rPr>
            </m:ctrlPr>
          </m:accPr>
          <m:e>
            <m:r>
              <w:rPr>
                <w:rFonts w:ascii="Cambria Math" w:hAnsi="Cambria Math" w:cs="Times New Roman"/>
              </w:rPr>
              <m:t>β</m:t>
            </m:r>
          </m:e>
        </m:acc>
      </m:oMath>
      <w:r w:rsidRPr="0004392E">
        <w:rPr>
          <w:rFonts w:ascii="Times New Roman" w:hAnsi="Times New Roman" w:cs="Times New Roman"/>
        </w:rPr>
        <w:t xml:space="preserve"> = +0.006, p = 0.36). Economic support measures — however important for individual welfare — did not detectably moderate the relationship between lockdowns and social polarization.</w:t>
      </w:r>
    </w:p>
    <w:p w14:paraId="0ACDA22D" w14:textId="77777777" w:rsidR="0004392E" w:rsidRDefault="0004392E" w:rsidP="0004392E">
      <w:pPr>
        <w:rPr>
          <w:rFonts w:ascii="Times New Roman" w:hAnsi="Times New Roman" w:cs="Times New Roman"/>
        </w:rPr>
      </w:pPr>
    </w:p>
    <w:p w14:paraId="6529C604" w14:textId="0056537D" w:rsidR="0004392E" w:rsidRPr="0004392E" w:rsidRDefault="0004392E" w:rsidP="0004392E">
      <w:pPr>
        <w:rPr>
          <w:rFonts w:ascii="Times New Roman" w:hAnsi="Times New Roman" w:cs="Times New Roman"/>
          <w:b/>
          <w:bCs/>
        </w:rPr>
      </w:pPr>
      <w:r w:rsidRPr="0004392E">
        <w:rPr>
          <w:rFonts w:ascii="Times New Roman" w:hAnsi="Times New Roman" w:cs="Times New Roman"/>
          <w:b/>
          <w:bCs/>
        </w:rPr>
        <w:t>SI Text 2: Controlling for GDP in the Selection Mechanism</w:t>
      </w:r>
    </w:p>
    <w:p w14:paraId="0E9E7D05" w14:textId="77777777" w:rsidR="0004392E" w:rsidRPr="0004392E" w:rsidRDefault="0004392E" w:rsidP="0004392E">
      <w:pPr>
        <w:rPr>
          <w:rFonts w:ascii="Times New Roman" w:hAnsi="Times New Roman" w:cs="Times New Roman"/>
        </w:rPr>
      </w:pPr>
    </w:p>
    <w:p w14:paraId="712EDC11" w14:textId="0160B78E" w:rsidR="0004392E" w:rsidRPr="0004392E" w:rsidRDefault="0004392E" w:rsidP="0004392E">
      <w:pPr>
        <w:rPr>
          <w:rFonts w:ascii="Times New Roman" w:hAnsi="Times New Roman" w:cs="Times New Roman"/>
        </w:rPr>
      </w:pPr>
      <w:r w:rsidRPr="0004392E">
        <w:rPr>
          <w:rFonts w:ascii="Times New Roman" w:hAnsi="Times New Roman" w:cs="Times New Roman"/>
        </w:rPr>
        <w:t>A potential confounder of the selection effect (Figure 3, r = −0.51) is national wealth. Richer countries tend to have both higher social capital and different governance capacities, raising the possibility that GDP per capita, not social cohesion, drives the association between pre-pandemic conditions and lockdown stringency. We test this hypothesis by estimating:</w:t>
      </w:r>
    </w:p>
    <w:p w14:paraId="2DBD5B4F" w14:textId="77777777" w:rsidR="0004392E" w:rsidRDefault="0004392E" w:rsidP="0004392E">
      <w:pPr>
        <w:rPr>
          <w:rFonts w:ascii="Times New Roman" w:hAnsi="Times New Roman" w:cs="Times New Roman"/>
        </w:rPr>
      </w:pPr>
    </w:p>
    <w:p w14:paraId="5464A52A" w14:textId="203D389F" w:rsidR="0004392E" w:rsidRPr="0004392E" w:rsidRDefault="0004392E" w:rsidP="0004392E">
      <w:pPr>
        <w:rPr>
          <w:rFonts w:ascii="Times New Roman" w:hAnsi="Times New Roman" w:cs="Times New Roman"/>
        </w:rPr>
      </w:pPr>
      <m:oMathPara>
        <m:oMath>
          <m:sSub>
            <m:sSubPr>
              <m:ctrlPr>
                <w:rPr>
                  <w:rFonts w:ascii="Cambria Math" w:eastAsiaTheme="minorEastAsia" w:hAnsi="Cambria Math" w:cs="Times New Roman"/>
                  <w:i/>
                  <w:kern w:val="2"/>
                </w:rPr>
              </m:ctrlPr>
            </m:sSubPr>
            <m:e>
              <m:r>
                <w:rPr>
                  <w:rFonts w:ascii="Cambria Math" w:hAnsi="Cambria Math" w:cs="Times New Roman"/>
                </w:rPr>
                <m:t>Stringency</m:t>
              </m:r>
            </m:e>
            <m:sub>
              <m:r>
                <w:rPr>
                  <w:rFonts w:ascii="Cambria Math" w:hAnsi="Cambria Math" w:cs="Times New Roman"/>
                </w:rPr>
                <m:t>i</m:t>
              </m:r>
            </m:sub>
          </m:sSub>
          <m:r>
            <w:rPr>
              <w:rFonts w:ascii="Cambria Math" w:hAnsi="Cambria Math" w:cs="Times New Roman"/>
            </w:rPr>
            <m:t>=</m:t>
          </m:r>
          <m:sSub>
            <m:sSubPr>
              <m:ctrlPr>
                <w:rPr>
                  <w:rFonts w:ascii="Cambria Math" w:eastAsiaTheme="minorEastAsia" w:hAnsi="Cambria Math" w:cs="Times New Roman"/>
                  <w:i/>
                  <w:kern w:val="2"/>
                </w:rPr>
              </m:ctrlPr>
            </m:sSubPr>
            <m:e>
              <m:r>
                <w:rPr>
                  <w:rFonts w:ascii="Cambria Math" w:hAnsi="Cambria Math" w:cs="Times New Roman"/>
                </w:rPr>
                <m:t>β</m:t>
              </m:r>
            </m:e>
            <m:sub>
              <m:r>
                <w:rPr>
                  <w:rFonts w:ascii="Cambria Math" w:hAnsi="Cambria Math" w:cs="Times New Roman"/>
                </w:rPr>
                <m:t>1</m:t>
              </m:r>
            </m:sub>
          </m:sSub>
          <m:sSub>
            <m:sSubPr>
              <m:ctrlPr>
                <w:rPr>
                  <w:rFonts w:ascii="Cambria Math" w:eastAsiaTheme="minorEastAsia" w:hAnsi="Cambria Math" w:cs="Times New Roman"/>
                  <w:i/>
                  <w:kern w:val="2"/>
                </w:rPr>
              </m:ctrlPr>
            </m:sSubPr>
            <m:e>
              <m:r>
                <w:rPr>
                  <w:rFonts w:ascii="Cambria Math" w:hAnsi="Cambria Math" w:cs="Times New Roman"/>
                </w:rPr>
                <m:t>SocialCohesion</m:t>
              </m:r>
            </m:e>
            <m:sub>
              <m:r>
                <w:rPr>
                  <w:rFonts w:ascii="Cambria Math" w:hAnsi="Cambria Math" w:cs="Times New Roman"/>
                </w:rPr>
                <m:t>i</m:t>
              </m:r>
            </m:sub>
          </m:sSub>
          <m:r>
            <w:rPr>
              <w:rFonts w:ascii="Cambria Math" w:hAnsi="Cambria Math" w:cs="Times New Roman"/>
            </w:rPr>
            <m:t>+</m:t>
          </m:r>
          <m:sSub>
            <m:sSubPr>
              <m:ctrlPr>
                <w:rPr>
                  <w:rFonts w:ascii="Cambria Math" w:eastAsiaTheme="minorEastAsia" w:hAnsi="Cambria Math" w:cs="Times New Roman"/>
                  <w:i/>
                  <w:kern w:val="2"/>
                </w:rPr>
              </m:ctrlPr>
            </m:sSubPr>
            <m:e>
              <m:r>
                <w:rPr>
                  <w:rFonts w:ascii="Cambria Math" w:hAnsi="Cambria Math" w:cs="Times New Roman"/>
                </w:rPr>
                <m:t>β</m:t>
              </m:r>
            </m:e>
            <m:sub>
              <m:r>
                <w:rPr>
                  <w:rFonts w:ascii="Cambria Math" w:hAnsi="Cambria Math" w:cs="Times New Roman"/>
                </w:rPr>
                <m:t>2</m:t>
              </m:r>
            </m:sub>
          </m:sSub>
          <m:func>
            <m:funcPr>
              <m:ctrlPr>
                <w:rPr>
                  <w:rFonts w:ascii="Cambria Math" w:eastAsiaTheme="minorEastAsia" w:hAnsi="Cambria Math" w:cs="Times New Roman"/>
                  <w:i/>
                  <w:kern w:val="2"/>
                </w:rPr>
              </m:ctrlPr>
            </m:funcPr>
            <m:fName>
              <m:r>
                <m:rPr>
                  <m:sty m:val="p"/>
                </m:rPr>
                <w:rPr>
                  <w:rFonts w:ascii="Cambria Math" w:hAnsi="Cambria Math" w:cs="Times New Roman"/>
                </w:rPr>
                <m:t>log</m:t>
              </m:r>
            </m:fName>
            <m:e>
              <m:sSub>
                <m:sSubPr>
                  <m:ctrlPr>
                    <w:rPr>
                      <w:rFonts w:ascii="Cambria Math" w:eastAsiaTheme="minorEastAsia" w:hAnsi="Cambria Math" w:cs="Times New Roman"/>
                      <w:i/>
                      <w:kern w:val="2"/>
                    </w:rPr>
                  </m:ctrlPr>
                </m:sSubPr>
                <m:e>
                  <m:r>
                    <w:rPr>
                      <w:rFonts w:ascii="Cambria Math" w:hAnsi="Cambria Math" w:cs="Times New Roman"/>
                    </w:rPr>
                    <m:t>GDP per capita</m:t>
                  </m:r>
                </m:e>
                <m:sub>
                  <m:r>
                    <w:rPr>
                      <w:rFonts w:ascii="Cambria Math" w:hAnsi="Cambria Math" w:cs="Times New Roman"/>
                    </w:rPr>
                    <m:t>i</m:t>
                  </m:r>
                </m:sub>
              </m:sSub>
            </m:e>
          </m:func>
          <m:r>
            <w:rPr>
              <w:rFonts w:ascii="Cambria Math" w:hAnsi="Cambria Math" w:cs="Times New Roman"/>
            </w:rPr>
            <m:t>+</m:t>
          </m:r>
          <m:sSub>
            <m:sSubPr>
              <m:ctrlPr>
                <w:rPr>
                  <w:rFonts w:ascii="Cambria Math" w:eastAsiaTheme="minorEastAsia" w:hAnsi="Cambria Math" w:cs="Times New Roman"/>
                  <w:i/>
                  <w:kern w:val="2"/>
                </w:rPr>
              </m:ctrlPr>
            </m:sSubPr>
            <m:e>
              <m:r>
                <w:rPr>
                  <w:rFonts w:ascii="Cambria Math" w:hAnsi="Cambria Math" w:cs="Times New Roman"/>
                </w:rPr>
                <m:t>ε</m:t>
              </m:r>
            </m:e>
            <m:sub>
              <m:r>
                <w:rPr>
                  <w:rFonts w:ascii="Cambria Math" w:hAnsi="Cambria Math" w:cs="Times New Roman"/>
                </w:rPr>
                <m:t>i</m:t>
              </m:r>
            </m:sub>
          </m:sSub>
        </m:oMath>
      </m:oMathPara>
    </w:p>
    <w:p w14:paraId="34211054" w14:textId="77777777" w:rsidR="0004392E" w:rsidRPr="0004392E" w:rsidRDefault="0004392E" w:rsidP="0004392E">
      <w:pPr>
        <w:rPr>
          <w:rFonts w:ascii="Times New Roman" w:hAnsi="Times New Roman" w:cs="Times New Roman"/>
        </w:rPr>
      </w:pPr>
    </w:p>
    <w:p w14:paraId="0DD6D042" w14:textId="77777777" w:rsidR="0004392E" w:rsidRPr="0004392E" w:rsidRDefault="0004392E" w:rsidP="0004392E">
      <w:pPr>
        <w:rPr>
          <w:rFonts w:ascii="Times New Roman" w:hAnsi="Times New Roman" w:cs="Times New Roman"/>
          <w:i/>
          <w:iCs/>
        </w:rPr>
      </w:pPr>
      <w:r w:rsidRPr="0004392E">
        <w:rPr>
          <w:rFonts w:ascii="Times New Roman" w:hAnsi="Times New Roman" w:cs="Times New Roman"/>
          <w:i/>
          <w:iCs/>
        </w:rPr>
        <w:t>Results</w:t>
      </w:r>
    </w:p>
    <w:p w14:paraId="737C38B6" w14:textId="5A8DA988" w:rsidR="0004392E" w:rsidRPr="0004392E" w:rsidRDefault="0004392E" w:rsidP="0004392E">
      <w:pPr>
        <w:rPr>
          <w:rFonts w:ascii="Times New Roman" w:hAnsi="Times New Roman" w:cs="Times New Roman"/>
        </w:rPr>
      </w:pPr>
      <w:r w:rsidRPr="0004392E">
        <w:rPr>
          <w:rFonts w:ascii="Times New Roman" w:hAnsi="Times New Roman" w:cs="Times New Roman"/>
        </w:rPr>
        <w:t>In the bivariate specification, pre-pandemic social cohesion (v2smpolsoc, 2019) is a highly significant predictor of lockdown stringency (</w:t>
      </w:r>
      <m:oMath>
        <m:acc>
          <m:accPr>
            <m:ctrlPr>
              <w:rPr>
                <w:rFonts w:ascii="Cambria Math" w:eastAsiaTheme="minorEastAsia" w:hAnsi="Cambria Math" w:cs="Times New Roman"/>
                <w:i/>
                <w:kern w:val="2"/>
              </w:rPr>
            </m:ctrlPr>
          </m:accPr>
          <m:e>
            <m:sSub>
              <m:sSubPr>
                <m:ctrlPr>
                  <w:rPr>
                    <w:rFonts w:ascii="Cambria Math" w:eastAsiaTheme="minorEastAsia" w:hAnsi="Cambria Math" w:cs="Times New Roman"/>
                    <w:i/>
                    <w:kern w:val="2"/>
                  </w:rPr>
                </m:ctrlPr>
              </m:sSubPr>
              <m:e>
                <m:r>
                  <w:rPr>
                    <w:rFonts w:ascii="Cambria Math" w:hAnsi="Cambria Math" w:cs="Times New Roman"/>
                  </w:rPr>
                  <m:t>β</m:t>
                </m:r>
              </m:e>
              <m:sub>
                <m:r>
                  <w:rPr>
                    <w:rFonts w:ascii="Cambria Math" w:hAnsi="Cambria Math" w:cs="Times New Roman"/>
                  </w:rPr>
                  <m:t>1</m:t>
                </m:r>
              </m:sub>
            </m:sSub>
          </m:e>
        </m:acc>
      </m:oMath>
      <w:r w:rsidRPr="0004392E">
        <w:rPr>
          <w:rFonts w:ascii="Times New Roman" w:hAnsi="Times New Roman" w:cs="Times New Roman"/>
        </w:rPr>
        <w:t xml:space="preserve"> = −2.429, p = 0.0003, </w:t>
      </w:r>
      <m:oMath>
        <m:sSup>
          <m:sSupPr>
            <m:ctrlPr>
              <w:rPr>
                <w:rFonts w:ascii="Cambria Math" w:eastAsiaTheme="minorEastAsia" w:hAnsi="Cambria Math" w:cs="Times New Roman"/>
                <w:i/>
                <w:kern w:val="2"/>
              </w:rPr>
            </m:ctrlPr>
          </m:sSupPr>
          <m:e>
            <m:r>
              <w:rPr>
                <w:rFonts w:ascii="Cambria Math" w:hAnsi="Cambria Math" w:cs="Times New Roman"/>
              </w:rPr>
              <m:t>R</m:t>
            </m:r>
          </m:e>
          <m:sup>
            <m:r>
              <w:rPr>
                <w:rFonts w:ascii="Cambria Math" w:hAnsi="Cambria Math" w:cs="Times New Roman"/>
              </w:rPr>
              <m:t>2</m:t>
            </m:r>
          </m:sup>
        </m:sSup>
      </m:oMath>
      <w:r w:rsidRPr="0004392E">
        <w:rPr>
          <w:rFonts w:ascii="Times New Roman" w:hAnsi="Times New Roman" w:cs="Times New Roman"/>
        </w:rPr>
        <w:t xml:space="preserve"> = 0.260). When log GDP per capita is added as a control, the social cohesion coefficient is virtually unchanged (</w:t>
      </w:r>
      <m:oMath>
        <m:acc>
          <m:accPr>
            <m:ctrlPr>
              <w:rPr>
                <w:rFonts w:ascii="Cambria Math" w:eastAsiaTheme="minorEastAsia" w:hAnsi="Cambria Math" w:cs="Times New Roman"/>
                <w:i/>
                <w:kern w:val="2"/>
              </w:rPr>
            </m:ctrlPr>
          </m:accPr>
          <m:e>
            <m:sSub>
              <m:sSubPr>
                <m:ctrlPr>
                  <w:rPr>
                    <w:rFonts w:ascii="Cambria Math" w:eastAsiaTheme="minorEastAsia" w:hAnsi="Cambria Math" w:cs="Times New Roman"/>
                    <w:i/>
                    <w:kern w:val="2"/>
                  </w:rPr>
                </m:ctrlPr>
              </m:sSubPr>
              <m:e>
                <m:r>
                  <w:rPr>
                    <w:rFonts w:ascii="Cambria Math" w:hAnsi="Cambria Math" w:cs="Times New Roman"/>
                  </w:rPr>
                  <m:t>β</m:t>
                </m:r>
              </m:e>
              <m:sub>
                <m:r>
                  <w:rPr>
                    <w:rFonts w:ascii="Cambria Math" w:hAnsi="Cambria Math" w:cs="Times New Roman"/>
                  </w:rPr>
                  <m:t>1</m:t>
                </m:r>
              </m:sub>
            </m:sSub>
          </m:e>
        </m:acc>
      </m:oMath>
      <w:r w:rsidRPr="0004392E">
        <w:rPr>
          <w:rFonts w:ascii="Times New Roman" w:hAnsi="Times New Roman" w:cs="Times New Roman"/>
        </w:rPr>
        <w:t xml:space="preserve"> = −2.500, p = 0.0006), while GDP per capita is substantively zero and non-significant (</w:t>
      </w:r>
      <m:oMath>
        <m:acc>
          <m:accPr>
            <m:ctrlPr>
              <w:rPr>
                <w:rFonts w:ascii="Cambria Math" w:eastAsiaTheme="minorEastAsia" w:hAnsi="Cambria Math" w:cs="Times New Roman"/>
                <w:i/>
                <w:kern w:val="2"/>
              </w:rPr>
            </m:ctrlPr>
          </m:accPr>
          <m:e>
            <m:sSub>
              <m:sSubPr>
                <m:ctrlPr>
                  <w:rPr>
                    <w:rFonts w:ascii="Cambria Math" w:eastAsiaTheme="minorEastAsia" w:hAnsi="Cambria Math" w:cs="Times New Roman"/>
                    <w:i/>
                    <w:kern w:val="2"/>
                  </w:rPr>
                </m:ctrlPr>
              </m:sSubPr>
              <m:e>
                <m:r>
                  <w:rPr>
                    <w:rFonts w:ascii="Cambria Math" w:hAnsi="Cambria Math" w:cs="Times New Roman"/>
                  </w:rPr>
                  <m:t>β</m:t>
                </m:r>
              </m:e>
              <m:sub>
                <m:r>
                  <w:rPr>
                    <w:rFonts w:ascii="Cambria Math" w:hAnsi="Cambria Math" w:cs="Times New Roman"/>
                  </w:rPr>
                  <m:t>2</m:t>
                </m:r>
              </m:sub>
            </m:sSub>
          </m:e>
        </m:acc>
      </m:oMath>
      <w:r w:rsidRPr="0004392E">
        <w:rPr>
          <w:rFonts w:ascii="Times New Roman" w:hAnsi="Times New Roman" w:cs="Times New Roman"/>
        </w:rPr>
        <w:t xml:space="preserve"> = +0.542, p = 0.826). The </w:t>
      </w:r>
      <m:oMath>
        <m:sSup>
          <m:sSupPr>
            <m:ctrlPr>
              <w:rPr>
                <w:rFonts w:ascii="Cambria Math" w:eastAsiaTheme="minorEastAsia" w:hAnsi="Cambria Math" w:cs="Times New Roman"/>
                <w:i/>
                <w:kern w:val="2"/>
              </w:rPr>
            </m:ctrlPr>
          </m:sSupPr>
          <m:e>
            <m:r>
              <w:rPr>
                <w:rFonts w:ascii="Cambria Math" w:hAnsi="Cambria Math" w:cs="Times New Roman"/>
              </w:rPr>
              <m:t>R</m:t>
            </m:r>
          </m:e>
          <m:sup>
            <m:r>
              <w:rPr>
                <w:rFonts w:ascii="Cambria Math" w:hAnsi="Cambria Math" w:cs="Times New Roman"/>
              </w:rPr>
              <m:t>2</m:t>
            </m:r>
          </m:sup>
        </m:sSup>
      </m:oMath>
      <w:r w:rsidRPr="0004392E">
        <w:rPr>
          <w:rFonts w:ascii="Times New Roman" w:hAnsi="Times New Roman" w:cs="Times New Roman"/>
        </w:rPr>
        <w:t xml:space="preserve"> does not improve (0.261 vs. 0.260). The partial correlation between social cohesion and stringency, net of GDP per capita, remains substantial (</w:t>
      </w:r>
      <m:oMath>
        <m:sSub>
          <m:sSubPr>
            <m:ctrlPr>
              <w:rPr>
                <w:rFonts w:ascii="Cambria Math" w:eastAsiaTheme="minorEastAsia" w:hAnsi="Cambria Math" w:cs="Times New Roman"/>
                <w:i/>
                <w:kern w:val="2"/>
              </w:rPr>
            </m:ctrlPr>
          </m:sSubPr>
          <m:e>
            <m:r>
              <w:rPr>
                <w:rFonts w:ascii="Cambria Math" w:hAnsi="Cambria Math" w:cs="Times New Roman"/>
              </w:rPr>
              <m:t>r</m:t>
            </m:r>
          </m:e>
          <m:sub>
            <m:r>
              <w:rPr>
                <w:rFonts w:ascii="Cambria Math" w:hAnsi="Cambria Math" w:cs="Times New Roman"/>
              </w:rPr>
              <m:t>partial</m:t>
            </m:r>
          </m:sub>
        </m:sSub>
      </m:oMath>
      <w:r w:rsidRPr="0004392E">
        <w:rPr>
          <w:rFonts w:ascii="Times New Roman" w:hAnsi="Times New Roman" w:cs="Times New Roman"/>
        </w:rPr>
        <w:t xml:space="preserve"> = −0.465, p = 0.003).</w:t>
      </w:r>
    </w:p>
    <w:p w14:paraId="18BD127A" w14:textId="34132445" w:rsidR="0004392E" w:rsidRPr="0004392E" w:rsidRDefault="0004392E" w:rsidP="0004392E">
      <w:pPr>
        <w:rPr>
          <w:rFonts w:ascii="Times New Roman" w:hAnsi="Times New Roman" w:cs="Times New Roman"/>
        </w:rPr>
      </w:pPr>
      <w:r>
        <w:rPr>
          <w:rFonts w:ascii="Times New Roman" w:hAnsi="Times New Roman" w:cs="Times New Roman"/>
        </w:rPr>
        <w:tab/>
      </w:r>
      <w:r w:rsidRPr="0004392E">
        <w:rPr>
          <w:rFonts w:ascii="Times New Roman" w:hAnsi="Times New Roman" w:cs="Times New Roman"/>
        </w:rPr>
        <w:t>Although social cohesion and GDP per capita are positively correlated in the OECD (r = 0.510, p = 0.001), wealth does not independently predict lockdown strategy once social cohesion is accounted for. The selection effect operates through the social, not the economic, dimension of national development. Countries adopted stringent lockdowns because their populations lacked the mutual trust required for voluntary compliance, not because they were poor. This conclusion is consistent with the observation that several high-GDP OECD members (e.g., the United States, the United Kingdom) adopted strict lockdowns despite considerable national wealth, while lower-GDP high-trust nations (e.g., Estonia, Latvia) governed with lighter measures.</w:t>
      </w:r>
    </w:p>
    <w:p w14:paraId="287AA0C6" w14:textId="77777777" w:rsidR="0004392E" w:rsidRPr="0004392E" w:rsidRDefault="0004392E" w:rsidP="0004392E">
      <w:pPr>
        <w:rPr>
          <w:rFonts w:ascii="Times New Roman" w:hAnsi="Times New Roman" w:cs="Times New Roman"/>
        </w:rPr>
      </w:pPr>
    </w:p>
    <w:p w14:paraId="538E0194" w14:textId="05003432" w:rsidR="0004392E" w:rsidRPr="0004392E" w:rsidRDefault="0004392E" w:rsidP="0004392E">
      <w:pPr>
        <w:rPr>
          <w:rFonts w:ascii="Times New Roman" w:hAnsi="Times New Roman" w:cs="Times New Roman"/>
          <w:b/>
          <w:bCs/>
        </w:rPr>
      </w:pPr>
      <w:r w:rsidRPr="0004392E">
        <w:rPr>
          <w:rFonts w:ascii="Times New Roman" w:hAnsi="Times New Roman" w:cs="Times New Roman"/>
          <w:b/>
          <w:bCs/>
        </w:rPr>
        <w:t>SI Text 3: Sensitivity Analysis</w:t>
      </w:r>
    </w:p>
    <w:p w14:paraId="09DF7B16" w14:textId="77777777" w:rsidR="0004392E" w:rsidRPr="0004392E" w:rsidRDefault="0004392E" w:rsidP="0004392E">
      <w:pPr>
        <w:rPr>
          <w:rFonts w:ascii="Times New Roman" w:hAnsi="Times New Roman" w:cs="Times New Roman"/>
        </w:rPr>
      </w:pPr>
    </w:p>
    <w:p w14:paraId="5D81B92E" w14:textId="77777777" w:rsidR="0004392E" w:rsidRPr="0004392E" w:rsidRDefault="0004392E" w:rsidP="0004392E">
      <w:pPr>
        <w:rPr>
          <w:rFonts w:ascii="Times New Roman" w:hAnsi="Times New Roman" w:cs="Times New Roman"/>
        </w:rPr>
      </w:pPr>
      <w:r w:rsidRPr="0004392E">
        <w:rPr>
          <w:rFonts w:ascii="Times New Roman" w:hAnsi="Times New Roman" w:cs="Times New Roman"/>
        </w:rPr>
        <w:t>We assess the robustness of the double null finding across alternative outcome measures, temporal specifications, and sample perturbations.</w:t>
      </w:r>
    </w:p>
    <w:p w14:paraId="54AA10C5" w14:textId="77777777" w:rsidR="0004392E" w:rsidRPr="0004392E" w:rsidRDefault="0004392E" w:rsidP="0004392E">
      <w:pPr>
        <w:rPr>
          <w:rFonts w:ascii="Times New Roman" w:hAnsi="Times New Roman" w:cs="Times New Roman"/>
        </w:rPr>
      </w:pPr>
    </w:p>
    <w:p w14:paraId="3E8C30F1" w14:textId="4E627C5D" w:rsidR="0004392E" w:rsidRPr="0004392E" w:rsidRDefault="0004392E" w:rsidP="0004392E">
      <w:pPr>
        <w:rPr>
          <w:rFonts w:ascii="Times New Roman" w:hAnsi="Times New Roman" w:cs="Times New Roman"/>
          <w:i/>
          <w:iCs/>
        </w:rPr>
      </w:pPr>
      <w:r w:rsidRPr="0004392E">
        <w:rPr>
          <w:rFonts w:ascii="Times New Roman" w:hAnsi="Times New Roman" w:cs="Times New Roman"/>
          <w:i/>
          <w:iCs/>
        </w:rPr>
        <w:t>Alternative Outcomes</w:t>
      </w:r>
    </w:p>
    <w:p w14:paraId="233E546F" w14:textId="4D6A23D4" w:rsidR="0004392E" w:rsidRPr="0004392E" w:rsidRDefault="0004392E" w:rsidP="0004392E">
      <w:pPr>
        <w:rPr>
          <w:rFonts w:ascii="Times New Roman" w:hAnsi="Times New Roman" w:cs="Times New Roman"/>
        </w:rPr>
      </w:pPr>
      <w:r w:rsidRPr="0004392E">
        <w:rPr>
          <w:rFonts w:ascii="Times New Roman" w:hAnsi="Times New Roman" w:cs="Times New Roman"/>
        </w:rPr>
        <w:t>The null stringency effect is not specific to the v2smpolsoc measure of social cohesion. Replacing the outcome with v2cacamps (political polarization of society), v2x_libdem (liberal democracy index), or v2x_jucon (judicial constraints on the executive) yields non-significant stringency coefficients in all cases (SI Figure S1). For political polarization, the stringency coefficient is −0.583 (p = 0.21). For liberal democracy, it is +0.012 (p = 0.69). For judicial constraints, it is +0.003 (p = 0.91). Mortality coefficients are similarly null across all outcomes. The pandemic policy response did not detectably affect any dimension of democratic governance or social polarization in the OECD.</w:t>
      </w:r>
    </w:p>
    <w:p w14:paraId="2939F9B9" w14:textId="77777777" w:rsidR="0004392E" w:rsidRPr="0004392E" w:rsidRDefault="0004392E" w:rsidP="0004392E">
      <w:pPr>
        <w:rPr>
          <w:rFonts w:ascii="Times New Roman" w:hAnsi="Times New Roman" w:cs="Times New Roman"/>
        </w:rPr>
      </w:pPr>
    </w:p>
    <w:p w14:paraId="6C2C1D40" w14:textId="7BED52C7" w:rsidR="0004392E" w:rsidRPr="0004392E" w:rsidRDefault="0004392E" w:rsidP="0004392E">
      <w:pPr>
        <w:rPr>
          <w:rFonts w:ascii="Times New Roman" w:hAnsi="Times New Roman" w:cs="Times New Roman"/>
          <w:i/>
          <w:iCs/>
        </w:rPr>
      </w:pPr>
      <w:r w:rsidRPr="0004392E">
        <w:rPr>
          <w:rFonts w:ascii="Times New Roman" w:hAnsi="Times New Roman" w:cs="Times New Roman"/>
          <w:i/>
          <w:iCs/>
        </w:rPr>
        <w:t>Temporal Sensitivity</w:t>
      </w:r>
    </w:p>
    <w:p w14:paraId="736B1AFB" w14:textId="28D725E2" w:rsidR="0004392E" w:rsidRPr="0004392E" w:rsidRDefault="0004392E" w:rsidP="0004392E">
      <w:pPr>
        <w:rPr>
          <w:rFonts w:ascii="Times New Roman" w:hAnsi="Times New Roman" w:cs="Times New Roman"/>
        </w:rPr>
      </w:pPr>
      <w:r w:rsidRPr="0004392E">
        <w:rPr>
          <w:rFonts w:ascii="Times New Roman" w:hAnsi="Times New Roman" w:cs="Times New Roman"/>
        </w:rPr>
        <w:t xml:space="preserve">If lockdown effects operate with a delay — for instance, if the polarizing consequences of coercive governance manifest only after mandates are lifted — the contemporaneous specification may miss them. We re-estimate the main model using lagged stringency at $t-1$ and $t-2$. The contemporaneous specification yields </w:t>
      </w:r>
      <m:oMath>
        <m:acc>
          <m:accPr>
            <m:ctrlPr>
              <w:rPr>
                <w:rFonts w:ascii="Cambria Math" w:eastAsiaTheme="minorEastAsia" w:hAnsi="Cambria Math" w:cs="Times New Roman"/>
                <w:i/>
                <w:kern w:val="2"/>
              </w:rPr>
            </m:ctrlPr>
          </m:accPr>
          <m:e>
            <m:r>
              <w:rPr>
                <w:rFonts w:ascii="Cambria Math" w:hAnsi="Cambria Math" w:cs="Times New Roman"/>
              </w:rPr>
              <m:t>β</m:t>
            </m:r>
          </m:e>
        </m:acc>
      </m:oMath>
      <w:r w:rsidRPr="0004392E">
        <w:rPr>
          <w:rFonts w:ascii="Times New Roman" w:hAnsi="Times New Roman" w:cs="Times New Roman"/>
        </w:rPr>
        <w:t xml:space="preserve"> = −0.785 (p = 0.22). The t-1 lag yields </w:t>
      </w:r>
      <m:oMath>
        <m:r>
          <w:rPr>
            <w:rFonts w:ascii="Cambria Math" w:hAnsi="Cambria Math" w:cs="Times New Roman"/>
          </w:rPr>
          <m:t>β</m:t>
        </m:r>
      </m:oMath>
      <w:r w:rsidRPr="0004392E">
        <w:rPr>
          <w:rFonts w:ascii="Times New Roman" w:hAnsi="Times New Roman" w:cs="Times New Roman"/>
        </w:rPr>
        <w:t xml:space="preserve"> = −0.110 (p = 0.83). The t-2 lag yields </w:t>
      </w:r>
      <m:oMath>
        <m:r>
          <w:rPr>
            <w:rFonts w:ascii="Cambria Math" w:hAnsi="Cambria Math" w:cs="Times New Roman"/>
          </w:rPr>
          <m:t>β</m:t>
        </m:r>
      </m:oMath>
      <w:r w:rsidRPr="0004392E">
        <w:rPr>
          <w:rFonts w:ascii="Times New Roman" w:hAnsi="Times New Roman" w:cs="Times New Roman"/>
        </w:rPr>
        <w:t xml:space="preserve"> = −0.183 (p = 0.69). All lagged specifications produce non-significant coefficients that remain negative or near zero (SI Figure S1), ruling out the possibility that our null result reflects a timing mismatch between lockdown exposure and polarization response.</w:t>
      </w:r>
    </w:p>
    <w:p w14:paraId="6EF6FD40" w14:textId="77777777" w:rsidR="0004392E" w:rsidRPr="0004392E" w:rsidRDefault="0004392E" w:rsidP="0004392E">
      <w:pPr>
        <w:rPr>
          <w:rFonts w:ascii="Times New Roman" w:hAnsi="Times New Roman" w:cs="Times New Roman"/>
        </w:rPr>
      </w:pPr>
    </w:p>
    <w:p w14:paraId="077B7F03" w14:textId="60D51A67" w:rsidR="0004392E" w:rsidRPr="0004392E" w:rsidRDefault="0004392E" w:rsidP="0004392E">
      <w:pPr>
        <w:rPr>
          <w:rFonts w:ascii="Times New Roman" w:hAnsi="Times New Roman" w:cs="Times New Roman"/>
          <w:i/>
          <w:iCs/>
        </w:rPr>
      </w:pPr>
      <w:r w:rsidRPr="0004392E">
        <w:rPr>
          <w:rFonts w:ascii="Times New Roman" w:hAnsi="Times New Roman" w:cs="Times New Roman"/>
          <w:i/>
          <w:iCs/>
        </w:rPr>
        <w:t>Jackknife Robustness (SI Table S1)</w:t>
      </w:r>
    </w:p>
    <w:p w14:paraId="27C4593A" w14:textId="6BDE604E" w:rsidR="0004392E" w:rsidRPr="0004392E" w:rsidRDefault="0004392E" w:rsidP="0004392E">
      <w:pPr>
        <w:rPr>
          <w:rFonts w:ascii="Times New Roman" w:hAnsi="Times New Roman" w:cs="Times New Roman"/>
        </w:rPr>
      </w:pPr>
      <w:r w:rsidRPr="0004392E">
        <w:rPr>
          <w:rFonts w:ascii="Times New Roman" w:hAnsi="Times New Roman" w:cs="Times New Roman"/>
        </w:rPr>
        <w:t>To confirm that the selection effect (r = −0.51) is not driven by any single influential observation — such as Sweden (famously light-touch) or the United States (polarized and stringent) — we conduct a leave-one-out (jackknife) analysis, iteratively dropping each of the 38 OECD countries and recomputing the Pearson correlation between pre-pandemic social cohesion and lockdown stringency.</w:t>
      </w:r>
    </w:p>
    <w:p w14:paraId="23C7FFB3" w14:textId="77777777" w:rsidR="007C4FD9" w:rsidRDefault="0004392E" w:rsidP="0004392E">
      <w:pPr>
        <w:rPr>
          <w:rFonts w:ascii="Times New Roman" w:hAnsi="Times New Roman" w:cs="Times New Roman"/>
        </w:rPr>
        <w:sectPr w:rsidR="007C4FD9" w:rsidSect="001D51D2">
          <w:footerReference w:type="even" r:id="rId6"/>
          <w:footerReference w:type="default" r:id="rId7"/>
          <w:pgSz w:w="11906" w:h="16838"/>
          <w:pgMar w:top="1985" w:right="1701" w:bottom="1701" w:left="1701" w:header="851" w:footer="992" w:gutter="0"/>
          <w:lnNumType w:countBy="1" w:restart="continuous"/>
          <w:cols w:space="425"/>
          <w:docGrid w:type="lines" w:linePitch="360"/>
        </w:sectPr>
      </w:pPr>
      <w:r>
        <w:rPr>
          <w:rFonts w:ascii="Times New Roman" w:hAnsi="Times New Roman" w:cs="Times New Roman"/>
        </w:rPr>
        <w:tab/>
      </w:r>
      <w:r w:rsidRPr="0004392E">
        <w:rPr>
          <w:rFonts w:ascii="Times New Roman" w:hAnsi="Times New Roman" w:cs="Times New Roman"/>
        </w:rPr>
        <w:t>The correlation ranges from r = −0.568 (dropping Hungary) to r = −0.470 (dropping Chile), with a jackknife mean of −0.510 (SD = 0.021). All 38 iterations are significant at p &lt; 0.01. No single country drives the result. The most influential observations are Chile (whose removal attenuates the correlation most, to −0.470) and Hungary (whose removal strengthens it most, to −0.568). Both are consistent with their positions as off-diagonal cases — Chile is highly polarized with high stringency (on the regression line), while Hungary is polarized with low stringency (off the regression line, a populist outlier). Even in the most conservative iteration, the selection effect remains highly significant and substantively large.</w:t>
      </w:r>
    </w:p>
    <w:p w14:paraId="4A09E7B0" w14:textId="70165501" w:rsidR="0004392E" w:rsidRPr="00E650BA" w:rsidRDefault="0004392E" w:rsidP="0004392E">
      <w:pPr>
        <w:rPr>
          <w:rFonts w:ascii="Times New Roman" w:hAnsi="Times New Roman" w:cs="Times New Roman"/>
        </w:rPr>
      </w:pPr>
      <w:r w:rsidRPr="0004392E">
        <w:rPr>
          <w:rFonts w:ascii="Times New Roman" w:hAnsi="Times New Roman" w:cs="Times New Roman"/>
          <w:b/>
          <w:bCs/>
        </w:rPr>
        <w:lastRenderedPageBreak/>
        <w:t xml:space="preserve">SI Table S1: </w:t>
      </w:r>
      <w:r w:rsidRPr="00E650BA">
        <w:rPr>
          <w:rFonts w:ascii="Times New Roman" w:hAnsi="Times New Roman" w:cs="Times New Roman"/>
        </w:rPr>
        <w:t>Jackknife Robustness — Selection Effect</w:t>
      </w:r>
    </w:p>
    <w:tbl>
      <w:tblPr>
        <w:tblW w:w="4840" w:type="dxa"/>
        <w:jc w:val="center"/>
        <w:tblCellMar>
          <w:left w:w="99" w:type="dxa"/>
          <w:right w:w="99" w:type="dxa"/>
        </w:tblCellMar>
        <w:tblLook w:val="04A0" w:firstRow="1" w:lastRow="0" w:firstColumn="1" w:lastColumn="0" w:noHBand="0" w:noVBand="1"/>
      </w:tblPr>
      <w:tblGrid>
        <w:gridCol w:w="1080"/>
        <w:gridCol w:w="1880"/>
        <w:gridCol w:w="920"/>
        <w:gridCol w:w="960"/>
      </w:tblGrid>
      <w:tr w:rsidR="00E650BA" w14:paraId="6E64CBEE" w14:textId="77777777" w:rsidTr="00E650BA">
        <w:trPr>
          <w:trHeight w:val="320"/>
          <w:jc w:val="center"/>
        </w:trPr>
        <w:tc>
          <w:tcPr>
            <w:tcW w:w="1080" w:type="dxa"/>
            <w:tcBorders>
              <w:top w:val="single" w:sz="4" w:space="0" w:color="auto"/>
              <w:left w:val="nil"/>
              <w:bottom w:val="single" w:sz="4" w:space="0" w:color="auto"/>
              <w:right w:val="nil"/>
            </w:tcBorders>
            <w:noWrap/>
            <w:vAlign w:val="center"/>
            <w:hideMark/>
          </w:tcPr>
          <w:p w14:paraId="64F868DF" w14:textId="77777777" w:rsidR="00E650BA" w:rsidRDefault="00E650BA">
            <w:pPr>
              <w:rPr>
                <w:rFonts w:ascii="TimesNewRomanPSMT" w:hAnsi="TimesNewRomanPSMT"/>
                <w:color w:val="000000"/>
              </w:rPr>
            </w:pPr>
            <w:r>
              <w:rPr>
                <w:rFonts w:ascii="TimesNewRomanPSMT" w:hAnsi="TimesNewRomanPSMT"/>
                <w:color w:val="000000"/>
              </w:rPr>
              <w:t>Dropped</w:t>
            </w:r>
          </w:p>
        </w:tc>
        <w:tc>
          <w:tcPr>
            <w:tcW w:w="1880" w:type="dxa"/>
            <w:tcBorders>
              <w:top w:val="single" w:sz="4" w:space="0" w:color="auto"/>
              <w:left w:val="nil"/>
              <w:bottom w:val="single" w:sz="4" w:space="0" w:color="auto"/>
              <w:right w:val="nil"/>
            </w:tcBorders>
            <w:noWrap/>
            <w:vAlign w:val="center"/>
            <w:hideMark/>
          </w:tcPr>
          <w:p w14:paraId="28DC2488" w14:textId="77777777" w:rsidR="00E650BA" w:rsidRDefault="00E650BA">
            <w:pPr>
              <w:rPr>
                <w:rFonts w:ascii="TimesNewRomanPSMT" w:hAnsi="TimesNewRomanPSMT"/>
                <w:color w:val="000000"/>
              </w:rPr>
            </w:pPr>
            <w:r>
              <w:rPr>
                <w:rFonts w:ascii="TimesNewRomanPSMT" w:hAnsi="TimesNewRomanPSMT"/>
                <w:color w:val="000000"/>
              </w:rPr>
              <w:t>Country</w:t>
            </w:r>
          </w:p>
        </w:tc>
        <w:tc>
          <w:tcPr>
            <w:tcW w:w="920" w:type="dxa"/>
            <w:tcBorders>
              <w:top w:val="single" w:sz="4" w:space="0" w:color="auto"/>
              <w:left w:val="nil"/>
              <w:bottom w:val="single" w:sz="4" w:space="0" w:color="auto"/>
              <w:right w:val="nil"/>
            </w:tcBorders>
            <w:noWrap/>
            <w:vAlign w:val="center"/>
            <w:hideMark/>
          </w:tcPr>
          <w:p w14:paraId="20723001" w14:textId="77777777" w:rsidR="00E650BA" w:rsidRDefault="00E650BA">
            <w:pPr>
              <w:rPr>
                <w:rFonts w:ascii="TimesNewRomanPSMT" w:hAnsi="TimesNewRomanPSMT"/>
                <w:color w:val="000000"/>
              </w:rPr>
            </w:pPr>
            <w:r>
              <w:rPr>
                <w:rFonts w:ascii="TimesNewRomanPSMT" w:hAnsi="TimesNewRomanPSMT"/>
                <w:color w:val="000000"/>
              </w:rPr>
              <w:t>r</w:t>
            </w:r>
          </w:p>
        </w:tc>
        <w:tc>
          <w:tcPr>
            <w:tcW w:w="960" w:type="dxa"/>
            <w:tcBorders>
              <w:top w:val="single" w:sz="4" w:space="0" w:color="auto"/>
              <w:left w:val="nil"/>
              <w:bottom w:val="single" w:sz="4" w:space="0" w:color="auto"/>
              <w:right w:val="nil"/>
            </w:tcBorders>
            <w:noWrap/>
            <w:vAlign w:val="center"/>
            <w:hideMark/>
          </w:tcPr>
          <w:p w14:paraId="57A84B7C" w14:textId="77777777" w:rsidR="00E650BA" w:rsidRDefault="00E650BA">
            <w:pPr>
              <w:rPr>
                <w:rFonts w:ascii="TimesNewRomanPSMT" w:hAnsi="TimesNewRomanPSMT"/>
                <w:color w:val="000000"/>
              </w:rPr>
            </w:pPr>
            <w:r>
              <w:rPr>
                <w:rFonts w:ascii="TimesNewRomanPSMT" w:hAnsi="TimesNewRomanPSMT"/>
                <w:color w:val="000000"/>
              </w:rPr>
              <w:t>p</w:t>
            </w:r>
          </w:p>
        </w:tc>
      </w:tr>
      <w:tr w:rsidR="00E650BA" w14:paraId="3F08C1D8" w14:textId="77777777" w:rsidTr="00E650BA">
        <w:trPr>
          <w:trHeight w:val="320"/>
          <w:jc w:val="center"/>
        </w:trPr>
        <w:tc>
          <w:tcPr>
            <w:tcW w:w="1080" w:type="dxa"/>
            <w:tcBorders>
              <w:top w:val="nil"/>
              <w:left w:val="nil"/>
              <w:bottom w:val="nil"/>
              <w:right w:val="nil"/>
            </w:tcBorders>
            <w:noWrap/>
            <w:vAlign w:val="center"/>
            <w:hideMark/>
          </w:tcPr>
          <w:p w14:paraId="2BF05B47" w14:textId="77777777" w:rsidR="00E650BA" w:rsidRDefault="00E650BA">
            <w:pPr>
              <w:rPr>
                <w:rFonts w:ascii="TimesNewRomanPSMT" w:hAnsi="TimesNewRomanPSMT"/>
                <w:color w:val="000000"/>
              </w:rPr>
            </w:pPr>
            <w:r>
              <w:rPr>
                <w:rFonts w:ascii="TimesNewRomanPSMT" w:hAnsi="TimesNewRomanPSMT"/>
                <w:color w:val="000000"/>
              </w:rPr>
              <w:t>HUN</w:t>
            </w:r>
          </w:p>
        </w:tc>
        <w:tc>
          <w:tcPr>
            <w:tcW w:w="1880" w:type="dxa"/>
            <w:tcBorders>
              <w:top w:val="nil"/>
              <w:left w:val="nil"/>
              <w:bottom w:val="nil"/>
              <w:right w:val="nil"/>
            </w:tcBorders>
            <w:noWrap/>
            <w:vAlign w:val="center"/>
            <w:hideMark/>
          </w:tcPr>
          <w:p w14:paraId="3EEA8956" w14:textId="77777777" w:rsidR="00E650BA" w:rsidRDefault="00E650BA">
            <w:pPr>
              <w:rPr>
                <w:rFonts w:ascii="TimesNewRomanPSMT" w:hAnsi="TimesNewRomanPSMT"/>
                <w:color w:val="000000"/>
              </w:rPr>
            </w:pPr>
            <w:r>
              <w:rPr>
                <w:rFonts w:ascii="TimesNewRomanPSMT" w:hAnsi="TimesNewRomanPSMT"/>
                <w:color w:val="000000"/>
              </w:rPr>
              <w:t>Hungary</w:t>
            </w:r>
          </w:p>
        </w:tc>
        <w:tc>
          <w:tcPr>
            <w:tcW w:w="920" w:type="dxa"/>
            <w:tcBorders>
              <w:top w:val="nil"/>
              <w:left w:val="nil"/>
              <w:bottom w:val="nil"/>
              <w:right w:val="nil"/>
            </w:tcBorders>
            <w:noWrap/>
            <w:vAlign w:val="center"/>
            <w:hideMark/>
          </w:tcPr>
          <w:p w14:paraId="46A37A37" w14:textId="77777777" w:rsidR="00E650BA" w:rsidRDefault="00E650BA">
            <w:pPr>
              <w:jc w:val="right"/>
              <w:rPr>
                <w:rFonts w:ascii="TimesNewRomanPSMT" w:hAnsi="TimesNewRomanPSMT"/>
                <w:color w:val="000000"/>
              </w:rPr>
            </w:pPr>
            <w:r>
              <w:rPr>
                <w:rFonts w:ascii="TimesNewRomanPSMT" w:hAnsi="TimesNewRomanPSMT"/>
                <w:color w:val="000000"/>
              </w:rPr>
              <w:t>-0.568</w:t>
            </w:r>
          </w:p>
        </w:tc>
        <w:tc>
          <w:tcPr>
            <w:tcW w:w="960" w:type="dxa"/>
            <w:tcBorders>
              <w:top w:val="nil"/>
              <w:left w:val="nil"/>
              <w:bottom w:val="nil"/>
              <w:right w:val="nil"/>
            </w:tcBorders>
            <w:noWrap/>
            <w:vAlign w:val="center"/>
            <w:hideMark/>
          </w:tcPr>
          <w:p w14:paraId="08945EE2" w14:textId="77777777" w:rsidR="00E650BA" w:rsidRDefault="00E650BA">
            <w:pPr>
              <w:jc w:val="right"/>
              <w:rPr>
                <w:rFonts w:ascii="TimesNewRomanPSMT" w:hAnsi="TimesNewRomanPSMT"/>
                <w:color w:val="000000"/>
              </w:rPr>
            </w:pPr>
            <w:r>
              <w:rPr>
                <w:rFonts w:ascii="TimesNewRomanPSMT" w:hAnsi="TimesNewRomanPSMT"/>
                <w:color w:val="000000"/>
              </w:rPr>
              <w:t>0.0002</w:t>
            </w:r>
          </w:p>
        </w:tc>
      </w:tr>
      <w:tr w:rsidR="00E650BA" w14:paraId="38906734" w14:textId="77777777" w:rsidTr="00E650BA">
        <w:trPr>
          <w:trHeight w:val="320"/>
          <w:jc w:val="center"/>
        </w:trPr>
        <w:tc>
          <w:tcPr>
            <w:tcW w:w="1080" w:type="dxa"/>
            <w:tcBorders>
              <w:top w:val="nil"/>
              <w:left w:val="nil"/>
              <w:bottom w:val="nil"/>
              <w:right w:val="nil"/>
            </w:tcBorders>
            <w:noWrap/>
            <w:vAlign w:val="center"/>
            <w:hideMark/>
          </w:tcPr>
          <w:p w14:paraId="4E0148B8" w14:textId="77777777" w:rsidR="00E650BA" w:rsidRDefault="00E650BA">
            <w:pPr>
              <w:rPr>
                <w:rFonts w:ascii="TimesNewRomanPSMT" w:hAnsi="TimesNewRomanPSMT"/>
                <w:color w:val="000000"/>
              </w:rPr>
            </w:pPr>
            <w:r>
              <w:rPr>
                <w:rFonts w:ascii="TimesNewRomanPSMT" w:hAnsi="TimesNewRomanPSMT"/>
                <w:color w:val="000000"/>
              </w:rPr>
              <w:t>CAN</w:t>
            </w:r>
          </w:p>
        </w:tc>
        <w:tc>
          <w:tcPr>
            <w:tcW w:w="1880" w:type="dxa"/>
            <w:tcBorders>
              <w:top w:val="nil"/>
              <w:left w:val="nil"/>
              <w:bottom w:val="nil"/>
              <w:right w:val="nil"/>
            </w:tcBorders>
            <w:noWrap/>
            <w:vAlign w:val="center"/>
            <w:hideMark/>
          </w:tcPr>
          <w:p w14:paraId="224F9F1A" w14:textId="77777777" w:rsidR="00E650BA" w:rsidRDefault="00E650BA">
            <w:pPr>
              <w:rPr>
                <w:rFonts w:ascii="TimesNewRomanPSMT" w:hAnsi="TimesNewRomanPSMT"/>
                <w:color w:val="000000"/>
              </w:rPr>
            </w:pPr>
            <w:r>
              <w:rPr>
                <w:rFonts w:ascii="TimesNewRomanPSMT" w:hAnsi="TimesNewRomanPSMT"/>
                <w:color w:val="000000"/>
              </w:rPr>
              <w:t>Canada</w:t>
            </w:r>
          </w:p>
        </w:tc>
        <w:tc>
          <w:tcPr>
            <w:tcW w:w="920" w:type="dxa"/>
            <w:tcBorders>
              <w:top w:val="nil"/>
              <w:left w:val="nil"/>
              <w:bottom w:val="nil"/>
              <w:right w:val="nil"/>
            </w:tcBorders>
            <w:noWrap/>
            <w:vAlign w:val="center"/>
            <w:hideMark/>
          </w:tcPr>
          <w:p w14:paraId="63975D45" w14:textId="77777777" w:rsidR="00E650BA" w:rsidRDefault="00E650BA">
            <w:pPr>
              <w:jc w:val="right"/>
              <w:rPr>
                <w:rFonts w:ascii="TimesNewRomanPSMT" w:hAnsi="TimesNewRomanPSMT"/>
                <w:color w:val="000000"/>
              </w:rPr>
            </w:pPr>
            <w:r>
              <w:rPr>
                <w:rFonts w:ascii="TimesNewRomanPSMT" w:hAnsi="TimesNewRomanPSMT"/>
                <w:color w:val="000000"/>
              </w:rPr>
              <w:t>-0.566</w:t>
            </w:r>
          </w:p>
        </w:tc>
        <w:tc>
          <w:tcPr>
            <w:tcW w:w="960" w:type="dxa"/>
            <w:tcBorders>
              <w:top w:val="nil"/>
              <w:left w:val="nil"/>
              <w:bottom w:val="nil"/>
              <w:right w:val="nil"/>
            </w:tcBorders>
            <w:noWrap/>
            <w:vAlign w:val="center"/>
            <w:hideMark/>
          </w:tcPr>
          <w:p w14:paraId="40E1FC14" w14:textId="77777777" w:rsidR="00E650BA" w:rsidRDefault="00E650BA">
            <w:pPr>
              <w:jc w:val="right"/>
              <w:rPr>
                <w:rFonts w:ascii="TimesNewRomanPSMT" w:hAnsi="TimesNewRomanPSMT"/>
                <w:color w:val="000000"/>
              </w:rPr>
            </w:pPr>
            <w:r>
              <w:rPr>
                <w:rFonts w:ascii="TimesNewRomanPSMT" w:hAnsi="TimesNewRomanPSMT"/>
                <w:color w:val="000000"/>
              </w:rPr>
              <w:t>0.0003</w:t>
            </w:r>
          </w:p>
        </w:tc>
      </w:tr>
      <w:tr w:rsidR="00E650BA" w14:paraId="43D2B462" w14:textId="77777777" w:rsidTr="00E650BA">
        <w:trPr>
          <w:trHeight w:val="320"/>
          <w:jc w:val="center"/>
        </w:trPr>
        <w:tc>
          <w:tcPr>
            <w:tcW w:w="1080" w:type="dxa"/>
            <w:tcBorders>
              <w:top w:val="nil"/>
              <w:left w:val="nil"/>
              <w:bottom w:val="nil"/>
              <w:right w:val="nil"/>
            </w:tcBorders>
            <w:noWrap/>
            <w:vAlign w:val="center"/>
            <w:hideMark/>
          </w:tcPr>
          <w:p w14:paraId="16D40ADD" w14:textId="77777777" w:rsidR="00E650BA" w:rsidRDefault="00E650BA">
            <w:pPr>
              <w:rPr>
                <w:rFonts w:ascii="TimesNewRomanPSMT" w:hAnsi="TimesNewRomanPSMT"/>
                <w:color w:val="000000"/>
              </w:rPr>
            </w:pPr>
            <w:r>
              <w:rPr>
                <w:rFonts w:ascii="TimesNewRomanPSMT" w:hAnsi="TimesNewRomanPSMT"/>
                <w:color w:val="000000"/>
              </w:rPr>
              <w:t>POL</w:t>
            </w:r>
          </w:p>
        </w:tc>
        <w:tc>
          <w:tcPr>
            <w:tcW w:w="1880" w:type="dxa"/>
            <w:tcBorders>
              <w:top w:val="nil"/>
              <w:left w:val="nil"/>
              <w:bottom w:val="nil"/>
              <w:right w:val="nil"/>
            </w:tcBorders>
            <w:noWrap/>
            <w:vAlign w:val="center"/>
            <w:hideMark/>
          </w:tcPr>
          <w:p w14:paraId="5FB17303" w14:textId="77777777" w:rsidR="00E650BA" w:rsidRDefault="00E650BA">
            <w:pPr>
              <w:rPr>
                <w:rFonts w:ascii="TimesNewRomanPSMT" w:hAnsi="TimesNewRomanPSMT"/>
                <w:color w:val="000000"/>
              </w:rPr>
            </w:pPr>
            <w:r>
              <w:rPr>
                <w:rFonts w:ascii="TimesNewRomanPSMT" w:hAnsi="TimesNewRomanPSMT"/>
                <w:color w:val="000000"/>
              </w:rPr>
              <w:t>Poland</w:t>
            </w:r>
          </w:p>
        </w:tc>
        <w:tc>
          <w:tcPr>
            <w:tcW w:w="920" w:type="dxa"/>
            <w:tcBorders>
              <w:top w:val="nil"/>
              <w:left w:val="nil"/>
              <w:bottom w:val="nil"/>
              <w:right w:val="nil"/>
            </w:tcBorders>
            <w:noWrap/>
            <w:vAlign w:val="center"/>
            <w:hideMark/>
          </w:tcPr>
          <w:p w14:paraId="359612CE" w14:textId="77777777" w:rsidR="00E650BA" w:rsidRDefault="00E650BA">
            <w:pPr>
              <w:jc w:val="right"/>
              <w:rPr>
                <w:rFonts w:ascii="TimesNewRomanPSMT" w:hAnsi="TimesNewRomanPSMT"/>
                <w:color w:val="000000"/>
              </w:rPr>
            </w:pPr>
            <w:r>
              <w:rPr>
                <w:rFonts w:ascii="TimesNewRomanPSMT" w:hAnsi="TimesNewRomanPSMT"/>
                <w:color w:val="000000"/>
              </w:rPr>
              <w:t>-0.538</w:t>
            </w:r>
          </w:p>
        </w:tc>
        <w:tc>
          <w:tcPr>
            <w:tcW w:w="960" w:type="dxa"/>
            <w:tcBorders>
              <w:top w:val="nil"/>
              <w:left w:val="nil"/>
              <w:bottom w:val="nil"/>
              <w:right w:val="nil"/>
            </w:tcBorders>
            <w:noWrap/>
            <w:vAlign w:val="center"/>
            <w:hideMark/>
          </w:tcPr>
          <w:p w14:paraId="595C4512" w14:textId="77777777" w:rsidR="00E650BA" w:rsidRDefault="00E650BA">
            <w:pPr>
              <w:jc w:val="right"/>
              <w:rPr>
                <w:rFonts w:ascii="TimesNewRomanPSMT" w:hAnsi="TimesNewRomanPSMT"/>
                <w:color w:val="000000"/>
              </w:rPr>
            </w:pPr>
            <w:r>
              <w:rPr>
                <w:rFonts w:ascii="TimesNewRomanPSMT" w:hAnsi="TimesNewRomanPSMT"/>
                <w:color w:val="000000"/>
              </w:rPr>
              <w:t>0.0006</w:t>
            </w:r>
          </w:p>
        </w:tc>
      </w:tr>
      <w:tr w:rsidR="00E650BA" w14:paraId="3E7B2015" w14:textId="77777777" w:rsidTr="00E650BA">
        <w:trPr>
          <w:trHeight w:val="320"/>
          <w:jc w:val="center"/>
        </w:trPr>
        <w:tc>
          <w:tcPr>
            <w:tcW w:w="1080" w:type="dxa"/>
            <w:tcBorders>
              <w:top w:val="nil"/>
              <w:left w:val="nil"/>
              <w:bottom w:val="nil"/>
              <w:right w:val="nil"/>
            </w:tcBorders>
            <w:noWrap/>
            <w:vAlign w:val="center"/>
            <w:hideMark/>
          </w:tcPr>
          <w:p w14:paraId="055EDC36" w14:textId="77777777" w:rsidR="00E650BA" w:rsidRDefault="00E650BA">
            <w:pPr>
              <w:rPr>
                <w:rFonts w:ascii="TimesNewRomanPSMT" w:hAnsi="TimesNewRomanPSMT"/>
                <w:color w:val="000000"/>
              </w:rPr>
            </w:pPr>
            <w:r>
              <w:rPr>
                <w:rFonts w:ascii="TimesNewRomanPSMT" w:hAnsi="TimesNewRomanPSMT"/>
                <w:color w:val="000000"/>
              </w:rPr>
              <w:t>EST</w:t>
            </w:r>
          </w:p>
        </w:tc>
        <w:tc>
          <w:tcPr>
            <w:tcW w:w="1880" w:type="dxa"/>
            <w:tcBorders>
              <w:top w:val="nil"/>
              <w:left w:val="nil"/>
              <w:bottom w:val="nil"/>
              <w:right w:val="nil"/>
            </w:tcBorders>
            <w:noWrap/>
            <w:vAlign w:val="center"/>
            <w:hideMark/>
          </w:tcPr>
          <w:p w14:paraId="2332B778" w14:textId="77777777" w:rsidR="00E650BA" w:rsidRDefault="00E650BA">
            <w:pPr>
              <w:rPr>
                <w:rFonts w:ascii="TimesNewRomanPSMT" w:hAnsi="TimesNewRomanPSMT"/>
                <w:color w:val="000000"/>
              </w:rPr>
            </w:pPr>
            <w:r>
              <w:rPr>
                <w:rFonts w:ascii="TimesNewRomanPSMT" w:hAnsi="TimesNewRomanPSMT"/>
                <w:color w:val="000000"/>
              </w:rPr>
              <w:t>Estonia</w:t>
            </w:r>
          </w:p>
        </w:tc>
        <w:tc>
          <w:tcPr>
            <w:tcW w:w="920" w:type="dxa"/>
            <w:tcBorders>
              <w:top w:val="nil"/>
              <w:left w:val="nil"/>
              <w:bottom w:val="nil"/>
              <w:right w:val="nil"/>
            </w:tcBorders>
            <w:noWrap/>
            <w:vAlign w:val="center"/>
            <w:hideMark/>
          </w:tcPr>
          <w:p w14:paraId="6BB544BE" w14:textId="77777777" w:rsidR="00E650BA" w:rsidRDefault="00E650BA">
            <w:pPr>
              <w:jc w:val="right"/>
              <w:rPr>
                <w:rFonts w:ascii="TimesNewRomanPSMT" w:hAnsi="TimesNewRomanPSMT"/>
                <w:color w:val="000000"/>
              </w:rPr>
            </w:pPr>
            <w:r>
              <w:rPr>
                <w:rFonts w:ascii="TimesNewRomanPSMT" w:hAnsi="TimesNewRomanPSMT"/>
                <w:color w:val="000000"/>
              </w:rPr>
              <w:t>-0.536</w:t>
            </w:r>
          </w:p>
        </w:tc>
        <w:tc>
          <w:tcPr>
            <w:tcW w:w="960" w:type="dxa"/>
            <w:tcBorders>
              <w:top w:val="nil"/>
              <w:left w:val="nil"/>
              <w:bottom w:val="nil"/>
              <w:right w:val="nil"/>
            </w:tcBorders>
            <w:noWrap/>
            <w:vAlign w:val="center"/>
            <w:hideMark/>
          </w:tcPr>
          <w:p w14:paraId="241B182C" w14:textId="77777777" w:rsidR="00E650BA" w:rsidRDefault="00E650BA">
            <w:pPr>
              <w:jc w:val="right"/>
              <w:rPr>
                <w:rFonts w:ascii="TimesNewRomanPSMT" w:hAnsi="TimesNewRomanPSMT"/>
                <w:color w:val="000000"/>
              </w:rPr>
            </w:pPr>
            <w:r>
              <w:rPr>
                <w:rFonts w:ascii="TimesNewRomanPSMT" w:hAnsi="TimesNewRomanPSMT"/>
                <w:color w:val="000000"/>
              </w:rPr>
              <w:t>0.0006</w:t>
            </w:r>
          </w:p>
        </w:tc>
      </w:tr>
      <w:tr w:rsidR="00E650BA" w14:paraId="6494A795" w14:textId="77777777" w:rsidTr="00E650BA">
        <w:trPr>
          <w:trHeight w:val="320"/>
          <w:jc w:val="center"/>
        </w:trPr>
        <w:tc>
          <w:tcPr>
            <w:tcW w:w="1080" w:type="dxa"/>
            <w:tcBorders>
              <w:top w:val="nil"/>
              <w:left w:val="nil"/>
              <w:bottom w:val="nil"/>
              <w:right w:val="nil"/>
            </w:tcBorders>
            <w:noWrap/>
            <w:vAlign w:val="center"/>
            <w:hideMark/>
          </w:tcPr>
          <w:p w14:paraId="148AA624" w14:textId="77777777" w:rsidR="00E650BA" w:rsidRDefault="00E650BA">
            <w:pPr>
              <w:rPr>
                <w:rFonts w:ascii="TimesNewRomanPSMT" w:hAnsi="TimesNewRomanPSMT"/>
                <w:color w:val="000000"/>
              </w:rPr>
            </w:pPr>
            <w:r>
              <w:rPr>
                <w:rFonts w:ascii="TimesNewRomanPSMT" w:hAnsi="TimesNewRomanPSMT"/>
                <w:color w:val="000000"/>
              </w:rPr>
              <w:t>PRT</w:t>
            </w:r>
          </w:p>
        </w:tc>
        <w:tc>
          <w:tcPr>
            <w:tcW w:w="1880" w:type="dxa"/>
            <w:tcBorders>
              <w:top w:val="nil"/>
              <w:left w:val="nil"/>
              <w:bottom w:val="nil"/>
              <w:right w:val="nil"/>
            </w:tcBorders>
            <w:noWrap/>
            <w:vAlign w:val="center"/>
            <w:hideMark/>
          </w:tcPr>
          <w:p w14:paraId="261464C2" w14:textId="77777777" w:rsidR="00E650BA" w:rsidRDefault="00E650BA">
            <w:pPr>
              <w:rPr>
                <w:rFonts w:ascii="TimesNewRomanPSMT" w:hAnsi="TimesNewRomanPSMT"/>
                <w:color w:val="000000"/>
              </w:rPr>
            </w:pPr>
            <w:r>
              <w:rPr>
                <w:rFonts w:ascii="TimesNewRomanPSMT" w:hAnsi="TimesNewRomanPSMT"/>
                <w:color w:val="000000"/>
              </w:rPr>
              <w:t>Portugal</w:t>
            </w:r>
          </w:p>
        </w:tc>
        <w:tc>
          <w:tcPr>
            <w:tcW w:w="920" w:type="dxa"/>
            <w:tcBorders>
              <w:top w:val="nil"/>
              <w:left w:val="nil"/>
              <w:bottom w:val="nil"/>
              <w:right w:val="nil"/>
            </w:tcBorders>
            <w:noWrap/>
            <w:vAlign w:val="center"/>
            <w:hideMark/>
          </w:tcPr>
          <w:p w14:paraId="776A2A5C" w14:textId="77777777" w:rsidR="00E650BA" w:rsidRDefault="00E650BA">
            <w:pPr>
              <w:jc w:val="right"/>
              <w:rPr>
                <w:rFonts w:ascii="TimesNewRomanPSMT" w:hAnsi="TimesNewRomanPSMT"/>
                <w:color w:val="000000"/>
              </w:rPr>
            </w:pPr>
            <w:r>
              <w:rPr>
                <w:rFonts w:ascii="TimesNewRomanPSMT" w:hAnsi="TimesNewRomanPSMT"/>
                <w:color w:val="000000"/>
              </w:rPr>
              <w:t>-0.531</w:t>
            </w:r>
          </w:p>
        </w:tc>
        <w:tc>
          <w:tcPr>
            <w:tcW w:w="960" w:type="dxa"/>
            <w:tcBorders>
              <w:top w:val="nil"/>
              <w:left w:val="nil"/>
              <w:bottom w:val="nil"/>
              <w:right w:val="nil"/>
            </w:tcBorders>
            <w:noWrap/>
            <w:vAlign w:val="center"/>
            <w:hideMark/>
          </w:tcPr>
          <w:p w14:paraId="3EE7FAFE" w14:textId="77777777" w:rsidR="00E650BA" w:rsidRDefault="00E650BA">
            <w:pPr>
              <w:jc w:val="right"/>
              <w:rPr>
                <w:rFonts w:ascii="TimesNewRomanPSMT" w:hAnsi="TimesNewRomanPSMT"/>
                <w:color w:val="000000"/>
              </w:rPr>
            </w:pPr>
            <w:r>
              <w:rPr>
                <w:rFonts w:ascii="TimesNewRomanPSMT" w:hAnsi="TimesNewRomanPSMT"/>
                <w:color w:val="000000"/>
              </w:rPr>
              <w:t>0.0007</w:t>
            </w:r>
          </w:p>
        </w:tc>
      </w:tr>
      <w:tr w:rsidR="00E650BA" w14:paraId="7075D6F3" w14:textId="77777777" w:rsidTr="00E650BA">
        <w:trPr>
          <w:trHeight w:val="320"/>
          <w:jc w:val="center"/>
        </w:trPr>
        <w:tc>
          <w:tcPr>
            <w:tcW w:w="1080" w:type="dxa"/>
            <w:tcBorders>
              <w:top w:val="nil"/>
              <w:left w:val="nil"/>
              <w:bottom w:val="nil"/>
              <w:right w:val="nil"/>
            </w:tcBorders>
            <w:noWrap/>
            <w:vAlign w:val="center"/>
            <w:hideMark/>
          </w:tcPr>
          <w:p w14:paraId="35EDD9A5" w14:textId="77777777" w:rsidR="00E650BA" w:rsidRDefault="00E650BA">
            <w:pPr>
              <w:rPr>
                <w:rFonts w:ascii="TimesNewRomanPSMT" w:hAnsi="TimesNewRomanPSMT"/>
                <w:color w:val="000000"/>
              </w:rPr>
            </w:pPr>
            <w:r>
              <w:rPr>
                <w:rFonts w:ascii="TimesNewRomanPSMT" w:hAnsi="TimesNewRomanPSMT"/>
                <w:color w:val="000000"/>
              </w:rPr>
              <w:t>AUS</w:t>
            </w:r>
          </w:p>
        </w:tc>
        <w:tc>
          <w:tcPr>
            <w:tcW w:w="1880" w:type="dxa"/>
            <w:tcBorders>
              <w:top w:val="nil"/>
              <w:left w:val="nil"/>
              <w:bottom w:val="nil"/>
              <w:right w:val="nil"/>
            </w:tcBorders>
            <w:noWrap/>
            <w:vAlign w:val="center"/>
            <w:hideMark/>
          </w:tcPr>
          <w:p w14:paraId="00C3529B" w14:textId="77777777" w:rsidR="00E650BA" w:rsidRDefault="00E650BA">
            <w:pPr>
              <w:rPr>
                <w:rFonts w:ascii="TimesNewRomanPSMT" w:hAnsi="TimesNewRomanPSMT"/>
                <w:color w:val="000000"/>
              </w:rPr>
            </w:pPr>
            <w:r>
              <w:rPr>
                <w:rFonts w:ascii="TimesNewRomanPSMT" w:hAnsi="TimesNewRomanPSMT"/>
                <w:color w:val="000000"/>
              </w:rPr>
              <w:t>Australia</w:t>
            </w:r>
          </w:p>
        </w:tc>
        <w:tc>
          <w:tcPr>
            <w:tcW w:w="920" w:type="dxa"/>
            <w:tcBorders>
              <w:top w:val="nil"/>
              <w:left w:val="nil"/>
              <w:bottom w:val="nil"/>
              <w:right w:val="nil"/>
            </w:tcBorders>
            <w:noWrap/>
            <w:vAlign w:val="center"/>
            <w:hideMark/>
          </w:tcPr>
          <w:p w14:paraId="6044B89B" w14:textId="77777777" w:rsidR="00E650BA" w:rsidRDefault="00E650BA">
            <w:pPr>
              <w:jc w:val="right"/>
              <w:rPr>
                <w:rFonts w:ascii="TimesNewRomanPSMT" w:hAnsi="TimesNewRomanPSMT"/>
                <w:color w:val="000000"/>
              </w:rPr>
            </w:pPr>
            <w:r>
              <w:rPr>
                <w:rFonts w:ascii="TimesNewRomanPSMT" w:hAnsi="TimesNewRomanPSMT"/>
                <w:color w:val="000000"/>
              </w:rPr>
              <w:t>-0.529</w:t>
            </w:r>
          </w:p>
        </w:tc>
        <w:tc>
          <w:tcPr>
            <w:tcW w:w="960" w:type="dxa"/>
            <w:tcBorders>
              <w:top w:val="nil"/>
              <w:left w:val="nil"/>
              <w:bottom w:val="nil"/>
              <w:right w:val="nil"/>
            </w:tcBorders>
            <w:noWrap/>
            <w:vAlign w:val="center"/>
            <w:hideMark/>
          </w:tcPr>
          <w:p w14:paraId="476B0A45" w14:textId="77777777" w:rsidR="00E650BA" w:rsidRDefault="00E650BA">
            <w:pPr>
              <w:jc w:val="right"/>
              <w:rPr>
                <w:rFonts w:ascii="TimesNewRomanPSMT" w:hAnsi="TimesNewRomanPSMT"/>
                <w:color w:val="000000"/>
              </w:rPr>
            </w:pPr>
            <w:r>
              <w:rPr>
                <w:rFonts w:ascii="TimesNewRomanPSMT" w:hAnsi="TimesNewRomanPSMT"/>
                <w:color w:val="000000"/>
              </w:rPr>
              <w:t>0.0008</w:t>
            </w:r>
          </w:p>
        </w:tc>
      </w:tr>
      <w:tr w:rsidR="00E650BA" w14:paraId="76DB1C9F" w14:textId="77777777" w:rsidTr="00E650BA">
        <w:trPr>
          <w:trHeight w:val="320"/>
          <w:jc w:val="center"/>
        </w:trPr>
        <w:tc>
          <w:tcPr>
            <w:tcW w:w="1080" w:type="dxa"/>
            <w:tcBorders>
              <w:top w:val="nil"/>
              <w:left w:val="nil"/>
              <w:bottom w:val="nil"/>
              <w:right w:val="nil"/>
            </w:tcBorders>
            <w:noWrap/>
            <w:vAlign w:val="center"/>
            <w:hideMark/>
          </w:tcPr>
          <w:p w14:paraId="73C418F7" w14:textId="77777777" w:rsidR="00E650BA" w:rsidRDefault="00E650BA">
            <w:pPr>
              <w:rPr>
                <w:rFonts w:ascii="TimesNewRomanPSMT" w:hAnsi="TimesNewRomanPSMT"/>
                <w:color w:val="000000"/>
              </w:rPr>
            </w:pPr>
            <w:r>
              <w:rPr>
                <w:rFonts w:ascii="TimesNewRomanPSMT" w:hAnsi="TimesNewRomanPSMT"/>
                <w:color w:val="000000"/>
              </w:rPr>
              <w:t>IRL</w:t>
            </w:r>
          </w:p>
        </w:tc>
        <w:tc>
          <w:tcPr>
            <w:tcW w:w="1880" w:type="dxa"/>
            <w:tcBorders>
              <w:top w:val="nil"/>
              <w:left w:val="nil"/>
              <w:bottom w:val="nil"/>
              <w:right w:val="nil"/>
            </w:tcBorders>
            <w:noWrap/>
            <w:vAlign w:val="center"/>
            <w:hideMark/>
          </w:tcPr>
          <w:p w14:paraId="44FEC320" w14:textId="77777777" w:rsidR="00E650BA" w:rsidRDefault="00E650BA">
            <w:pPr>
              <w:rPr>
                <w:rFonts w:ascii="TimesNewRomanPSMT" w:hAnsi="TimesNewRomanPSMT"/>
                <w:color w:val="000000"/>
              </w:rPr>
            </w:pPr>
            <w:r>
              <w:rPr>
                <w:rFonts w:ascii="TimesNewRomanPSMT" w:hAnsi="TimesNewRomanPSMT"/>
                <w:color w:val="000000"/>
              </w:rPr>
              <w:t>Ireland</w:t>
            </w:r>
          </w:p>
        </w:tc>
        <w:tc>
          <w:tcPr>
            <w:tcW w:w="920" w:type="dxa"/>
            <w:tcBorders>
              <w:top w:val="nil"/>
              <w:left w:val="nil"/>
              <w:bottom w:val="nil"/>
              <w:right w:val="nil"/>
            </w:tcBorders>
            <w:noWrap/>
            <w:vAlign w:val="center"/>
            <w:hideMark/>
          </w:tcPr>
          <w:p w14:paraId="7C908527" w14:textId="77777777" w:rsidR="00E650BA" w:rsidRDefault="00E650BA">
            <w:pPr>
              <w:jc w:val="right"/>
              <w:rPr>
                <w:rFonts w:ascii="TimesNewRomanPSMT" w:hAnsi="TimesNewRomanPSMT"/>
                <w:color w:val="000000"/>
              </w:rPr>
            </w:pPr>
            <w:r>
              <w:rPr>
                <w:rFonts w:ascii="TimesNewRomanPSMT" w:hAnsi="TimesNewRomanPSMT"/>
                <w:color w:val="000000"/>
              </w:rPr>
              <w:t>-0.523</w:t>
            </w:r>
          </w:p>
        </w:tc>
        <w:tc>
          <w:tcPr>
            <w:tcW w:w="960" w:type="dxa"/>
            <w:tcBorders>
              <w:top w:val="nil"/>
              <w:left w:val="nil"/>
              <w:bottom w:val="nil"/>
              <w:right w:val="nil"/>
            </w:tcBorders>
            <w:noWrap/>
            <w:vAlign w:val="center"/>
            <w:hideMark/>
          </w:tcPr>
          <w:p w14:paraId="4F5123E6" w14:textId="77777777" w:rsidR="00E650BA" w:rsidRDefault="00E650BA">
            <w:pPr>
              <w:jc w:val="right"/>
              <w:rPr>
                <w:rFonts w:ascii="TimesNewRomanPSMT" w:hAnsi="TimesNewRomanPSMT"/>
                <w:color w:val="000000"/>
              </w:rPr>
            </w:pPr>
            <w:r>
              <w:rPr>
                <w:rFonts w:ascii="TimesNewRomanPSMT" w:hAnsi="TimesNewRomanPSMT"/>
                <w:color w:val="000000"/>
              </w:rPr>
              <w:t>0.0009</w:t>
            </w:r>
          </w:p>
        </w:tc>
      </w:tr>
      <w:tr w:rsidR="00E650BA" w14:paraId="75CD773F" w14:textId="77777777" w:rsidTr="00E650BA">
        <w:trPr>
          <w:trHeight w:val="320"/>
          <w:jc w:val="center"/>
        </w:trPr>
        <w:tc>
          <w:tcPr>
            <w:tcW w:w="1080" w:type="dxa"/>
            <w:tcBorders>
              <w:top w:val="nil"/>
              <w:left w:val="nil"/>
              <w:bottom w:val="nil"/>
              <w:right w:val="nil"/>
            </w:tcBorders>
            <w:noWrap/>
            <w:vAlign w:val="center"/>
            <w:hideMark/>
          </w:tcPr>
          <w:p w14:paraId="4EE5F972" w14:textId="77777777" w:rsidR="00E650BA" w:rsidRDefault="00E650BA">
            <w:pPr>
              <w:rPr>
                <w:rFonts w:ascii="TimesNewRomanPSMT" w:hAnsi="TimesNewRomanPSMT"/>
                <w:color w:val="000000"/>
              </w:rPr>
            </w:pPr>
            <w:r>
              <w:rPr>
                <w:rFonts w:ascii="TimesNewRomanPSMT" w:hAnsi="TimesNewRomanPSMT"/>
                <w:color w:val="000000"/>
              </w:rPr>
              <w:t>KOR</w:t>
            </w:r>
          </w:p>
        </w:tc>
        <w:tc>
          <w:tcPr>
            <w:tcW w:w="1880" w:type="dxa"/>
            <w:tcBorders>
              <w:top w:val="nil"/>
              <w:left w:val="nil"/>
              <w:bottom w:val="nil"/>
              <w:right w:val="nil"/>
            </w:tcBorders>
            <w:noWrap/>
            <w:vAlign w:val="center"/>
            <w:hideMark/>
          </w:tcPr>
          <w:p w14:paraId="679F63A7" w14:textId="77777777" w:rsidR="00E650BA" w:rsidRDefault="00E650BA">
            <w:pPr>
              <w:rPr>
                <w:rFonts w:ascii="TimesNewRomanPSMT" w:hAnsi="TimesNewRomanPSMT"/>
                <w:color w:val="000000"/>
              </w:rPr>
            </w:pPr>
            <w:r>
              <w:rPr>
                <w:rFonts w:ascii="TimesNewRomanPSMT" w:hAnsi="TimesNewRomanPSMT"/>
                <w:color w:val="000000"/>
              </w:rPr>
              <w:t>South Korea</w:t>
            </w:r>
          </w:p>
        </w:tc>
        <w:tc>
          <w:tcPr>
            <w:tcW w:w="920" w:type="dxa"/>
            <w:tcBorders>
              <w:top w:val="nil"/>
              <w:left w:val="nil"/>
              <w:bottom w:val="nil"/>
              <w:right w:val="nil"/>
            </w:tcBorders>
            <w:noWrap/>
            <w:vAlign w:val="center"/>
            <w:hideMark/>
          </w:tcPr>
          <w:p w14:paraId="68BEE451" w14:textId="77777777" w:rsidR="00E650BA" w:rsidRDefault="00E650BA">
            <w:pPr>
              <w:jc w:val="right"/>
              <w:rPr>
                <w:rFonts w:ascii="TimesNewRomanPSMT" w:hAnsi="TimesNewRomanPSMT"/>
                <w:color w:val="000000"/>
              </w:rPr>
            </w:pPr>
            <w:r>
              <w:rPr>
                <w:rFonts w:ascii="TimesNewRomanPSMT" w:hAnsi="TimesNewRomanPSMT"/>
                <w:color w:val="000000"/>
              </w:rPr>
              <w:t>-0.522</w:t>
            </w:r>
          </w:p>
        </w:tc>
        <w:tc>
          <w:tcPr>
            <w:tcW w:w="960" w:type="dxa"/>
            <w:tcBorders>
              <w:top w:val="nil"/>
              <w:left w:val="nil"/>
              <w:bottom w:val="nil"/>
              <w:right w:val="nil"/>
            </w:tcBorders>
            <w:noWrap/>
            <w:vAlign w:val="center"/>
            <w:hideMark/>
          </w:tcPr>
          <w:p w14:paraId="7E49F1C8" w14:textId="77777777" w:rsidR="00E650BA" w:rsidRDefault="00E650BA">
            <w:pPr>
              <w:jc w:val="right"/>
              <w:rPr>
                <w:rFonts w:ascii="TimesNewRomanPSMT" w:hAnsi="TimesNewRomanPSMT"/>
                <w:color w:val="000000"/>
              </w:rPr>
            </w:pPr>
            <w:r>
              <w:rPr>
                <w:rFonts w:ascii="TimesNewRomanPSMT" w:hAnsi="TimesNewRomanPSMT"/>
                <w:color w:val="000000"/>
              </w:rPr>
              <w:t>0.0009</w:t>
            </w:r>
          </w:p>
        </w:tc>
      </w:tr>
      <w:tr w:rsidR="00E650BA" w14:paraId="0FDDCB20" w14:textId="77777777" w:rsidTr="00E650BA">
        <w:trPr>
          <w:trHeight w:val="320"/>
          <w:jc w:val="center"/>
        </w:trPr>
        <w:tc>
          <w:tcPr>
            <w:tcW w:w="1080" w:type="dxa"/>
            <w:tcBorders>
              <w:top w:val="nil"/>
              <w:left w:val="nil"/>
              <w:bottom w:val="nil"/>
              <w:right w:val="nil"/>
            </w:tcBorders>
            <w:noWrap/>
            <w:vAlign w:val="center"/>
            <w:hideMark/>
          </w:tcPr>
          <w:p w14:paraId="666493CF" w14:textId="77777777" w:rsidR="00E650BA" w:rsidRDefault="00E650BA">
            <w:pPr>
              <w:rPr>
                <w:rFonts w:ascii="TimesNewRomanPSMT" w:hAnsi="TimesNewRomanPSMT"/>
                <w:color w:val="000000"/>
              </w:rPr>
            </w:pPr>
            <w:r>
              <w:rPr>
                <w:rFonts w:ascii="TimesNewRomanPSMT" w:hAnsi="TimesNewRomanPSMT"/>
                <w:color w:val="000000"/>
              </w:rPr>
              <w:t>CRI</w:t>
            </w:r>
          </w:p>
        </w:tc>
        <w:tc>
          <w:tcPr>
            <w:tcW w:w="1880" w:type="dxa"/>
            <w:tcBorders>
              <w:top w:val="nil"/>
              <w:left w:val="nil"/>
              <w:bottom w:val="nil"/>
              <w:right w:val="nil"/>
            </w:tcBorders>
            <w:noWrap/>
            <w:vAlign w:val="center"/>
            <w:hideMark/>
          </w:tcPr>
          <w:p w14:paraId="3B876A01" w14:textId="77777777" w:rsidR="00E650BA" w:rsidRDefault="00E650BA">
            <w:pPr>
              <w:rPr>
                <w:rFonts w:ascii="TimesNewRomanPSMT" w:hAnsi="TimesNewRomanPSMT"/>
                <w:color w:val="000000"/>
              </w:rPr>
            </w:pPr>
            <w:r>
              <w:rPr>
                <w:rFonts w:ascii="TimesNewRomanPSMT" w:hAnsi="TimesNewRomanPSMT"/>
                <w:color w:val="000000"/>
              </w:rPr>
              <w:t>Costa Rica</w:t>
            </w:r>
          </w:p>
        </w:tc>
        <w:tc>
          <w:tcPr>
            <w:tcW w:w="920" w:type="dxa"/>
            <w:tcBorders>
              <w:top w:val="nil"/>
              <w:left w:val="nil"/>
              <w:bottom w:val="nil"/>
              <w:right w:val="nil"/>
            </w:tcBorders>
            <w:noWrap/>
            <w:vAlign w:val="center"/>
            <w:hideMark/>
          </w:tcPr>
          <w:p w14:paraId="54FA813A" w14:textId="77777777" w:rsidR="00E650BA" w:rsidRDefault="00E650BA">
            <w:pPr>
              <w:jc w:val="right"/>
              <w:rPr>
                <w:rFonts w:ascii="TimesNewRomanPSMT" w:hAnsi="TimesNewRomanPSMT"/>
                <w:color w:val="000000"/>
              </w:rPr>
            </w:pPr>
            <w:r>
              <w:rPr>
                <w:rFonts w:ascii="TimesNewRomanPSMT" w:hAnsi="TimesNewRomanPSMT"/>
                <w:color w:val="000000"/>
              </w:rPr>
              <w:t>-0.519</w:t>
            </w:r>
          </w:p>
        </w:tc>
        <w:tc>
          <w:tcPr>
            <w:tcW w:w="960" w:type="dxa"/>
            <w:tcBorders>
              <w:top w:val="nil"/>
              <w:left w:val="nil"/>
              <w:bottom w:val="nil"/>
              <w:right w:val="nil"/>
            </w:tcBorders>
            <w:noWrap/>
            <w:vAlign w:val="center"/>
            <w:hideMark/>
          </w:tcPr>
          <w:p w14:paraId="293C783F" w14:textId="77777777" w:rsidR="00E650BA" w:rsidRDefault="00E650BA">
            <w:pPr>
              <w:jc w:val="right"/>
              <w:rPr>
                <w:rFonts w:ascii="TimesNewRomanPSMT" w:hAnsi="TimesNewRomanPSMT"/>
                <w:color w:val="000000"/>
              </w:rPr>
            </w:pPr>
            <w:r>
              <w:rPr>
                <w:rFonts w:ascii="TimesNewRomanPSMT" w:hAnsi="TimesNewRomanPSMT"/>
                <w:color w:val="000000"/>
              </w:rPr>
              <w:t>0.001</w:t>
            </w:r>
          </w:p>
        </w:tc>
      </w:tr>
      <w:tr w:rsidR="00E650BA" w14:paraId="3EDF1FAC" w14:textId="77777777" w:rsidTr="00E650BA">
        <w:trPr>
          <w:trHeight w:val="320"/>
          <w:jc w:val="center"/>
        </w:trPr>
        <w:tc>
          <w:tcPr>
            <w:tcW w:w="1080" w:type="dxa"/>
            <w:tcBorders>
              <w:top w:val="nil"/>
              <w:left w:val="nil"/>
              <w:bottom w:val="nil"/>
              <w:right w:val="nil"/>
            </w:tcBorders>
            <w:noWrap/>
            <w:vAlign w:val="center"/>
            <w:hideMark/>
          </w:tcPr>
          <w:p w14:paraId="4AC653FB" w14:textId="77777777" w:rsidR="00E650BA" w:rsidRDefault="00E650BA">
            <w:pPr>
              <w:rPr>
                <w:rFonts w:ascii="TimesNewRomanPSMT" w:hAnsi="TimesNewRomanPSMT"/>
                <w:color w:val="000000"/>
              </w:rPr>
            </w:pPr>
            <w:r>
              <w:rPr>
                <w:rFonts w:ascii="TimesNewRomanPSMT" w:hAnsi="TimesNewRomanPSMT"/>
                <w:color w:val="000000"/>
              </w:rPr>
              <w:t>CHE</w:t>
            </w:r>
          </w:p>
        </w:tc>
        <w:tc>
          <w:tcPr>
            <w:tcW w:w="1880" w:type="dxa"/>
            <w:tcBorders>
              <w:top w:val="nil"/>
              <w:left w:val="nil"/>
              <w:bottom w:val="nil"/>
              <w:right w:val="nil"/>
            </w:tcBorders>
            <w:noWrap/>
            <w:vAlign w:val="center"/>
            <w:hideMark/>
          </w:tcPr>
          <w:p w14:paraId="3590975B" w14:textId="77777777" w:rsidR="00E650BA" w:rsidRDefault="00E650BA">
            <w:pPr>
              <w:rPr>
                <w:rFonts w:ascii="TimesNewRomanPSMT" w:hAnsi="TimesNewRomanPSMT"/>
                <w:color w:val="000000"/>
              </w:rPr>
            </w:pPr>
            <w:r>
              <w:rPr>
                <w:rFonts w:ascii="TimesNewRomanPSMT" w:hAnsi="TimesNewRomanPSMT"/>
                <w:color w:val="000000"/>
              </w:rPr>
              <w:t>Switzerland</w:t>
            </w:r>
          </w:p>
        </w:tc>
        <w:tc>
          <w:tcPr>
            <w:tcW w:w="920" w:type="dxa"/>
            <w:tcBorders>
              <w:top w:val="nil"/>
              <w:left w:val="nil"/>
              <w:bottom w:val="nil"/>
              <w:right w:val="nil"/>
            </w:tcBorders>
            <w:noWrap/>
            <w:vAlign w:val="center"/>
            <w:hideMark/>
          </w:tcPr>
          <w:p w14:paraId="070B495E" w14:textId="77777777" w:rsidR="00E650BA" w:rsidRDefault="00E650BA">
            <w:pPr>
              <w:jc w:val="right"/>
              <w:rPr>
                <w:rFonts w:ascii="TimesNewRomanPSMT" w:hAnsi="TimesNewRomanPSMT"/>
                <w:color w:val="000000"/>
              </w:rPr>
            </w:pPr>
            <w:r>
              <w:rPr>
                <w:rFonts w:ascii="TimesNewRomanPSMT" w:hAnsi="TimesNewRomanPSMT"/>
                <w:color w:val="000000"/>
              </w:rPr>
              <w:t>-0.518</w:t>
            </w:r>
          </w:p>
        </w:tc>
        <w:tc>
          <w:tcPr>
            <w:tcW w:w="960" w:type="dxa"/>
            <w:tcBorders>
              <w:top w:val="nil"/>
              <w:left w:val="nil"/>
              <w:bottom w:val="nil"/>
              <w:right w:val="nil"/>
            </w:tcBorders>
            <w:noWrap/>
            <w:vAlign w:val="center"/>
            <w:hideMark/>
          </w:tcPr>
          <w:p w14:paraId="570A3D51" w14:textId="77777777" w:rsidR="00E650BA" w:rsidRDefault="00E650BA">
            <w:pPr>
              <w:jc w:val="right"/>
              <w:rPr>
                <w:rFonts w:ascii="TimesNewRomanPSMT" w:hAnsi="TimesNewRomanPSMT"/>
                <w:color w:val="000000"/>
              </w:rPr>
            </w:pPr>
            <w:r>
              <w:rPr>
                <w:rFonts w:ascii="TimesNewRomanPSMT" w:hAnsi="TimesNewRomanPSMT"/>
                <w:color w:val="000000"/>
              </w:rPr>
              <w:t>0.001</w:t>
            </w:r>
          </w:p>
        </w:tc>
      </w:tr>
      <w:tr w:rsidR="00E650BA" w14:paraId="551D5244" w14:textId="77777777" w:rsidTr="00E650BA">
        <w:trPr>
          <w:trHeight w:val="320"/>
          <w:jc w:val="center"/>
        </w:trPr>
        <w:tc>
          <w:tcPr>
            <w:tcW w:w="1080" w:type="dxa"/>
            <w:tcBorders>
              <w:top w:val="nil"/>
              <w:left w:val="nil"/>
              <w:bottom w:val="nil"/>
              <w:right w:val="nil"/>
            </w:tcBorders>
            <w:noWrap/>
            <w:vAlign w:val="center"/>
            <w:hideMark/>
          </w:tcPr>
          <w:p w14:paraId="10CEDBC2" w14:textId="77777777" w:rsidR="00E650BA" w:rsidRDefault="00E650BA">
            <w:pPr>
              <w:rPr>
                <w:rFonts w:ascii="TimesNewRomanPSMT" w:hAnsi="TimesNewRomanPSMT"/>
                <w:color w:val="000000"/>
              </w:rPr>
            </w:pPr>
            <w:r>
              <w:rPr>
                <w:rFonts w:ascii="TimesNewRomanPSMT" w:hAnsi="TimesNewRomanPSMT"/>
                <w:color w:val="000000"/>
              </w:rPr>
              <w:t>SVK</w:t>
            </w:r>
          </w:p>
        </w:tc>
        <w:tc>
          <w:tcPr>
            <w:tcW w:w="1880" w:type="dxa"/>
            <w:tcBorders>
              <w:top w:val="nil"/>
              <w:left w:val="nil"/>
              <w:bottom w:val="nil"/>
              <w:right w:val="nil"/>
            </w:tcBorders>
            <w:noWrap/>
            <w:vAlign w:val="center"/>
            <w:hideMark/>
          </w:tcPr>
          <w:p w14:paraId="6AD165E2" w14:textId="77777777" w:rsidR="00E650BA" w:rsidRDefault="00E650BA">
            <w:pPr>
              <w:rPr>
                <w:rFonts w:ascii="TimesNewRomanPSMT" w:hAnsi="TimesNewRomanPSMT"/>
                <w:color w:val="000000"/>
              </w:rPr>
            </w:pPr>
            <w:r>
              <w:rPr>
                <w:rFonts w:ascii="TimesNewRomanPSMT" w:hAnsi="TimesNewRomanPSMT"/>
                <w:color w:val="000000"/>
              </w:rPr>
              <w:t>Slovakia</w:t>
            </w:r>
          </w:p>
        </w:tc>
        <w:tc>
          <w:tcPr>
            <w:tcW w:w="920" w:type="dxa"/>
            <w:tcBorders>
              <w:top w:val="nil"/>
              <w:left w:val="nil"/>
              <w:bottom w:val="nil"/>
              <w:right w:val="nil"/>
            </w:tcBorders>
            <w:noWrap/>
            <w:vAlign w:val="center"/>
            <w:hideMark/>
          </w:tcPr>
          <w:p w14:paraId="7E3E8915" w14:textId="77777777" w:rsidR="00E650BA" w:rsidRDefault="00E650BA">
            <w:pPr>
              <w:jc w:val="right"/>
              <w:rPr>
                <w:rFonts w:ascii="TimesNewRomanPSMT" w:hAnsi="TimesNewRomanPSMT"/>
                <w:color w:val="000000"/>
              </w:rPr>
            </w:pPr>
            <w:r>
              <w:rPr>
                <w:rFonts w:ascii="TimesNewRomanPSMT" w:hAnsi="TimesNewRomanPSMT"/>
                <w:color w:val="000000"/>
              </w:rPr>
              <w:t>-0.517</w:t>
            </w:r>
          </w:p>
        </w:tc>
        <w:tc>
          <w:tcPr>
            <w:tcW w:w="960" w:type="dxa"/>
            <w:tcBorders>
              <w:top w:val="nil"/>
              <w:left w:val="nil"/>
              <w:bottom w:val="nil"/>
              <w:right w:val="nil"/>
            </w:tcBorders>
            <w:noWrap/>
            <w:vAlign w:val="center"/>
            <w:hideMark/>
          </w:tcPr>
          <w:p w14:paraId="401DDFBE" w14:textId="77777777" w:rsidR="00E650BA" w:rsidRDefault="00E650BA">
            <w:pPr>
              <w:jc w:val="right"/>
              <w:rPr>
                <w:rFonts w:ascii="TimesNewRomanPSMT" w:hAnsi="TimesNewRomanPSMT"/>
                <w:color w:val="000000"/>
              </w:rPr>
            </w:pPr>
            <w:r>
              <w:rPr>
                <w:rFonts w:ascii="TimesNewRomanPSMT" w:hAnsi="TimesNewRomanPSMT"/>
                <w:color w:val="000000"/>
              </w:rPr>
              <w:t>0.001</w:t>
            </w:r>
          </w:p>
        </w:tc>
      </w:tr>
      <w:tr w:rsidR="00E650BA" w14:paraId="1A9C332C" w14:textId="77777777" w:rsidTr="00E650BA">
        <w:trPr>
          <w:trHeight w:val="320"/>
          <w:jc w:val="center"/>
        </w:trPr>
        <w:tc>
          <w:tcPr>
            <w:tcW w:w="1080" w:type="dxa"/>
            <w:tcBorders>
              <w:top w:val="nil"/>
              <w:left w:val="nil"/>
              <w:bottom w:val="nil"/>
              <w:right w:val="nil"/>
            </w:tcBorders>
            <w:noWrap/>
            <w:vAlign w:val="center"/>
            <w:hideMark/>
          </w:tcPr>
          <w:p w14:paraId="60E9D72A" w14:textId="77777777" w:rsidR="00E650BA" w:rsidRDefault="00E650BA">
            <w:pPr>
              <w:rPr>
                <w:rFonts w:ascii="TimesNewRomanPSMT" w:hAnsi="TimesNewRomanPSMT"/>
                <w:color w:val="000000"/>
              </w:rPr>
            </w:pPr>
            <w:r>
              <w:rPr>
                <w:rFonts w:ascii="TimesNewRomanPSMT" w:hAnsi="TimesNewRomanPSMT"/>
                <w:color w:val="000000"/>
              </w:rPr>
              <w:t>DEU</w:t>
            </w:r>
          </w:p>
        </w:tc>
        <w:tc>
          <w:tcPr>
            <w:tcW w:w="1880" w:type="dxa"/>
            <w:tcBorders>
              <w:top w:val="nil"/>
              <w:left w:val="nil"/>
              <w:bottom w:val="nil"/>
              <w:right w:val="nil"/>
            </w:tcBorders>
            <w:noWrap/>
            <w:vAlign w:val="center"/>
            <w:hideMark/>
          </w:tcPr>
          <w:p w14:paraId="05F045A5" w14:textId="77777777" w:rsidR="00E650BA" w:rsidRDefault="00E650BA">
            <w:pPr>
              <w:rPr>
                <w:rFonts w:ascii="TimesNewRomanPSMT" w:hAnsi="TimesNewRomanPSMT"/>
                <w:color w:val="000000"/>
              </w:rPr>
            </w:pPr>
            <w:r>
              <w:rPr>
                <w:rFonts w:ascii="TimesNewRomanPSMT" w:hAnsi="TimesNewRomanPSMT"/>
                <w:color w:val="000000"/>
              </w:rPr>
              <w:t>Germany</w:t>
            </w:r>
          </w:p>
        </w:tc>
        <w:tc>
          <w:tcPr>
            <w:tcW w:w="920" w:type="dxa"/>
            <w:tcBorders>
              <w:top w:val="nil"/>
              <w:left w:val="nil"/>
              <w:bottom w:val="nil"/>
              <w:right w:val="nil"/>
            </w:tcBorders>
            <w:noWrap/>
            <w:vAlign w:val="center"/>
            <w:hideMark/>
          </w:tcPr>
          <w:p w14:paraId="6DAC872E" w14:textId="77777777" w:rsidR="00E650BA" w:rsidRDefault="00E650BA">
            <w:pPr>
              <w:jc w:val="right"/>
              <w:rPr>
                <w:rFonts w:ascii="TimesNewRomanPSMT" w:hAnsi="TimesNewRomanPSMT"/>
                <w:color w:val="000000"/>
              </w:rPr>
            </w:pPr>
            <w:r>
              <w:rPr>
                <w:rFonts w:ascii="TimesNewRomanPSMT" w:hAnsi="TimesNewRomanPSMT"/>
                <w:color w:val="000000"/>
              </w:rPr>
              <w:t>-0.516</w:t>
            </w:r>
          </w:p>
        </w:tc>
        <w:tc>
          <w:tcPr>
            <w:tcW w:w="960" w:type="dxa"/>
            <w:tcBorders>
              <w:top w:val="nil"/>
              <w:left w:val="nil"/>
              <w:bottom w:val="nil"/>
              <w:right w:val="nil"/>
            </w:tcBorders>
            <w:noWrap/>
            <w:vAlign w:val="center"/>
            <w:hideMark/>
          </w:tcPr>
          <w:p w14:paraId="0ECAF16A" w14:textId="77777777" w:rsidR="00E650BA" w:rsidRDefault="00E650BA">
            <w:pPr>
              <w:jc w:val="right"/>
              <w:rPr>
                <w:rFonts w:ascii="TimesNewRomanPSMT" w:hAnsi="TimesNewRomanPSMT"/>
                <w:color w:val="000000"/>
              </w:rPr>
            </w:pPr>
            <w:r>
              <w:rPr>
                <w:rFonts w:ascii="TimesNewRomanPSMT" w:hAnsi="TimesNewRomanPSMT"/>
                <w:color w:val="000000"/>
              </w:rPr>
              <w:t>0.0011</w:t>
            </w:r>
          </w:p>
        </w:tc>
      </w:tr>
      <w:tr w:rsidR="00E650BA" w14:paraId="717045FB" w14:textId="77777777" w:rsidTr="00E650BA">
        <w:trPr>
          <w:trHeight w:val="320"/>
          <w:jc w:val="center"/>
        </w:trPr>
        <w:tc>
          <w:tcPr>
            <w:tcW w:w="1080" w:type="dxa"/>
            <w:tcBorders>
              <w:top w:val="nil"/>
              <w:left w:val="nil"/>
              <w:bottom w:val="nil"/>
              <w:right w:val="nil"/>
            </w:tcBorders>
            <w:noWrap/>
            <w:vAlign w:val="center"/>
            <w:hideMark/>
          </w:tcPr>
          <w:p w14:paraId="7563D348" w14:textId="77777777" w:rsidR="00E650BA" w:rsidRDefault="00E650BA">
            <w:pPr>
              <w:rPr>
                <w:rFonts w:ascii="TimesNewRomanPSMT" w:hAnsi="TimesNewRomanPSMT"/>
                <w:color w:val="000000"/>
              </w:rPr>
            </w:pPr>
            <w:r>
              <w:rPr>
                <w:rFonts w:ascii="TimesNewRomanPSMT" w:hAnsi="TimesNewRomanPSMT"/>
                <w:color w:val="000000"/>
              </w:rPr>
              <w:t>AUT</w:t>
            </w:r>
          </w:p>
        </w:tc>
        <w:tc>
          <w:tcPr>
            <w:tcW w:w="1880" w:type="dxa"/>
            <w:tcBorders>
              <w:top w:val="nil"/>
              <w:left w:val="nil"/>
              <w:bottom w:val="nil"/>
              <w:right w:val="nil"/>
            </w:tcBorders>
            <w:noWrap/>
            <w:vAlign w:val="center"/>
            <w:hideMark/>
          </w:tcPr>
          <w:p w14:paraId="11AD691F" w14:textId="77777777" w:rsidR="00E650BA" w:rsidRDefault="00E650BA">
            <w:pPr>
              <w:rPr>
                <w:rFonts w:ascii="TimesNewRomanPSMT" w:hAnsi="TimesNewRomanPSMT"/>
                <w:color w:val="000000"/>
              </w:rPr>
            </w:pPr>
            <w:r>
              <w:rPr>
                <w:rFonts w:ascii="TimesNewRomanPSMT" w:hAnsi="TimesNewRomanPSMT"/>
                <w:color w:val="000000"/>
              </w:rPr>
              <w:t>Austria</w:t>
            </w:r>
          </w:p>
        </w:tc>
        <w:tc>
          <w:tcPr>
            <w:tcW w:w="920" w:type="dxa"/>
            <w:tcBorders>
              <w:top w:val="nil"/>
              <w:left w:val="nil"/>
              <w:bottom w:val="nil"/>
              <w:right w:val="nil"/>
            </w:tcBorders>
            <w:noWrap/>
            <w:vAlign w:val="center"/>
            <w:hideMark/>
          </w:tcPr>
          <w:p w14:paraId="44A67665" w14:textId="77777777" w:rsidR="00E650BA" w:rsidRDefault="00E650BA">
            <w:pPr>
              <w:jc w:val="right"/>
              <w:rPr>
                <w:rFonts w:ascii="TimesNewRomanPSMT" w:hAnsi="TimesNewRomanPSMT"/>
                <w:color w:val="000000"/>
              </w:rPr>
            </w:pPr>
            <w:r>
              <w:rPr>
                <w:rFonts w:ascii="TimesNewRomanPSMT" w:hAnsi="TimesNewRomanPSMT"/>
                <w:color w:val="000000"/>
              </w:rPr>
              <w:t>-0.515</w:t>
            </w:r>
          </w:p>
        </w:tc>
        <w:tc>
          <w:tcPr>
            <w:tcW w:w="960" w:type="dxa"/>
            <w:tcBorders>
              <w:top w:val="nil"/>
              <w:left w:val="nil"/>
              <w:bottom w:val="nil"/>
              <w:right w:val="nil"/>
            </w:tcBorders>
            <w:noWrap/>
            <w:vAlign w:val="center"/>
            <w:hideMark/>
          </w:tcPr>
          <w:p w14:paraId="4118DA02" w14:textId="77777777" w:rsidR="00E650BA" w:rsidRDefault="00E650BA">
            <w:pPr>
              <w:jc w:val="right"/>
              <w:rPr>
                <w:rFonts w:ascii="TimesNewRomanPSMT" w:hAnsi="TimesNewRomanPSMT"/>
                <w:color w:val="000000"/>
              </w:rPr>
            </w:pPr>
            <w:r>
              <w:rPr>
                <w:rFonts w:ascii="TimesNewRomanPSMT" w:hAnsi="TimesNewRomanPSMT"/>
                <w:color w:val="000000"/>
              </w:rPr>
              <w:t>0.0011</w:t>
            </w:r>
          </w:p>
        </w:tc>
      </w:tr>
      <w:tr w:rsidR="00E650BA" w14:paraId="322EE848" w14:textId="77777777" w:rsidTr="00E650BA">
        <w:trPr>
          <w:trHeight w:val="320"/>
          <w:jc w:val="center"/>
        </w:trPr>
        <w:tc>
          <w:tcPr>
            <w:tcW w:w="1080" w:type="dxa"/>
            <w:tcBorders>
              <w:top w:val="nil"/>
              <w:left w:val="nil"/>
              <w:bottom w:val="nil"/>
              <w:right w:val="nil"/>
            </w:tcBorders>
            <w:noWrap/>
            <w:vAlign w:val="center"/>
            <w:hideMark/>
          </w:tcPr>
          <w:p w14:paraId="7B39A46B" w14:textId="77777777" w:rsidR="00E650BA" w:rsidRDefault="00E650BA">
            <w:pPr>
              <w:rPr>
                <w:rFonts w:ascii="TimesNewRomanPSMT" w:hAnsi="TimesNewRomanPSMT"/>
                <w:color w:val="000000"/>
              </w:rPr>
            </w:pPr>
            <w:r>
              <w:rPr>
                <w:rFonts w:ascii="TimesNewRomanPSMT" w:hAnsi="TimesNewRomanPSMT"/>
                <w:color w:val="000000"/>
              </w:rPr>
              <w:t>SVN</w:t>
            </w:r>
          </w:p>
        </w:tc>
        <w:tc>
          <w:tcPr>
            <w:tcW w:w="1880" w:type="dxa"/>
            <w:tcBorders>
              <w:top w:val="nil"/>
              <w:left w:val="nil"/>
              <w:bottom w:val="nil"/>
              <w:right w:val="nil"/>
            </w:tcBorders>
            <w:noWrap/>
            <w:vAlign w:val="center"/>
            <w:hideMark/>
          </w:tcPr>
          <w:p w14:paraId="6D658ED6" w14:textId="77777777" w:rsidR="00E650BA" w:rsidRDefault="00E650BA">
            <w:pPr>
              <w:rPr>
                <w:rFonts w:ascii="TimesNewRomanPSMT" w:hAnsi="TimesNewRomanPSMT"/>
                <w:color w:val="000000"/>
              </w:rPr>
            </w:pPr>
            <w:r>
              <w:rPr>
                <w:rFonts w:ascii="TimesNewRomanPSMT" w:hAnsi="TimesNewRomanPSMT"/>
                <w:color w:val="000000"/>
              </w:rPr>
              <w:t>Slovenia</w:t>
            </w:r>
          </w:p>
        </w:tc>
        <w:tc>
          <w:tcPr>
            <w:tcW w:w="920" w:type="dxa"/>
            <w:tcBorders>
              <w:top w:val="nil"/>
              <w:left w:val="nil"/>
              <w:bottom w:val="nil"/>
              <w:right w:val="nil"/>
            </w:tcBorders>
            <w:noWrap/>
            <w:vAlign w:val="center"/>
            <w:hideMark/>
          </w:tcPr>
          <w:p w14:paraId="6C258C38" w14:textId="77777777" w:rsidR="00E650BA" w:rsidRDefault="00E650BA">
            <w:pPr>
              <w:jc w:val="right"/>
              <w:rPr>
                <w:rFonts w:ascii="TimesNewRomanPSMT" w:hAnsi="TimesNewRomanPSMT"/>
                <w:color w:val="000000"/>
              </w:rPr>
            </w:pPr>
            <w:r>
              <w:rPr>
                <w:rFonts w:ascii="TimesNewRomanPSMT" w:hAnsi="TimesNewRomanPSMT"/>
                <w:color w:val="000000"/>
              </w:rPr>
              <w:t>-0.514</w:t>
            </w:r>
          </w:p>
        </w:tc>
        <w:tc>
          <w:tcPr>
            <w:tcW w:w="960" w:type="dxa"/>
            <w:tcBorders>
              <w:top w:val="nil"/>
              <w:left w:val="nil"/>
              <w:bottom w:val="nil"/>
              <w:right w:val="nil"/>
            </w:tcBorders>
            <w:noWrap/>
            <w:vAlign w:val="center"/>
            <w:hideMark/>
          </w:tcPr>
          <w:p w14:paraId="77813082" w14:textId="77777777" w:rsidR="00E650BA" w:rsidRDefault="00E650BA">
            <w:pPr>
              <w:jc w:val="right"/>
              <w:rPr>
                <w:rFonts w:ascii="TimesNewRomanPSMT" w:hAnsi="TimesNewRomanPSMT"/>
                <w:color w:val="000000"/>
              </w:rPr>
            </w:pPr>
            <w:r>
              <w:rPr>
                <w:rFonts w:ascii="TimesNewRomanPSMT" w:hAnsi="TimesNewRomanPSMT"/>
                <w:color w:val="000000"/>
              </w:rPr>
              <w:t>0.0011</w:t>
            </w:r>
          </w:p>
        </w:tc>
      </w:tr>
      <w:tr w:rsidR="00E650BA" w14:paraId="604E8F23" w14:textId="77777777" w:rsidTr="00E650BA">
        <w:trPr>
          <w:trHeight w:val="320"/>
          <w:jc w:val="center"/>
        </w:trPr>
        <w:tc>
          <w:tcPr>
            <w:tcW w:w="1080" w:type="dxa"/>
            <w:tcBorders>
              <w:top w:val="nil"/>
              <w:left w:val="nil"/>
              <w:bottom w:val="nil"/>
              <w:right w:val="nil"/>
            </w:tcBorders>
            <w:noWrap/>
            <w:vAlign w:val="center"/>
            <w:hideMark/>
          </w:tcPr>
          <w:p w14:paraId="4C91F224" w14:textId="77777777" w:rsidR="00E650BA" w:rsidRDefault="00E650BA">
            <w:pPr>
              <w:rPr>
                <w:rFonts w:ascii="TimesNewRomanPSMT" w:hAnsi="TimesNewRomanPSMT"/>
                <w:color w:val="000000"/>
              </w:rPr>
            </w:pPr>
            <w:r>
              <w:rPr>
                <w:rFonts w:ascii="TimesNewRomanPSMT" w:hAnsi="TimesNewRomanPSMT"/>
                <w:color w:val="000000"/>
              </w:rPr>
              <w:t>MEX</w:t>
            </w:r>
          </w:p>
        </w:tc>
        <w:tc>
          <w:tcPr>
            <w:tcW w:w="1880" w:type="dxa"/>
            <w:tcBorders>
              <w:top w:val="nil"/>
              <w:left w:val="nil"/>
              <w:bottom w:val="nil"/>
              <w:right w:val="nil"/>
            </w:tcBorders>
            <w:noWrap/>
            <w:vAlign w:val="center"/>
            <w:hideMark/>
          </w:tcPr>
          <w:p w14:paraId="16031CB5" w14:textId="77777777" w:rsidR="00E650BA" w:rsidRDefault="00E650BA">
            <w:pPr>
              <w:rPr>
                <w:rFonts w:ascii="TimesNewRomanPSMT" w:hAnsi="TimesNewRomanPSMT"/>
                <w:color w:val="000000"/>
              </w:rPr>
            </w:pPr>
            <w:r>
              <w:rPr>
                <w:rFonts w:ascii="TimesNewRomanPSMT" w:hAnsi="TimesNewRomanPSMT"/>
                <w:color w:val="000000"/>
              </w:rPr>
              <w:t>Mexico</w:t>
            </w:r>
          </w:p>
        </w:tc>
        <w:tc>
          <w:tcPr>
            <w:tcW w:w="920" w:type="dxa"/>
            <w:tcBorders>
              <w:top w:val="nil"/>
              <w:left w:val="nil"/>
              <w:bottom w:val="nil"/>
              <w:right w:val="nil"/>
            </w:tcBorders>
            <w:noWrap/>
            <w:vAlign w:val="center"/>
            <w:hideMark/>
          </w:tcPr>
          <w:p w14:paraId="10710620" w14:textId="77777777" w:rsidR="00E650BA" w:rsidRDefault="00E650BA">
            <w:pPr>
              <w:jc w:val="right"/>
              <w:rPr>
                <w:rFonts w:ascii="TimesNewRomanPSMT" w:hAnsi="TimesNewRomanPSMT"/>
                <w:color w:val="000000"/>
              </w:rPr>
            </w:pPr>
            <w:r>
              <w:rPr>
                <w:rFonts w:ascii="TimesNewRomanPSMT" w:hAnsi="TimesNewRomanPSMT"/>
                <w:color w:val="000000"/>
              </w:rPr>
              <w:t>-0.513</w:t>
            </w:r>
          </w:p>
        </w:tc>
        <w:tc>
          <w:tcPr>
            <w:tcW w:w="960" w:type="dxa"/>
            <w:tcBorders>
              <w:top w:val="nil"/>
              <w:left w:val="nil"/>
              <w:bottom w:val="nil"/>
              <w:right w:val="nil"/>
            </w:tcBorders>
            <w:noWrap/>
            <w:vAlign w:val="center"/>
            <w:hideMark/>
          </w:tcPr>
          <w:p w14:paraId="5B04C035" w14:textId="77777777" w:rsidR="00E650BA" w:rsidRDefault="00E650BA">
            <w:pPr>
              <w:jc w:val="right"/>
              <w:rPr>
                <w:rFonts w:ascii="TimesNewRomanPSMT" w:hAnsi="TimesNewRomanPSMT"/>
                <w:color w:val="000000"/>
              </w:rPr>
            </w:pPr>
            <w:r>
              <w:rPr>
                <w:rFonts w:ascii="TimesNewRomanPSMT" w:hAnsi="TimesNewRomanPSMT"/>
                <w:color w:val="000000"/>
              </w:rPr>
              <w:t>0.0012</w:t>
            </w:r>
          </w:p>
        </w:tc>
      </w:tr>
      <w:tr w:rsidR="00E650BA" w14:paraId="1C1A772C" w14:textId="77777777" w:rsidTr="00E650BA">
        <w:trPr>
          <w:trHeight w:val="320"/>
          <w:jc w:val="center"/>
        </w:trPr>
        <w:tc>
          <w:tcPr>
            <w:tcW w:w="1080" w:type="dxa"/>
            <w:tcBorders>
              <w:top w:val="nil"/>
              <w:left w:val="nil"/>
              <w:bottom w:val="nil"/>
              <w:right w:val="nil"/>
            </w:tcBorders>
            <w:noWrap/>
            <w:vAlign w:val="center"/>
            <w:hideMark/>
          </w:tcPr>
          <w:p w14:paraId="40D62268" w14:textId="77777777" w:rsidR="00E650BA" w:rsidRDefault="00E650BA">
            <w:pPr>
              <w:rPr>
                <w:rFonts w:ascii="TimesNewRomanPSMT" w:hAnsi="TimesNewRomanPSMT"/>
                <w:color w:val="000000"/>
              </w:rPr>
            </w:pPr>
            <w:r>
              <w:rPr>
                <w:rFonts w:ascii="TimesNewRomanPSMT" w:hAnsi="TimesNewRomanPSMT"/>
                <w:color w:val="000000"/>
              </w:rPr>
              <w:t>ITA</w:t>
            </w:r>
          </w:p>
        </w:tc>
        <w:tc>
          <w:tcPr>
            <w:tcW w:w="1880" w:type="dxa"/>
            <w:tcBorders>
              <w:top w:val="nil"/>
              <w:left w:val="nil"/>
              <w:bottom w:val="nil"/>
              <w:right w:val="nil"/>
            </w:tcBorders>
            <w:noWrap/>
            <w:vAlign w:val="center"/>
            <w:hideMark/>
          </w:tcPr>
          <w:p w14:paraId="71F2D0D0" w14:textId="77777777" w:rsidR="00E650BA" w:rsidRDefault="00E650BA">
            <w:pPr>
              <w:rPr>
                <w:rFonts w:ascii="TimesNewRomanPSMT" w:hAnsi="TimesNewRomanPSMT"/>
                <w:color w:val="000000"/>
              </w:rPr>
            </w:pPr>
            <w:r>
              <w:rPr>
                <w:rFonts w:ascii="TimesNewRomanPSMT" w:hAnsi="TimesNewRomanPSMT"/>
                <w:color w:val="000000"/>
              </w:rPr>
              <w:t>Italy</w:t>
            </w:r>
          </w:p>
        </w:tc>
        <w:tc>
          <w:tcPr>
            <w:tcW w:w="920" w:type="dxa"/>
            <w:tcBorders>
              <w:top w:val="nil"/>
              <w:left w:val="nil"/>
              <w:bottom w:val="nil"/>
              <w:right w:val="nil"/>
            </w:tcBorders>
            <w:noWrap/>
            <w:vAlign w:val="center"/>
            <w:hideMark/>
          </w:tcPr>
          <w:p w14:paraId="0B419E06" w14:textId="77777777" w:rsidR="00E650BA" w:rsidRDefault="00E650BA">
            <w:pPr>
              <w:jc w:val="right"/>
              <w:rPr>
                <w:rFonts w:ascii="TimesNewRomanPSMT" w:hAnsi="TimesNewRomanPSMT"/>
                <w:color w:val="000000"/>
              </w:rPr>
            </w:pPr>
            <w:r>
              <w:rPr>
                <w:rFonts w:ascii="TimesNewRomanPSMT" w:hAnsi="TimesNewRomanPSMT"/>
                <w:color w:val="000000"/>
              </w:rPr>
              <w:t>-0.512</w:t>
            </w:r>
          </w:p>
        </w:tc>
        <w:tc>
          <w:tcPr>
            <w:tcW w:w="960" w:type="dxa"/>
            <w:tcBorders>
              <w:top w:val="nil"/>
              <w:left w:val="nil"/>
              <w:bottom w:val="nil"/>
              <w:right w:val="nil"/>
            </w:tcBorders>
            <w:noWrap/>
            <w:vAlign w:val="center"/>
            <w:hideMark/>
          </w:tcPr>
          <w:p w14:paraId="6F57F337" w14:textId="77777777" w:rsidR="00E650BA" w:rsidRDefault="00E650BA">
            <w:pPr>
              <w:jc w:val="right"/>
              <w:rPr>
                <w:rFonts w:ascii="TimesNewRomanPSMT" w:hAnsi="TimesNewRomanPSMT"/>
                <w:color w:val="000000"/>
              </w:rPr>
            </w:pPr>
            <w:r>
              <w:rPr>
                <w:rFonts w:ascii="TimesNewRomanPSMT" w:hAnsi="TimesNewRomanPSMT"/>
                <w:color w:val="000000"/>
              </w:rPr>
              <w:t>0.0012</w:t>
            </w:r>
          </w:p>
        </w:tc>
      </w:tr>
      <w:tr w:rsidR="00E650BA" w14:paraId="6DF6E602" w14:textId="77777777" w:rsidTr="00E650BA">
        <w:trPr>
          <w:trHeight w:val="320"/>
          <w:jc w:val="center"/>
        </w:trPr>
        <w:tc>
          <w:tcPr>
            <w:tcW w:w="1080" w:type="dxa"/>
            <w:tcBorders>
              <w:top w:val="nil"/>
              <w:left w:val="nil"/>
              <w:bottom w:val="nil"/>
              <w:right w:val="nil"/>
            </w:tcBorders>
            <w:noWrap/>
            <w:vAlign w:val="center"/>
            <w:hideMark/>
          </w:tcPr>
          <w:p w14:paraId="3E5AA5EE" w14:textId="77777777" w:rsidR="00E650BA" w:rsidRDefault="00E650BA">
            <w:pPr>
              <w:rPr>
                <w:rFonts w:ascii="TimesNewRomanPSMT" w:hAnsi="TimesNewRomanPSMT"/>
                <w:color w:val="000000"/>
              </w:rPr>
            </w:pPr>
            <w:r>
              <w:rPr>
                <w:rFonts w:ascii="TimesNewRomanPSMT" w:hAnsi="TimesNewRomanPSMT"/>
                <w:color w:val="000000"/>
              </w:rPr>
              <w:t>NLD</w:t>
            </w:r>
          </w:p>
        </w:tc>
        <w:tc>
          <w:tcPr>
            <w:tcW w:w="1880" w:type="dxa"/>
            <w:tcBorders>
              <w:top w:val="nil"/>
              <w:left w:val="nil"/>
              <w:bottom w:val="nil"/>
              <w:right w:val="nil"/>
            </w:tcBorders>
            <w:noWrap/>
            <w:vAlign w:val="center"/>
            <w:hideMark/>
          </w:tcPr>
          <w:p w14:paraId="369C7839" w14:textId="77777777" w:rsidR="00E650BA" w:rsidRDefault="00E650BA">
            <w:pPr>
              <w:rPr>
                <w:rFonts w:ascii="TimesNewRomanPSMT" w:hAnsi="TimesNewRomanPSMT"/>
                <w:color w:val="000000"/>
              </w:rPr>
            </w:pPr>
            <w:r>
              <w:rPr>
                <w:rFonts w:ascii="TimesNewRomanPSMT" w:hAnsi="TimesNewRomanPSMT"/>
                <w:color w:val="000000"/>
              </w:rPr>
              <w:t>Netherlands</w:t>
            </w:r>
          </w:p>
        </w:tc>
        <w:tc>
          <w:tcPr>
            <w:tcW w:w="920" w:type="dxa"/>
            <w:tcBorders>
              <w:top w:val="nil"/>
              <w:left w:val="nil"/>
              <w:bottom w:val="nil"/>
              <w:right w:val="nil"/>
            </w:tcBorders>
            <w:noWrap/>
            <w:vAlign w:val="center"/>
            <w:hideMark/>
          </w:tcPr>
          <w:p w14:paraId="2BBCF79A" w14:textId="77777777" w:rsidR="00E650BA" w:rsidRDefault="00E650BA">
            <w:pPr>
              <w:jc w:val="right"/>
              <w:rPr>
                <w:rFonts w:ascii="TimesNewRomanPSMT" w:hAnsi="TimesNewRomanPSMT"/>
                <w:color w:val="000000"/>
              </w:rPr>
            </w:pPr>
            <w:r>
              <w:rPr>
                <w:rFonts w:ascii="TimesNewRomanPSMT" w:hAnsi="TimesNewRomanPSMT"/>
                <w:color w:val="000000"/>
              </w:rPr>
              <w:t>-0.512</w:t>
            </w:r>
          </w:p>
        </w:tc>
        <w:tc>
          <w:tcPr>
            <w:tcW w:w="960" w:type="dxa"/>
            <w:tcBorders>
              <w:top w:val="nil"/>
              <w:left w:val="nil"/>
              <w:bottom w:val="nil"/>
              <w:right w:val="nil"/>
            </w:tcBorders>
            <w:noWrap/>
            <w:vAlign w:val="center"/>
            <w:hideMark/>
          </w:tcPr>
          <w:p w14:paraId="0B73A112" w14:textId="77777777" w:rsidR="00E650BA" w:rsidRDefault="00E650BA">
            <w:pPr>
              <w:jc w:val="right"/>
              <w:rPr>
                <w:rFonts w:ascii="TimesNewRomanPSMT" w:hAnsi="TimesNewRomanPSMT"/>
                <w:color w:val="000000"/>
              </w:rPr>
            </w:pPr>
            <w:r>
              <w:rPr>
                <w:rFonts w:ascii="TimesNewRomanPSMT" w:hAnsi="TimesNewRomanPSMT"/>
                <w:color w:val="000000"/>
              </w:rPr>
              <w:t>0.0012</w:t>
            </w:r>
          </w:p>
        </w:tc>
      </w:tr>
      <w:tr w:rsidR="00E650BA" w14:paraId="1A5583F8" w14:textId="77777777" w:rsidTr="00E650BA">
        <w:trPr>
          <w:trHeight w:val="320"/>
          <w:jc w:val="center"/>
        </w:trPr>
        <w:tc>
          <w:tcPr>
            <w:tcW w:w="1080" w:type="dxa"/>
            <w:tcBorders>
              <w:top w:val="nil"/>
              <w:left w:val="nil"/>
              <w:bottom w:val="nil"/>
              <w:right w:val="nil"/>
            </w:tcBorders>
            <w:noWrap/>
            <w:vAlign w:val="center"/>
            <w:hideMark/>
          </w:tcPr>
          <w:p w14:paraId="33E2DCF4" w14:textId="77777777" w:rsidR="00E650BA" w:rsidRDefault="00E650BA">
            <w:pPr>
              <w:rPr>
                <w:rFonts w:ascii="TimesNewRomanPSMT" w:hAnsi="TimesNewRomanPSMT"/>
                <w:color w:val="000000"/>
              </w:rPr>
            </w:pPr>
            <w:r>
              <w:rPr>
                <w:rFonts w:ascii="TimesNewRomanPSMT" w:hAnsi="TimesNewRomanPSMT"/>
                <w:color w:val="000000"/>
              </w:rPr>
              <w:t>TUR</w:t>
            </w:r>
          </w:p>
        </w:tc>
        <w:tc>
          <w:tcPr>
            <w:tcW w:w="1880" w:type="dxa"/>
            <w:tcBorders>
              <w:top w:val="nil"/>
              <w:left w:val="nil"/>
              <w:bottom w:val="nil"/>
              <w:right w:val="nil"/>
            </w:tcBorders>
            <w:noWrap/>
            <w:vAlign w:val="center"/>
            <w:hideMark/>
          </w:tcPr>
          <w:p w14:paraId="21434AA5" w14:textId="77777777" w:rsidR="00E650BA" w:rsidRDefault="00E650BA">
            <w:pPr>
              <w:rPr>
                <w:rFonts w:ascii="TimesNewRomanPSMT" w:hAnsi="TimesNewRomanPSMT"/>
                <w:color w:val="000000"/>
              </w:rPr>
            </w:pPr>
            <w:proofErr w:type="spellStart"/>
            <w:r>
              <w:rPr>
                <w:rFonts w:ascii="TimesNewRomanPSMT" w:hAnsi="TimesNewRomanPSMT"/>
                <w:color w:val="000000"/>
              </w:rPr>
              <w:t>Turkiye</w:t>
            </w:r>
            <w:proofErr w:type="spellEnd"/>
          </w:p>
        </w:tc>
        <w:tc>
          <w:tcPr>
            <w:tcW w:w="920" w:type="dxa"/>
            <w:tcBorders>
              <w:top w:val="nil"/>
              <w:left w:val="nil"/>
              <w:bottom w:val="nil"/>
              <w:right w:val="nil"/>
            </w:tcBorders>
            <w:noWrap/>
            <w:vAlign w:val="center"/>
            <w:hideMark/>
          </w:tcPr>
          <w:p w14:paraId="2D9352CA" w14:textId="77777777" w:rsidR="00E650BA" w:rsidRDefault="00E650BA">
            <w:pPr>
              <w:jc w:val="right"/>
              <w:rPr>
                <w:rFonts w:ascii="TimesNewRomanPSMT" w:hAnsi="TimesNewRomanPSMT"/>
                <w:color w:val="000000"/>
              </w:rPr>
            </w:pPr>
            <w:r>
              <w:rPr>
                <w:rFonts w:ascii="TimesNewRomanPSMT" w:hAnsi="TimesNewRomanPSMT"/>
                <w:color w:val="000000"/>
              </w:rPr>
              <w:t>-0.511</w:t>
            </w:r>
          </w:p>
        </w:tc>
        <w:tc>
          <w:tcPr>
            <w:tcW w:w="960" w:type="dxa"/>
            <w:tcBorders>
              <w:top w:val="nil"/>
              <w:left w:val="nil"/>
              <w:bottom w:val="nil"/>
              <w:right w:val="nil"/>
            </w:tcBorders>
            <w:noWrap/>
            <w:vAlign w:val="center"/>
            <w:hideMark/>
          </w:tcPr>
          <w:p w14:paraId="07DBE7BA" w14:textId="77777777" w:rsidR="00E650BA" w:rsidRDefault="00E650BA">
            <w:pPr>
              <w:jc w:val="right"/>
              <w:rPr>
                <w:rFonts w:ascii="TimesNewRomanPSMT" w:hAnsi="TimesNewRomanPSMT"/>
                <w:color w:val="000000"/>
              </w:rPr>
            </w:pPr>
            <w:r>
              <w:rPr>
                <w:rFonts w:ascii="TimesNewRomanPSMT" w:hAnsi="TimesNewRomanPSMT"/>
                <w:color w:val="000000"/>
              </w:rPr>
              <w:t>0.0012</w:t>
            </w:r>
          </w:p>
        </w:tc>
      </w:tr>
      <w:tr w:rsidR="00E650BA" w14:paraId="16CBFB99" w14:textId="77777777" w:rsidTr="00E650BA">
        <w:trPr>
          <w:trHeight w:val="320"/>
          <w:jc w:val="center"/>
        </w:trPr>
        <w:tc>
          <w:tcPr>
            <w:tcW w:w="1080" w:type="dxa"/>
            <w:tcBorders>
              <w:top w:val="nil"/>
              <w:left w:val="nil"/>
              <w:bottom w:val="nil"/>
              <w:right w:val="nil"/>
            </w:tcBorders>
            <w:noWrap/>
            <w:vAlign w:val="center"/>
            <w:hideMark/>
          </w:tcPr>
          <w:p w14:paraId="5DB479D0" w14:textId="77777777" w:rsidR="00E650BA" w:rsidRDefault="00E650BA">
            <w:pPr>
              <w:rPr>
                <w:rFonts w:ascii="TimesNewRomanPSMT" w:hAnsi="TimesNewRomanPSMT"/>
                <w:color w:val="000000"/>
              </w:rPr>
            </w:pPr>
            <w:r>
              <w:rPr>
                <w:rFonts w:ascii="TimesNewRomanPSMT" w:hAnsi="TimesNewRomanPSMT"/>
                <w:color w:val="000000"/>
              </w:rPr>
              <w:t>BEL</w:t>
            </w:r>
          </w:p>
        </w:tc>
        <w:tc>
          <w:tcPr>
            <w:tcW w:w="1880" w:type="dxa"/>
            <w:tcBorders>
              <w:top w:val="nil"/>
              <w:left w:val="nil"/>
              <w:bottom w:val="nil"/>
              <w:right w:val="nil"/>
            </w:tcBorders>
            <w:noWrap/>
            <w:vAlign w:val="center"/>
            <w:hideMark/>
          </w:tcPr>
          <w:p w14:paraId="6FB20DA8" w14:textId="77777777" w:rsidR="00E650BA" w:rsidRDefault="00E650BA">
            <w:pPr>
              <w:rPr>
                <w:rFonts w:ascii="TimesNewRomanPSMT" w:hAnsi="TimesNewRomanPSMT"/>
                <w:color w:val="000000"/>
              </w:rPr>
            </w:pPr>
            <w:r>
              <w:rPr>
                <w:rFonts w:ascii="TimesNewRomanPSMT" w:hAnsi="TimesNewRomanPSMT"/>
                <w:color w:val="000000"/>
              </w:rPr>
              <w:t>Belgium</w:t>
            </w:r>
          </w:p>
        </w:tc>
        <w:tc>
          <w:tcPr>
            <w:tcW w:w="920" w:type="dxa"/>
            <w:tcBorders>
              <w:top w:val="nil"/>
              <w:left w:val="nil"/>
              <w:bottom w:val="nil"/>
              <w:right w:val="nil"/>
            </w:tcBorders>
            <w:noWrap/>
            <w:vAlign w:val="center"/>
            <w:hideMark/>
          </w:tcPr>
          <w:p w14:paraId="1CC2D1DB" w14:textId="77777777" w:rsidR="00E650BA" w:rsidRDefault="00E650BA">
            <w:pPr>
              <w:jc w:val="right"/>
              <w:rPr>
                <w:rFonts w:ascii="TimesNewRomanPSMT" w:hAnsi="TimesNewRomanPSMT"/>
                <w:color w:val="000000"/>
              </w:rPr>
            </w:pPr>
            <w:r>
              <w:rPr>
                <w:rFonts w:ascii="TimesNewRomanPSMT" w:hAnsi="TimesNewRomanPSMT"/>
                <w:color w:val="000000"/>
              </w:rPr>
              <w:t>-0.51</w:t>
            </w:r>
          </w:p>
        </w:tc>
        <w:tc>
          <w:tcPr>
            <w:tcW w:w="960" w:type="dxa"/>
            <w:tcBorders>
              <w:top w:val="nil"/>
              <w:left w:val="nil"/>
              <w:bottom w:val="nil"/>
              <w:right w:val="nil"/>
            </w:tcBorders>
            <w:noWrap/>
            <w:vAlign w:val="center"/>
            <w:hideMark/>
          </w:tcPr>
          <w:p w14:paraId="78F980B8" w14:textId="77777777" w:rsidR="00E650BA" w:rsidRDefault="00E650BA">
            <w:pPr>
              <w:jc w:val="right"/>
              <w:rPr>
                <w:rFonts w:ascii="TimesNewRomanPSMT" w:hAnsi="TimesNewRomanPSMT"/>
                <w:color w:val="000000"/>
              </w:rPr>
            </w:pPr>
            <w:r>
              <w:rPr>
                <w:rFonts w:ascii="TimesNewRomanPSMT" w:hAnsi="TimesNewRomanPSMT"/>
                <w:color w:val="000000"/>
              </w:rPr>
              <w:t>0.0013</w:t>
            </w:r>
          </w:p>
        </w:tc>
      </w:tr>
      <w:tr w:rsidR="00E650BA" w14:paraId="4F669966" w14:textId="77777777" w:rsidTr="00E650BA">
        <w:trPr>
          <w:trHeight w:val="320"/>
          <w:jc w:val="center"/>
        </w:trPr>
        <w:tc>
          <w:tcPr>
            <w:tcW w:w="1080" w:type="dxa"/>
            <w:tcBorders>
              <w:top w:val="nil"/>
              <w:left w:val="nil"/>
              <w:bottom w:val="nil"/>
              <w:right w:val="nil"/>
            </w:tcBorders>
            <w:noWrap/>
            <w:vAlign w:val="center"/>
            <w:hideMark/>
          </w:tcPr>
          <w:p w14:paraId="2A7FCD83" w14:textId="77777777" w:rsidR="00E650BA" w:rsidRDefault="00E650BA">
            <w:pPr>
              <w:rPr>
                <w:rFonts w:ascii="TimesNewRomanPSMT" w:hAnsi="TimesNewRomanPSMT"/>
                <w:color w:val="000000"/>
              </w:rPr>
            </w:pPr>
            <w:r>
              <w:rPr>
                <w:rFonts w:ascii="TimesNewRomanPSMT" w:hAnsi="TimesNewRomanPSMT"/>
                <w:color w:val="000000"/>
              </w:rPr>
              <w:t>FRA</w:t>
            </w:r>
          </w:p>
        </w:tc>
        <w:tc>
          <w:tcPr>
            <w:tcW w:w="1880" w:type="dxa"/>
            <w:tcBorders>
              <w:top w:val="nil"/>
              <w:left w:val="nil"/>
              <w:bottom w:val="nil"/>
              <w:right w:val="nil"/>
            </w:tcBorders>
            <w:noWrap/>
            <w:vAlign w:val="center"/>
            <w:hideMark/>
          </w:tcPr>
          <w:p w14:paraId="03FBE586" w14:textId="77777777" w:rsidR="00E650BA" w:rsidRDefault="00E650BA">
            <w:pPr>
              <w:rPr>
                <w:rFonts w:ascii="TimesNewRomanPSMT" w:hAnsi="TimesNewRomanPSMT"/>
                <w:color w:val="000000"/>
              </w:rPr>
            </w:pPr>
            <w:r>
              <w:rPr>
                <w:rFonts w:ascii="TimesNewRomanPSMT" w:hAnsi="TimesNewRomanPSMT"/>
                <w:color w:val="000000"/>
              </w:rPr>
              <w:t>France</w:t>
            </w:r>
          </w:p>
        </w:tc>
        <w:tc>
          <w:tcPr>
            <w:tcW w:w="920" w:type="dxa"/>
            <w:tcBorders>
              <w:top w:val="nil"/>
              <w:left w:val="nil"/>
              <w:bottom w:val="nil"/>
              <w:right w:val="nil"/>
            </w:tcBorders>
            <w:noWrap/>
            <w:vAlign w:val="center"/>
            <w:hideMark/>
          </w:tcPr>
          <w:p w14:paraId="71A0EB5E" w14:textId="77777777" w:rsidR="00E650BA" w:rsidRDefault="00E650BA">
            <w:pPr>
              <w:jc w:val="right"/>
              <w:rPr>
                <w:rFonts w:ascii="TimesNewRomanPSMT" w:hAnsi="TimesNewRomanPSMT"/>
                <w:color w:val="000000"/>
              </w:rPr>
            </w:pPr>
            <w:r>
              <w:rPr>
                <w:rFonts w:ascii="TimesNewRomanPSMT" w:hAnsi="TimesNewRomanPSMT"/>
                <w:color w:val="000000"/>
              </w:rPr>
              <w:t>-0.509</w:t>
            </w:r>
          </w:p>
        </w:tc>
        <w:tc>
          <w:tcPr>
            <w:tcW w:w="960" w:type="dxa"/>
            <w:tcBorders>
              <w:top w:val="nil"/>
              <w:left w:val="nil"/>
              <w:bottom w:val="nil"/>
              <w:right w:val="nil"/>
            </w:tcBorders>
            <w:noWrap/>
            <w:vAlign w:val="center"/>
            <w:hideMark/>
          </w:tcPr>
          <w:p w14:paraId="45725D00" w14:textId="77777777" w:rsidR="00E650BA" w:rsidRDefault="00E650BA">
            <w:pPr>
              <w:jc w:val="right"/>
              <w:rPr>
                <w:rFonts w:ascii="TimesNewRomanPSMT" w:hAnsi="TimesNewRomanPSMT"/>
                <w:color w:val="000000"/>
              </w:rPr>
            </w:pPr>
            <w:r>
              <w:rPr>
                <w:rFonts w:ascii="TimesNewRomanPSMT" w:hAnsi="TimesNewRomanPSMT"/>
                <w:color w:val="000000"/>
              </w:rPr>
              <w:t>0.0013</w:t>
            </w:r>
          </w:p>
        </w:tc>
      </w:tr>
      <w:tr w:rsidR="00E650BA" w14:paraId="61C3ABD6" w14:textId="77777777" w:rsidTr="00E650BA">
        <w:trPr>
          <w:trHeight w:val="320"/>
          <w:jc w:val="center"/>
        </w:trPr>
        <w:tc>
          <w:tcPr>
            <w:tcW w:w="1080" w:type="dxa"/>
            <w:tcBorders>
              <w:top w:val="nil"/>
              <w:left w:val="nil"/>
              <w:bottom w:val="nil"/>
              <w:right w:val="nil"/>
            </w:tcBorders>
            <w:noWrap/>
            <w:vAlign w:val="center"/>
            <w:hideMark/>
          </w:tcPr>
          <w:p w14:paraId="2E17B413" w14:textId="77777777" w:rsidR="00E650BA" w:rsidRDefault="00E650BA">
            <w:pPr>
              <w:rPr>
                <w:rFonts w:ascii="TimesNewRomanPSMT" w:hAnsi="TimesNewRomanPSMT"/>
                <w:color w:val="000000"/>
              </w:rPr>
            </w:pPr>
            <w:r>
              <w:rPr>
                <w:rFonts w:ascii="TimesNewRomanPSMT" w:hAnsi="TimesNewRomanPSMT"/>
                <w:color w:val="000000"/>
              </w:rPr>
              <w:t>CZE</w:t>
            </w:r>
          </w:p>
        </w:tc>
        <w:tc>
          <w:tcPr>
            <w:tcW w:w="1880" w:type="dxa"/>
            <w:tcBorders>
              <w:top w:val="nil"/>
              <w:left w:val="nil"/>
              <w:bottom w:val="nil"/>
              <w:right w:val="nil"/>
            </w:tcBorders>
            <w:noWrap/>
            <w:vAlign w:val="center"/>
            <w:hideMark/>
          </w:tcPr>
          <w:p w14:paraId="5E640475" w14:textId="77777777" w:rsidR="00E650BA" w:rsidRDefault="00E650BA">
            <w:pPr>
              <w:rPr>
                <w:rFonts w:ascii="TimesNewRomanPSMT" w:hAnsi="TimesNewRomanPSMT"/>
                <w:color w:val="000000"/>
              </w:rPr>
            </w:pPr>
            <w:r>
              <w:rPr>
                <w:rFonts w:ascii="TimesNewRomanPSMT" w:hAnsi="TimesNewRomanPSMT"/>
                <w:color w:val="000000"/>
              </w:rPr>
              <w:t>Czechia</w:t>
            </w:r>
          </w:p>
        </w:tc>
        <w:tc>
          <w:tcPr>
            <w:tcW w:w="920" w:type="dxa"/>
            <w:tcBorders>
              <w:top w:val="nil"/>
              <w:left w:val="nil"/>
              <w:bottom w:val="nil"/>
              <w:right w:val="nil"/>
            </w:tcBorders>
            <w:noWrap/>
            <w:vAlign w:val="center"/>
            <w:hideMark/>
          </w:tcPr>
          <w:p w14:paraId="3E0BE840" w14:textId="77777777" w:rsidR="00E650BA" w:rsidRDefault="00E650BA">
            <w:pPr>
              <w:jc w:val="right"/>
              <w:rPr>
                <w:rFonts w:ascii="TimesNewRomanPSMT" w:hAnsi="TimesNewRomanPSMT"/>
                <w:color w:val="000000"/>
              </w:rPr>
            </w:pPr>
            <w:r>
              <w:rPr>
                <w:rFonts w:ascii="TimesNewRomanPSMT" w:hAnsi="TimesNewRomanPSMT"/>
                <w:color w:val="000000"/>
              </w:rPr>
              <w:t>-0.509</w:t>
            </w:r>
          </w:p>
        </w:tc>
        <w:tc>
          <w:tcPr>
            <w:tcW w:w="960" w:type="dxa"/>
            <w:tcBorders>
              <w:top w:val="nil"/>
              <w:left w:val="nil"/>
              <w:bottom w:val="nil"/>
              <w:right w:val="nil"/>
            </w:tcBorders>
            <w:noWrap/>
            <w:vAlign w:val="center"/>
            <w:hideMark/>
          </w:tcPr>
          <w:p w14:paraId="69D9C0BB" w14:textId="77777777" w:rsidR="00E650BA" w:rsidRDefault="00E650BA">
            <w:pPr>
              <w:jc w:val="right"/>
              <w:rPr>
                <w:rFonts w:ascii="TimesNewRomanPSMT" w:hAnsi="TimesNewRomanPSMT"/>
                <w:color w:val="000000"/>
              </w:rPr>
            </w:pPr>
            <w:r>
              <w:rPr>
                <w:rFonts w:ascii="TimesNewRomanPSMT" w:hAnsi="TimesNewRomanPSMT"/>
                <w:color w:val="000000"/>
              </w:rPr>
              <w:t>0.0013</w:t>
            </w:r>
          </w:p>
        </w:tc>
      </w:tr>
      <w:tr w:rsidR="00E650BA" w14:paraId="6FB33B1D" w14:textId="77777777" w:rsidTr="00E650BA">
        <w:trPr>
          <w:trHeight w:val="320"/>
          <w:jc w:val="center"/>
        </w:trPr>
        <w:tc>
          <w:tcPr>
            <w:tcW w:w="1080" w:type="dxa"/>
            <w:tcBorders>
              <w:top w:val="nil"/>
              <w:left w:val="nil"/>
              <w:bottom w:val="nil"/>
              <w:right w:val="nil"/>
            </w:tcBorders>
            <w:noWrap/>
            <w:vAlign w:val="center"/>
            <w:hideMark/>
          </w:tcPr>
          <w:p w14:paraId="2AA40BC8" w14:textId="77777777" w:rsidR="00E650BA" w:rsidRDefault="00E650BA">
            <w:pPr>
              <w:rPr>
                <w:rFonts w:ascii="TimesNewRomanPSMT" w:hAnsi="TimesNewRomanPSMT"/>
                <w:color w:val="000000"/>
              </w:rPr>
            </w:pPr>
            <w:r>
              <w:rPr>
                <w:rFonts w:ascii="TimesNewRomanPSMT" w:hAnsi="TimesNewRomanPSMT"/>
                <w:color w:val="000000"/>
              </w:rPr>
              <w:t>ISR</w:t>
            </w:r>
          </w:p>
        </w:tc>
        <w:tc>
          <w:tcPr>
            <w:tcW w:w="1880" w:type="dxa"/>
            <w:tcBorders>
              <w:top w:val="nil"/>
              <w:left w:val="nil"/>
              <w:bottom w:val="nil"/>
              <w:right w:val="nil"/>
            </w:tcBorders>
            <w:noWrap/>
            <w:vAlign w:val="center"/>
            <w:hideMark/>
          </w:tcPr>
          <w:p w14:paraId="7264C5BB" w14:textId="77777777" w:rsidR="00E650BA" w:rsidRDefault="00E650BA">
            <w:pPr>
              <w:rPr>
                <w:rFonts w:ascii="TimesNewRomanPSMT" w:hAnsi="TimesNewRomanPSMT"/>
                <w:color w:val="000000"/>
              </w:rPr>
            </w:pPr>
            <w:r>
              <w:rPr>
                <w:rFonts w:ascii="TimesNewRomanPSMT" w:hAnsi="TimesNewRomanPSMT"/>
                <w:color w:val="000000"/>
              </w:rPr>
              <w:t>Israel</w:t>
            </w:r>
          </w:p>
        </w:tc>
        <w:tc>
          <w:tcPr>
            <w:tcW w:w="920" w:type="dxa"/>
            <w:tcBorders>
              <w:top w:val="nil"/>
              <w:left w:val="nil"/>
              <w:bottom w:val="nil"/>
              <w:right w:val="nil"/>
            </w:tcBorders>
            <w:noWrap/>
            <w:vAlign w:val="center"/>
            <w:hideMark/>
          </w:tcPr>
          <w:p w14:paraId="1F027B1D" w14:textId="77777777" w:rsidR="00E650BA" w:rsidRDefault="00E650BA">
            <w:pPr>
              <w:jc w:val="right"/>
              <w:rPr>
                <w:rFonts w:ascii="TimesNewRomanPSMT" w:hAnsi="TimesNewRomanPSMT"/>
                <w:color w:val="000000"/>
              </w:rPr>
            </w:pPr>
            <w:r>
              <w:rPr>
                <w:rFonts w:ascii="TimesNewRomanPSMT" w:hAnsi="TimesNewRomanPSMT"/>
                <w:color w:val="000000"/>
              </w:rPr>
              <w:t>-0.507</w:t>
            </w:r>
          </w:p>
        </w:tc>
        <w:tc>
          <w:tcPr>
            <w:tcW w:w="960" w:type="dxa"/>
            <w:tcBorders>
              <w:top w:val="nil"/>
              <w:left w:val="nil"/>
              <w:bottom w:val="nil"/>
              <w:right w:val="nil"/>
            </w:tcBorders>
            <w:noWrap/>
            <w:vAlign w:val="center"/>
            <w:hideMark/>
          </w:tcPr>
          <w:p w14:paraId="3D39DBD4" w14:textId="77777777" w:rsidR="00E650BA" w:rsidRDefault="00E650BA">
            <w:pPr>
              <w:jc w:val="right"/>
              <w:rPr>
                <w:rFonts w:ascii="TimesNewRomanPSMT" w:hAnsi="TimesNewRomanPSMT"/>
                <w:color w:val="000000"/>
              </w:rPr>
            </w:pPr>
            <w:r>
              <w:rPr>
                <w:rFonts w:ascii="TimesNewRomanPSMT" w:hAnsi="TimesNewRomanPSMT"/>
                <w:color w:val="000000"/>
              </w:rPr>
              <w:t>0.0014</w:t>
            </w:r>
          </w:p>
        </w:tc>
      </w:tr>
      <w:tr w:rsidR="00E650BA" w14:paraId="33C4CF65" w14:textId="77777777" w:rsidTr="00E650BA">
        <w:trPr>
          <w:trHeight w:val="320"/>
          <w:jc w:val="center"/>
        </w:trPr>
        <w:tc>
          <w:tcPr>
            <w:tcW w:w="1080" w:type="dxa"/>
            <w:tcBorders>
              <w:top w:val="nil"/>
              <w:left w:val="nil"/>
              <w:bottom w:val="nil"/>
              <w:right w:val="nil"/>
            </w:tcBorders>
            <w:noWrap/>
            <w:vAlign w:val="center"/>
            <w:hideMark/>
          </w:tcPr>
          <w:p w14:paraId="49EFC557" w14:textId="77777777" w:rsidR="00E650BA" w:rsidRDefault="00E650BA">
            <w:pPr>
              <w:rPr>
                <w:rFonts w:ascii="TimesNewRomanPSMT" w:hAnsi="TimesNewRomanPSMT"/>
                <w:color w:val="000000"/>
              </w:rPr>
            </w:pPr>
            <w:r>
              <w:rPr>
                <w:rFonts w:ascii="TimesNewRomanPSMT" w:hAnsi="TimesNewRomanPSMT"/>
                <w:color w:val="000000"/>
              </w:rPr>
              <w:t>LVA</w:t>
            </w:r>
          </w:p>
        </w:tc>
        <w:tc>
          <w:tcPr>
            <w:tcW w:w="1880" w:type="dxa"/>
            <w:tcBorders>
              <w:top w:val="nil"/>
              <w:left w:val="nil"/>
              <w:bottom w:val="nil"/>
              <w:right w:val="nil"/>
            </w:tcBorders>
            <w:noWrap/>
            <w:vAlign w:val="center"/>
            <w:hideMark/>
          </w:tcPr>
          <w:p w14:paraId="0E72738C" w14:textId="77777777" w:rsidR="00E650BA" w:rsidRDefault="00E650BA">
            <w:pPr>
              <w:rPr>
                <w:rFonts w:ascii="TimesNewRomanPSMT" w:hAnsi="TimesNewRomanPSMT"/>
                <w:color w:val="000000"/>
              </w:rPr>
            </w:pPr>
            <w:r>
              <w:rPr>
                <w:rFonts w:ascii="TimesNewRomanPSMT" w:hAnsi="TimesNewRomanPSMT"/>
                <w:color w:val="000000"/>
              </w:rPr>
              <w:t>Latvia</w:t>
            </w:r>
          </w:p>
        </w:tc>
        <w:tc>
          <w:tcPr>
            <w:tcW w:w="920" w:type="dxa"/>
            <w:tcBorders>
              <w:top w:val="nil"/>
              <w:left w:val="nil"/>
              <w:bottom w:val="nil"/>
              <w:right w:val="nil"/>
            </w:tcBorders>
            <w:noWrap/>
            <w:vAlign w:val="center"/>
            <w:hideMark/>
          </w:tcPr>
          <w:p w14:paraId="57C78CA3" w14:textId="77777777" w:rsidR="00E650BA" w:rsidRDefault="00E650BA">
            <w:pPr>
              <w:jc w:val="right"/>
              <w:rPr>
                <w:rFonts w:ascii="TimesNewRomanPSMT" w:hAnsi="TimesNewRomanPSMT"/>
                <w:color w:val="000000"/>
              </w:rPr>
            </w:pPr>
            <w:r>
              <w:rPr>
                <w:rFonts w:ascii="TimesNewRomanPSMT" w:hAnsi="TimesNewRomanPSMT"/>
                <w:color w:val="000000"/>
              </w:rPr>
              <w:t>-0.505</w:t>
            </w:r>
          </w:p>
        </w:tc>
        <w:tc>
          <w:tcPr>
            <w:tcW w:w="960" w:type="dxa"/>
            <w:tcBorders>
              <w:top w:val="nil"/>
              <w:left w:val="nil"/>
              <w:bottom w:val="nil"/>
              <w:right w:val="nil"/>
            </w:tcBorders>
            <w:noWrap/>
            <w:vAlign w:val="center"/>
            <w:hideMark/>
          </w:tcPr>
          <w:p w14:paraId="1D6B2DB2" w14:textId="77777777" w:rsidR="00E650BA" w:rsidRDefault="00E650BA">
            <w:pPr>
              <w:jc w:val="right"/>
              <w:rPr>
                <w:rFonts w:ascii="TimesNewRomanPSMT" w:hAnsi="TimesNewRomanPSMT"/>
                <w:color w:val="000000"/>
              </w:rPr>
            </w:pPr>
            <w:r>
              <w:rPr>
                <w:rFonts w:ascii="TimesNewRomanPSMT" w:hAnsi="TimesNewRomanPSMT"/>
                <w:color w:val="000000"/>
              </w:rPr>
              <w:t>0.0014</w:t>
            </w:r>
          </w:p>
        </w:tc>
      </w:tr>
      <w:tr w:rsidR="00E650BA" w14:paraId="3B904A6B" w14:textId="77777777" w:rsidTr="00E650BA">
        <w:trPr>
          <w:trHeight w:val="320"/>
          <w:jc w:val="center"/>
        </w:trPr>
        <w:tc>
          <w:tcPr>
            <w:tcW w:w="1080" w:type="dxa"/>
            <w:tcBorders>
              <w:top w:val="nil"/>
              <w:left w:val="nil"/>
              <w:bottom w:val="nil"/>
              <w:right w:val="nil"/>
            </w:tcBorders>
            <w:noWrap/>
            <w:vAlign w:val="center"/>
            <w:hideMark/>
          </w:tcPr>
          <w:p w14:paraId="20552558" w14:textId="77777777" w:rsidR="00E650BA" w:rsidRDefault="00E650BA">
            <w:pPr>
              <w:rPr>
                <w:rFonts w:ascii="TimesNewRomanPSMT" w:hAnsi="TimesNewRomanPSMT"/>
                <w:color w:val="000000"/>
              </w:rPr>
            </w:pPr>
            <w:r>
              <w:rPr>
                <w:rFonts w:ascii="TimesNewRomanPSMT" w:hAnsi="TimesNewRomanPSMT"/>
                <w:color w:val="000000"/>
              </w:rPr>
              <w:t>GBR</w:t>
            </w:r>
          </w:p>
        </w:tc>
        <w:tc>
          <w:tcPr>
            <w:tcW w:w="1880" w:type="dxa"/>
            <w:tcBorders>
              <w:top w:val="nil"/>
              <w:left w:val="nil"/>
              <w:bottom w:val="nil"/>
              <w:right w:val="nil"/>
            </w:tcBorders>
            <w:noWrap/>
            <w:vAlign w:val="center"/>
            <w:hideMark/>
          </w:tcPr>
          <w:p w14:paraId="7D8657AA" w14:textId="77777777" w:rsidR="00E650BA" w:rsidRDefault="00E650BA">
            <w:pPr>
              <w:rPr>
                <w:rFonts w:ascii="TimesNewRomanPSMT" w:hAnsi="TimesNewRomanPSMT"/>
                <w:color w:val="000000"/>
              </w:rPr>
            </w:pPr>
            <w:r>
              <w:rPr>
                <w:rFonts w:ascii="TimesNewRomanPSMT" w:hAnsi="TimesNewRomanPSMT"/>
                <w:color w:val="000000"/>
              </w:rPr>
              <w:t>United Kingdom</w:t>
            </w:r>
          </w:p>
        </w:tc>
        <w:tc>
          <w:tcPr>
            <w:tcW w:w="920" w:type="dxa"/>
            <w:tcBorders>
              <w:top w:val="nil"/>
              <w:left w:val="nil"/>
              <w:bottom w:val="nil"/>
              <w:right w:val="nil"/>
            </w:tcBorders>
            <w:noWrap/>
            <w:vAlign w:val="center"/>
            <w:hideMark/>
          </w:tcPr>
          <w:p w14:paraId="25DE0587" w14:textId="77777777" w:rsidR="00E650BA" w:rsidRDefault="00E650BA">
            <w:pPr>
              <w:jc w:val="right"/>
              <w:rPr>
                <w:rFonts w:ascii="TimesNewRomanPSMT" w:hAnsi="TimesNewRomanPSMT"/>
                <w:color w:val="000000"/>
              </w:rPr>
            </w:pPr>
            <w:r>
              <w:rPr>
                <w:rFonts w:ascii="TimesNewRomanPSMT" w:hAnsi="TimesNewRomanPSMT"/>
                <w:color w:val="000000"/>
              </w:rPr>
              <w:t>-0.505</w:t>
            </w:r>
          </w:p>
        </w:tc>
        <w:tc>
          <w:tcPr>
            <w:tcW w:w="960" w:type="dxa"/>
            <w:tcBorders>
              <w:top w:val="nil"/>
              <w:left w:val="nil"/>
              <w:bottom w:val="nil"/>
              <w:right w:val="nil"/>
            </w:tcBorders>
            <w:noWrap/>
            <w:vAlign w:val="center"/>
            <w:hideMark/>
          </w:tcPr>
          <w:p w14:paraId="5186CDC1" w14:textId="77777777" w:rsidR="00E650BA" w:rsidRDefault="00E650BA">
            <w:pPr>
              <w:jc w:val="right"/>
              <w:rPr>
                <w:rFonts w:ascii="TimesNewRomanPSMT" w:hAnsi="TimesNewRomanPSMT"/>
                <w:color w:val="000000"/>
              </w:rPr>
            </w:pPr>
            <w:r>
              <w:rPr>
                <w:rFonts w:ascii="TimesNewRomanPSMT" w:hAnsi="TimesNewRomanPSMT"/>
                <w:color w:val="000000"/>
              </w:rPr>
              <w:t>0.0014</w:t>
            </w:r>
          </w:p>
        </w:tc>
      </w:tr>
      <w:tr w:rsidR="00E650BA" w14:paraId="73176994" w14:textId="77777777" w:rsidTr="00E650BA">
        <w:trPr>
          <w:trHeight w:val="320"/>
          <w:jc w:val="center"/>
        </w:trPr>
        <w:tc>
          <w:tcPr>
            <w:tcW w:w="1080" w:type="dxa"/>
            <w:tcBorders>
              <w:top w:val="nil"/>
              <w:left w:val="nil"/>
              <w:bottom w:val="nil"/>
              <w:right w:val="nil"/>
            </w:tcBorders>
            <w:noWrap/>
            <w:vAlign w:val="center"/>
            <w:hideMark/>
          </w:tcPr>
          <w:p w14:paraId="2983B487" w14:textId="77777777" w:rsidR="00E650BA" w:rsidRDefault="00E650BA">
            <w:pPr>
              <w:rPr>
                <w:rFonts w:ascii="TimesNewRomanPSMT" w:hAnsi="TimesNewRomanPSMT"/>
                <w:color w:val="000000"/>
              </w:rPr>
            </w:pPr>
            <w:r>
              <w:rPr>
                <w:rFonts w:ascii="TimesNewRomanPSMT" w:hAnsi="TimesNewRomanPSMT"/>
                <w:color w:val="000000"/>
              </w:rPr>
              <w:t>SWE</w:t>
            </w:r>
          </w:p>
        </w:tc>
        <w:tc>
          <w:tcPr>
            <w:tcW w:w="1880" w:type="dxa"/>
            <w:tcBorders>
              <w:top w:val="nil"/>
              <w:left w:val="nil"/>
              <w:bottom w:val="nil"/>
              <w:right w:val="nil"/>
            </w:tcBorders>
            <w:noWrap/>
            <w:vAlign w:val="center"/>
            <w:hideMark/>
          </w:tcPr>
          <w:p w14:paraId="3CB167B9" w14:textId="77777777" w:rsidR="00E650BA" w:rsidRDefault="00E650BA">
            <w:pPr>
              <w:rPr>
                <w:rFonts w:ascii="TimesNewRomanPSMT" w:hAnsi="TimesNewRomanPSMT"/>
                <w:color w:val="000000"/>
              </w:rPr>
            </w:pPr>
            <w:r>
              <w:rPr>
                <w:rFonts w:ascii="TimesNewRomanPSMT" w:hAnsi="TimesNewRomanPSMT"/>
                <w:color w:val="000000"/>
              </w:rPr>
              <w:t>Sweden</w:t>
            </w:r>
          </w:p>
        </w:tc>
        <w:tc>
          <w:tcPr>
            <w:tcW w:w="920" w:type="dxa"/>
            <w:tcBorders>
              <w:top w:val="nil"/>
              <w:left w:val="nil"/>
              <w:bottom w:val="nil"/>
              <w:right w:val="nil"/>
            </w:tcBorders>
            <w:noWrap/>
            <w:vAlign w:val="center"/>
            <w:hideMark/>
          </w:tcPr>
          <w:p w14:paraId="7CE50563" w14:textId="77777777" w:rsidR="00E650BA" w:rsidRDefault="00E650BA">
            <w:pPr>
              <w:jc w:val="right"/>
              <w:rPr>
                <w:rFonts w:ascii="TimesNewRomanPSMT" w:hAnsi="TimesNewRomanPSMT"/>
                <w:color w:val="000000"/>
              </w:rPr>
            </w:pPr>
            <w:r>
              <w:rPr>
                <w:rFonts w:ascii="TimesNewRomanPSMT" w:hAnsi="TimesNewRomanPSMT"/>
                <w:color w:val="000000"/>
              </w:rPr>
              <w:t>-0.504</w:t>
            </w:r>
          </w:p>
        </w:tc>
        <w:tc>
          <w:tcPr>
            <w:tcW w:w="960" w:type="dxa"/>
            <w:tcBorders>
              <w:top w:val="nil"/>
              <w:left w:val="nil"/>
              <w:bottom w:val="nil"/>
              <w:right w:val="nil"/>
            </w:tcBorders>
            <w:noWrap/>
            <w:vAlign w:val="center"/>
            <w:hideMark/>
          </w:tcPr>
          <w:p w14:paraId="790C975B" w14:textId="77777777" w:rsidR="00E650BA" w:rsidRDefault="00E650BA">
            <w:pPr>
              <w:jc w:val="right"/>
              <w:rPr>
                <w:rFonts w:ascii="TimesNewRomanPSMT" w:hAnsi="TimesNewRomanPSMT"/>
                <w:color w:val="000000"/>
              </w:rPr>
            </w:pPr>
            <w:r>
              <w:rPr>
                <w:rFonts w:ascii="TimesNewRomanPSMT" w:hAnsi="TimesNewRomanPSMT"/>
                <w:color w:val="000000"/>
              </w:rPr>
              <w:t>0.0015</w:t>
            </w:r>
          </w:p>
        </w:tc>
      </w:tr>
      <w:tr w:rsidR="00E650BA" w14:paraId="7B0C126C" w14:textId="77777777" w:rsidTr="00E650BA">
        <w:trPr>
          <w:trHeight w:val="320"/>
          <w:jc w:val="center"/>
        </w:trPr>
        <w:tc>
          <w:tcPr>
            <w:tcW w:w="1080" w:type="dxa"/>
            <w:tcBorders>
              <w:top w:val="nil"/>
              <w:left w:val="nil"/>
              <w:bottom w:val="nil"/>
              <w:right w:val="nil"/>
            </w:tcBorders>
            <w:noWrap/>
            <w:vAlign w:val="center"/>
            <w:hideMark/>
          </w:tcPr>
          <w:p w14:paraId="643A45C7" w14:textId="77777777" w:rsidR="00E650BA" w:rsidRDefault="00E650BA">
            <w:pPr>
              <w:rPr>
                <w:rFonts w:ascii="TimesNewRomanPSMT" w:hAnsi="TimesNewRomanPSMT"/>
                <w:color w:val="000000"/>
              </w:rPr>
            </w:pPr>
            <w:r>
              <w:rPr>
                <w:rFonts w:ascii="TimesNewRomanPSMT" w:hAnsi="TimesNewRomanPSMT"/>
                <w:color w:val="000000"/>
              </w:rPr>
              <w:t>ESP</w:t>
            </w:r>
          </w:p>
        </w:tc>
        <w:tc>
          <w:tcPr>
            <w:tcW w:w="1880" w:type="dxa"/>
            <w:tcBorders>
              <w:top w:val="nil"/>
              <w:left w:val="nil"/>
              <w:bottom w:val="nil"/>
              <w:right w:val="nil"/>
            </w:tcBorders>
            <w:noWrap/>
            <w:vAlign w:val="center"/>
            <w:hideMark/>
          </w:tcPr>
          <w:p w14:paraId="2A93DC9A" w14:textId="77777777" w:rsidR="00E650BA" w:rsidRDefault="00E650BA">
            <w:pPr>
              <w:rPr>
                <w:rFonts w:ascii="TimesNewRomanPSMT" w:hAnsi="TimesNewRomanPSMT"/>
                <w:color w:val="000000"/>
              </w:rPr>
            </w:pPr>
            <w:r>
              <w:rPr>
                <w:rFonts w:ascii="TimesNewRomanPSMT" w:hAnsi="TimesNewRomanPSMT"/>
                <w:color w:val="000000"/>
              </w:rPr>
              <w:t>Spain</w:t>
            </w:r>
          </w:p>
        </w:tc>
        <w:tc>
          <w:tcPr>
            <w:tcW w:w="920" w:type="dxa"/>
            <w:tcBorders>
              <w:top w:val="nil"/>
              <w:left w:val="nil"/>
              <w:bottom w:val="nil"/>
              <w:right w:val="nil"/>
            </w:tcBorders>
            <w:noWrap/>
            <w:vAlign w:val="center"/>
            <w:hideMark/>
          </w:tcPr>
          <w:p w14:paraId="0582DCB6" w14:textId="77777777" w:rsidR="00E650BA" w:rsidRDefault="00E650BA">
            <w:pPr>
              <w:jc w:val="right"/>
              <w:rPr>
                <w:rFonts w:ascii="TimesNewRomanPSMT" w:hAnsi="TimesNewRomanPSMT"/>
                <w:color w:val="000000"/>
              </w:rPr>
            </w:pPr>
            <w:r>
              <w:rPr>
                <w:rFonts w:ascii="TimesNewRomanPSMT" w:hAnsi="TimesNewRomanPSMT"/>
                <w:color w:val="000000"/>
              </w:rPr>
              <w:t>-0.504</w:t>
            </w:r>
          </w:p>
        </w:tc>
        <w:tc>
          <w:tcPr>
            <w:tcW w:w="960" w:type="dxa"/>
            <w:tcBorders>
              <w:top w:val="nil"/>
              <w:left w:val="nil"/>
              <w:bottom w:val="nil"/>
              <w:right w:val="nil"/>
            </w:tcBorders>
            <w:noWrap/>
            <w:vAlign w:val="center"/>
            <w:hideMark/>
          </w:tcPr>
          <w:p w14:paraId="0859E0A7" w14:textId="77777777" w:rsidR="00E650BA" w:rsidRDefault="00E650BA">
            <w:pPr>
              <w:jc w:val="right"/>
              <w:rPr>
                <w:rFonts w:ascii="TimesNewRomanPSMT" w:hAnsi="TimesNewRomanPSMT"/>
                <w:color w:val="000000"/>
              </w:rPr>
            </w:pPr>
            <w:r>
              <w:rPr>
                <w:rFonts w:ascii="TimesNewRomanPSMT" w:hAnsi="TimesNewRomanPSMT"/>
                <w:color w:val="000000"/>
              </w:rPr>
              <w:t>0.0015</w:t>
            </w:r>
          </w:p>
        </w:tc>
      </w:tr>
      <w:tr w:rsidR="00E650BA" w14:paraId="3710BA19" w14:textId="77777777" w:rsidTr="00E650BA">
        <w:trPr>
          <w:trHeight w:val="320"/>
          <w:jc w:val="center"/>
        </w:trPr>
        <w:tc>
          <w:tcPr>
            <w:tcW w:w="1080" w:type="dxa"/>
            <w:tcBorders>
              <w:top w:val="nil"/>
              <w:left w:val="nil"/>
              <w:bottom w:val="nil"/>
              <w:right w:val="nil"/>
            </w:tcBorders>
            <w:noWrap/>
            <w:vAlign w:val="center"/>
            <w:hideMark/>
          </w:tcPr>
          <w:p w14:paraId="192BBC70" w14:textId="77777777" w:rsidR="00E650BA" w:rsidRDefault="00E650BA">
            <w:pPr>
              <w:rPr>
                <w:rFonts w:ascii="TimesNewRomanPSMT" w:hAnsi="TimesNewRomanPSMT"/>
                <w:color w:val="000000"/>
              </w:rPr>
            </w:pPr>
            <w:r>
              <w:rPr>
                <w:rFonts w:ascii="TimesNewRomanPSMT" w:hAnsi="TimesNewRomanPSMT"/>
                <w:color w:val="000000"/>
              </w:rPr>
              <w:t>GRC</w:t>
            </w:r>
          </w:p>
        </w:tc>
        <w:tc>
          <w:tcPr>
            <w:tcW w:w="1880" w:type="dxa"/>
            <w:tcBorders>
              <w:top w:val="nil"/>
              <w:left w:val="nil"/>
              <w:bottom w:val="nil"/>
              <w:right w:val="nil"/>
            </w:tcBorders>
            <w:noWrap/>
            <w:vAlign w:val="center"/>
            <w:hideMark/>
          </w:tcPr>
          <w:p w14:paraId="3DE8CA43" w14:textId="77777777" w:rsidR="00E650BA" w:rsidRDefault="00E650BA">
            <w:pPr>
              <w:rPr>
                <w:rFonts w:ascii="TimesNewRomanPSMT" w:hAnsi="TimesNewRomanPSMT"/>
                <w:color w:val="000000"/>
              </w:rPr>
            </w:pPr>
            <w:r>
              <w:rPr>
                <w:rFonts w:ascii="TimesNewRomanPSMT" w:hAnsi="TimesNewRomanPSMT"/>
                <w:color w:val="000000"/>
              </w:rPr>
              <w:t>Greece</w:t>
            </w:r>
          </w:p>
        </w:tc>
        <w:tc>
          <w:tcPr>
            <w:tcW w:w="920" w:type="dxa"/>
            <w:tcBorders>
              <w:top w:val="nil"/>
              <w:left w:val="nil"/>
              <w:bottom w:val="nil"/>
              <w:right w:val="nil"/>
            </w:tcBorders>
            <w:noWrap/>
            <w:vAlign w:val="center"/>
            <w:hideMark/>
          </w:tcPr>
          <w:p w14:paraId="26A4414F" w14:textId="77777777" w:rsidR="00E650BA" w:rsidRDefault="00E650BA">
            <w:pPr>
              <w:jc w:val="right"/>
              <w:rPr>
                <w:rFonts w:ascii="TimesNewRomanPSMT" w:hAnsi="TimesNewRomanPSMT"/>
                <w:color w:val="000000"/>
              </w:rPr>
            </w:pPr>
            <w:r>
              <w:rPr>
                <w:rFonts w:ascii="TimesNewRomanPSMT" w:hAnsi="TimesNewRomanPSMT"/>
                <w:color w:val="000000"/>
              </w:rPr>
              <w:t>-0.503</w:t>
            </w:r>
          </w:p>
        </w:tc>
        <w:tc>
          <w:tcPr>
            <w:tcW w:w="960" w:type="dxa"/>
            <w:tcBorders>
              <w:top w:val="nil"/>
              <w:left w:val="nil"/>
              <w:bottom w:val="nil"/>
              <w:right w:val="nil"/>
            </w:tcBorders>
            <w:noWrap/>
            <w:vAlign w:val="center"/>
            <w:hideMark/>
          </w:tcPr>
          <w:p w14:paraId="066A4CCB" w14:textId="77777777" w:rsidR="00E650BA" w:rsidRDefault="00E650BA">
            <w:pPr>
              <w:jc w:val="right"/>
              <w:rPr>
                <w:rFonts w:ascii="TimesNewRomanPSMT" w:hAnsi="TimesNewRomanPSMT"/>
                <w:color w:val="000000"/>
              </w:rPr>
            </w:pPr>
            <w:r>
              <w:rPr>
                <w:rFonts w:ascii="TimesNewRomanPSMT" w:hAnsi="TimesNewRomanPSMT"/>
                <w:color w:val="000000"/>
              </w:rPr>
              <w:t>0.0015</w:t>
            </w:r>
          </w:p>
        </w:tc>
      </w:tr>
      <w:tr w:rsidR="00E650BA" w14:paraId="1D17392E" w14:textId="77777777" w:rsidTr="00E650BA">
        <w:trPr>
          <w:trHeight w:val="320"/>
          <w:jc w:val="center"/>
        </w:trPr>
        <w:tc>
          <w:tcPr>
            <w:tcW w:w="1080" w:type="dxa"/>
            <w:tcBorders>
              <w:top w:val="nil"/>
              <w:left w:val="nil"/>
              <w:bottom w:val="nil"/>
              <w:right w:val="nil"/>
            </w:tcBorders>
            <w:noWrap/>
            <w:vAlign w:val="center"/>
            <w:hideMark/>
          </w:tcPr>
          <w:p w14:paraId="17C02D52" w14:textId="77777777" w:rsidR="00E650BA" w:rsidRDefault="00E650BA">
            <w:pPr>
              <w:rPr>
                <w:rFonts w:ascii="TimesNewRomanPSMT" w:hAnsi="TimesNewRomanPSMT"/>
                <w:color w:val="000000"/>
              </w:rPr>
            </w:pPr>
            <w:r>
              <w:rPr>
                <w:rFonts w:ascii="TimesNewRomanPSMT" w:hAnsi="TimesNewRomanPSMT"/>
                <w:color w:val="000000"/>
              </w:rPr>
              <w:t>USA</w:t>
            </w:r>
          </w:p>
        </w:tc>
        <w:tc>
          <w:tcPr>
            <w:tcW w:w="1880" w:type="dxa"/>
            <w:tcBorders>
              <w:top w:val="nil"/>
              <w:left w:val="nil"/>
              <w:bottom w:val="nil"/>
              <w:right w:val="nil"/>
            </w:tcBorders>
            <w:noWrap/>
            <w:vAlign w:val="center"/>
            <w:hideMark/>
          </w:tcPr>
          <w:p w14:paraId="42976D45" w14:textId="77777777" w:rsidR="00E650BA" w:rsidRDefault="00E650BA">
            <w:pPr>
              <w:rPr>
                <w:rFonts w:ascii="TimesNewRomanPSMT" w:hAnsi="TimesNewRomanPSMT"/>
                <w:color w:val="000000"/>
              </w:rPr>
            </w:pPr>
            <w:r>
              <w:rPr>
                <w:rFonts w:ascii="TimesNewRomanPSMT" w:hAnsi="TimesNewRomanPSMT"/>
                <w:color w:val="000000"/>
              </w:rPr>
              <w:t>United States</w:t>
            </w:r>
          </w:p>
        </w:tc>
        <w:tc>
          <w:tcPr>
            <w:tcW w:w="920" w:type="dxa"/>
            <w:tcBorders>
              <w:top w:val="nil"/>
              <w:left w:val="nil"/>
              <w:bottom w:val="nil"/>
              <w:right w:val="nil"/>
            </w:tcBorders>
            <w:noWrap/>
            <w:vAlign w:val="center"/>
            <w:hideMark/>
          </w:tcPr>
          <w:p w14:paraId="4647B8AC" w14:textId="77777777" w:rsidR="00E650BA" w:rsidRDefault="00E650BA">
            <w:pPr>
              <w:jc w:val="right"/>
              <w:rPr>
                <w:rFonts w:ascii="TimesNewRomanPSMT" w:hAnsi="TimesNewRomanPSMT"/>
                <w:color w:val="000000"/>
              </w:rPr>
            </w:pPr>
            <w:r>
              <w:rPr>
                <w:rFonts w:ascii="TimesNewRomanPSMT" w:hAnsi="TimesNewRomanPSMT"/>
                <w:color w:val="000000"/>
              </w:rPr>
              <w:t>-0.502</w:t>
            </w:r>
          </w:p>
        </w:tc>
        <w:tc>
          <w:tcPr>
            <w:tcW w:w="960" w:type="dxa"/>
            <w:tcBorders>
              <w:top w:val="nil"/>
              <w:left w:val="nil"/>
              <w:bottom w:val="nil"/>
              <w:right w:val="nil"/>
            </w:tcBorders>
            <w:noWrap/>
            <w:vAlign w:val="center"/>
            <w:hideMark/>
          </w:tcPr>
          <w:p w14:paraId="488478B3" w14:textId="77777777" w:rsidR="00E650BA" w:rsidRDefault="00E650BA">
            <w:pPr>
              <w:jc w:val="right"/>
              <w:rPr>
                <w:rFonts w:ascii="TimesNewRomanPSMT" w:hAnsi="TimesNewRomanPSMT"/>
                <w:color w:val="000000"/>
              </w:rPr>
            </w:pPr>
            <w:r>
              <w:rPr>
                <w:rFonts w:ascii="TimesNewRomanPSMT" w:hAnsi="TimesNewRomanPSMT"/>
                <w:color w:val="000000"/>
              </w:rPr>
              <w:t>0.0016</w:t>
            </w:r>
          </w:p>
        </w:tc>
      </w:tr>
      <w:tr w:rsidR="00E650BA" w14:paraId="710CF91F" w14:textId="77777777" w:rsidTr="00E650BA">
        <w:trPr>
          <w:trHeight w:val="320"/>
          <w:jc w:val="center"/>
        </w:trPr>
        <w:tc>
          <w:tcPr>
            <w:tcW w:w="1080" w:type="dxa"/>
            <w:tcBorders>
              <w:top w:val="nil"/>
              <w:left w:val="nil"/>
              <w:bottom w:val="nil"/>
              <w:right w:val="nil"/>
            </w:tcBorders>
            <w:noWrap/>
            <w:vAlign w:val="center"/>
            <w:hideMark/>
          </w:tcPr>
          <w:p w14:paraId="1EF95E7F" w14:textId="77777777" w:rsidR="00E650BA" w:rsidRDefault="00E650BA">
            <w:pPr>
              <w:rPr>
                <w:rFonts w:ascii="TimesNewRomanPSMT" w:hAnsi="TimesNewRomanPSMT"/>
                <w:color w:val="000000"/>
              </w:rPr>
            </w:pPr>
            <w:r>
              <w:rPr>
                <w:rFonts w:ascii="TimesNewRomanPSMT" w:hAnsi="TimesNewRomanPSMT"/>
                <w:color w:val="000000"/>
              </w:rPr>
              <w:t>NOR</w:t>
            </w:r>
          </w:p>
        </w:tc>
        <w:tc>
          <w:tcPr>
            <w:tcW w:w="1880" w:type="dxa"/>
            <w:tcBorders>
              <w:top w:val="nil"/>
              <w:left w:val="nil"/>
              <w:bottom w:val="nil"/>
              <w:right w:val="nil"/>
            </w:tcBorders>
            <w:noWrap/>
            <w:vAlign w:val="center"/>
            <w:hideMark/>
          </w:tcPr>
          <w:p w14:paraId="5FAAFE3C" w14:textId="77777777" w:rsidR="00E650BA" w:rsidRDefault="00E650BA">
            <w:pPr>
              <w:rPr>
                <w:rFonts w:ascii="TimesNewRomanPSMT" w:hAnsi="TimesNewRomanPSMT"/>
                <w:color w:val="000000"/>
              </w:rPr>
            </w:pPr>
            <w:r>
              <w:rPr>
                <w:rFonts w:ascii="TimesNewRomanPSMT" w:hAnsi="TimesNewRomanPSMT"/>
                <w:color w:val="000000"/>
              </w:rPr>
              <w:t>Norway</w:t>
            </w:r>
          </w:p>
        </w:tc>
        <w:tc>
          <w:tcPr>
            <w:tcW w:w="920" w:type="dxa"/>
            <w:tcBorders>
              <w:top w:val="nil"/>
              <w:left w:val="nil"/>
              <w:bottom w:val="nil"/>
              <w:right w:val="nil"/>
            </w:tcBorders>
            <w:noWrap/>
            <w:vAlign w:val="center"/>
            <w:hideMark/>
          </w:tcPr>
          <w:p w14:paraId="3DE8244E" w14:textId="77777777" w:rsidR="00E650BA" w:rsidRDefault="00E650BA">
            <w:pPr>
              <w:jc w:val="right"/>
              <w:rPr>
                <w:rFonts w:ascii="TimesNewRomanPSMT" w:hAnsi="TimesNewRomanPSMT"/>
                <w:color w:val="000000"/>
              </w:rPr>
            </w:pPr>
            <w:r>
              <w:rPr>
                <w:rFonts w:ascii="TimesNewRomanPSMT" w:hAnsi="TimesNewRomanPSMT"/>
                <w:color w:val="000000"/>
              </w:rPr>
              <w:t>-0.501</w:t>
            </w:r>
          </w:p>
        </w:tc>
        <w:tc>
          <w:tcPr>
            <w:tcW w:w="960" w:type="dxa"/>
            <w:tcBorders>
              <w:top w:val="nil"/>
              <w:left w:val="nil"/>
              <w:bottom w:val="nil"/>
              <w:right w:val="nil"/>
            </w:tcBorders>
            <w:noWrap/>
            <w:vAlign w:val="center"/>
            <w:hideMark/>
          </w:tcPr>
          <w:p w14:paraId="0DC59C61" w14:textId="77777777" w:rsidR="00E650BA" w:rsidRDefault="00E650BA">
            <w:pPr>
              <w:jc w:val="right"/>
              <w:rPr>
                <w:rFonts w:ascii="TimesNewRomanPSMT" w:hAnsi="TimesNewRomanPSMT"/>
                <w:color w:val="000000"/>
              </w:rPr>
            </w:pPr>
            <w:r>
              <w:rPr>
                <w:rFonts w:ascii="TimesNewRomanPSMT" w:hAnsi="TimesNewRomanPSMT"/>
                <w:color w:val="000000"/>
              </w:rPr>
              <w:t>0.0016</w:t>
            </w:r>
          </w:p>
        </w:tc>
      </w:tr>
      <w:tr w:rsidR="00E650BA" w14:paraId="175F5724" w14:textId="77777777" w:rsidTr="00E650BA">
        <w:trPr>
          <w:trHeight w:val="320"/>
          <w:jc w:val="center"/>
        </w:trPr>
        <w:tc>
          <w:tcPr>
            <w:tcW w:w="1080" w:type="dxa"/>
            <w:tcBorders>
              <w:top w:val="nil"/>
              <w:left w:val="nil"/>
              <w:bottom w:val="nil"/>
              <w:right w:val="nil"/>
            </w:tcBorders>
            <w:noWrap/>
            <w:vAlign w:val="center"/>
            <w:hideMark/>
          </w:tcPr>
          <w:p w14:paraId="19BE09D5" w14:textId="77777777" w:rsidR="00E650BA" w:rsidRDefault="00E650BA">
            <w:pPr>
              <w:rPr>
                <w:rFonts w:ascii="TimesNewRomanPSMT" w:hAnsi="TimesNewRomanPSMT"/>
                <w:color w:val="000000"/>
              </w:rPr>
            </w:pPr>
            <w:r>
              <w:rPr>
                <w:rFonts w:ascii="TimesNewRomanPSMT" w:hAnsi="TimesNewRomanPSMT"/>
                <w:color w:val="000000"/>
              </w:rPr>
              <w:t>LTU</w:t>
            </w:r>
          </w:p>
        </w:tc>
        <w:tc>
          <w:tcPr>
            <w:tcW w:w="1880" w:type="dxa"/>
            <w:tcBorders>
              <w:top w:val="nil"/>
              <w:left w:val="nil"/>
              <w:bottom w:val="nil"/>
              <w:right w:val="nil"/>
            </w:tcBorders>
            <w:noWrap/>
            <w:vAlign w:val="center"/>
            <w:hideMark/>
          </w:tcPr>
          <w:p w14:paraId="2A8BF5B0" w14:textId="77777777" w:rsidR="00E650BA" w:rsidRDefault="00E650BA">
            <w:pPr>
              <w:rPr>
                <w:rFonts w:ascii="TimesNewRomanPSMT" w:hAnsi="TimesNewRomanPSMT"/>
                <w:color w:val="000000"/>
              </w:rPr>
            </w:pPr>
            <w:r>
              <w:rPr>
                <w:rFonts w:ascii="TimesNewRomanPSMT" w:hAnsi="TimesNewRomanPSMT"/>
                <w:color w:val="000000"/>
              </w:rPr>
              <w:t>Lithuania</w:t>
            </w:r>
          </w:p>
        </w:tc>
        <w:tc>
          <w:tcPr>
            <w:tcW w:w="920" w:type="dxa"/>
            <w:tcBorders>
              <w:top w:val="nil"/>
              <w:left w:val="nil"/>
              <w:bottom w:val="nil"/>
              <w:right w:val="nil"/>
            </w:tcBorders>
            <w:noWrap/>
            <w:vAlign w:val="center"/>
            <w:hideMark/>
          </w:tcPr>
          <w:p w14:paraId="565D3B73" w14:textId="77777777" w:rsidR="00E650BA" w:rsidRDefault="00E650BA">
            <w:pPr>
              <w:jc w:val="right"/>
              <w:rPr>
                <w:rFonts w:ascii="TimesNewRomanPSMT" w:hAnsi="TimesNewRomanPSMT"/>
                <w:color w:val="000000"/>
              </w:rPr>
            </w:pPr>
            <w:r>
              <w:rPr>
                <w:rFonts w:ascii="TimesNewRomanPSMT" w:hAnsi="TimesNewRomanPSMT"/>
                <w:color w:val="000000"/>
              </w:rPr>
              <w:t>-0.501</w:t>
            </w:r>
          </w:p>
        </w:tc>
        <w:tc>
          <w:tcPr>
            <w:tcW w:w="960" w:type="dxa"/>
            <w:tcBorders>
              <w:top w:val="nil"/>
              <w:left w:val="nil"/>
              <w:bottom w:val="nil"/>
              <w:right w:val="nil"/>
            </w:tcBorders>
            <w:noWrap/>
            <w:vAlign w:val="center"/>
            <w:hideMark/>
          </w:tcPr>
          <w:p w14:paraId="51BE94CD" w14:textId="77777777" w:rsidR="00E650BA" w:rsidRDefault="00E650BA">
            <w:pPr>
              <w:jc w:val="right"/>
              <w:rPr>
                <w:rFonts w:ascii="TimesNewRomanPSMT" w:hAnsi="TimesNewRomanPSMT"/>
                <w:color w:val="000000"/>
              </w:rPr>
            </w:pPr>
            <w:r>
              <w:rPr>
                <w:rFonts w:ascii="TimesNewRomanPSMT" w:hAnsi="TimesNewRomanPSMT"/>
                <w:color w:val="000000"/>
              </w:rPr>
              <w:t>0.0016</w:t>
            </w:r>
          </w:p>
        </w:tc>
      </w:tr>
      <w:tr w:rsidR="00E650BA" w14:paraId="1AC67D0A" w14:textId="77777777" w:rsidTr="00E650BA">
        <w:trPr>
          <w:trHeight w:val="320"/>
          <w:jc w:val="center"/>
        </w:trPr>
        <w:tc>
          <w:tcPr>
            <w:tcW w:w="1080" w:type="dxa"/>
            <w:tcBorders>
              <w:top w:val="nil"/>
              <w:left w:val="nil"/>
              <w:bottom w:val="nil"/>
              <w:right w:val="nil"/>
            </w:tcBorders>
            <w:noWrap/>
            <w:vAlign w:val="center"/>
            <w:hideMark/>
          </w:tcPr>
          <w:p w14:paraId="3F9EAB50" w14:textId="77777777" w:rsidR="00E650BA" w:rsidRDefault="00E650BA">
            <w:pPr>
              <w:rPr>
                <w:rFonts w:ascii="TimesNewRomanPSMT" w:hAnsi="TimesNewRomanPSMT"/>
                <w:color w:val="000000"/>
              </w:rPr>
            </w:pPr>
            <w:r>
              <w:rPr>
                <w:rFonts w:ascii="TimesNewRomanPSMT" w:hAnsi="TimesNewRomanPSMT"/>
                <w:color w:val="000000"/>
              </w:rPr>
              <w:t>DNK</w:t>
            </w:r>
          </w:p>
        </w:tc>
        <w:tc>
          <w:tcPr>
            <w:tcW w:w="1880" w:type="dxa"/>
            <w:tcBorders>
              <w:top w:val="nil"/>
              <w:left w:val="nil"/>
              <w:bottom w:val="nil"/>
              <w:right w:val="nil"/>
            </w:tcBorders>
            <w:noWrap/>
            <w:vAlign w:val="center"/>
            <w:hideMark/>
          </w:tcPr>
          <w:p w14:paraId="451EEE7C" w14:textId="77777777" w:rsidR="00E650BA" w:rsidRDefault="00E650BA">
            <w:pPr>
              <w:rPr>
                <w:rFonts w:ascii="TimesNewRomanPSMT" w:hAnsi="TimesNewRomanPSMT"/>
                <w:color w:val="000000"/>
              </w:rPr>
            </w:pPr>
            <w:r>
              <w:rPr>
                <w:rFonts w:ascii="TimesNewRomanPSMT" w:hAnsi="TimesNewRomanPSMT"/>
                <w:color w:val="000000"/>
              </w:rPr>
              <w:t>Denmark</w:t>
            </w:r>
          </w:p>
        </w:tc>
        <w:tc>
          <w:tcPr>
            <w:tcW w:w="920" w:type="dxa"/>
            <w:tcBorders>
              <w:top w:val="nil"/>
              <w:left w:val="nil"/>
              <w:bottom w:val="nil"/>
              <w:right w:val="nil"/>
            </w:tcBorders>
            <w:noWrap/>
            <w:vAlign w:val="center"/>
            <w:hideMark/>
          </w:tcPr>
          <w:p w14:paraId="4EAFDD64" w14:textId="77777777" w:rsidR="00E650BA" w:rsidRDefault="00E650BA">
            <w:pPr>
              <w:jc w:val="right"/>
              <w:rPr>
                <w:rFonts w:ascii="TimesNewRomanPSMT" w:hAnsi="TimesNewRomanPSMT"/>
                <w:color w:val="000000"/>
              </w:rPr>
            </w:pPr>
            <w:r>
              <w:rPr>
                <w:rFonts w:ascii="TimesNewRomanPSMT" w:hAnsi="TimesNewRomanPSMT"/>
                <w:color w:val="000000"/>
              </w:rPr>
              <w:t>-0.498</w:t>
            </w:r>
          </w:p>
        </w:tc>
        <w:tc>
          <w:tcPr>
            <w:tcW w:w="960" w:type="dxa"/>
            <w:tcBorders>
              <w:top w:val="nil"/>
              <w:left w:val="nil"/>
              <w:bottom w:val="nil"/>
              <w:right w:val="nil"/>
            </w:tcBorders>
            <w:noWrap/>
            <w:vAlign w:val="center"/>
            <w:hideMark/>
          </w:tcPr>
          <w:p w14:paraId="4BCD3712" w14:textId="77777777" w:rsidR="00E650BA" w:rsidRDefault="00E650BA">
            <w:pPr>
              <w:jc w:val="right"/>
              <w:rPr>
                <w:rFonts w:ascii="TimesNewRomanPSMT" w:hAnsi="TimesNewRomanPSMT"/>
                <w:color w:val="000000"/>
              </w:rPr>
            </w:pPr>
            <w:r>
              <w:rPr>
                <w:rFonts w:ascii="TimesNewRomanPSMT" w:hAnsi="TimesNewRomanPSMT"/>
                <w:color w:val="000000"/>
              </w:rPr>
              <w:t>0.0017</w:t>
            </w:r>
          </w:p>
        </w:tc>
      </w:tr>
      <w:tr w:rsidR="00E650BA" w14:paraId="106074B8" w14:textId="77777777" w:rsidTr="00E650BA">
        <w:trPr>
          <w:trHeight w:val="320"/>
          <w:jc w:val="center"/>
        </w:trPr>
        <w:tc>
          <w:tcPr>
            <w:tcW w:w="1080" w:type="dxa"/>
            <w:tcBorders>
              <w:top w:val="nil"/>
              <w:left w:val="nil"/>
              <w:bottom w:val="nil"/>
              <w:right w:val="nil"/>
            </w:tcBorders>
            <w:noWrap/>
            <w:vAlign w:val="center"/>
            <w:hideMark/>
          </w:tcPr>
          <w:p w14:paraId="4BB7B7C2" w14:textId="77777777" w:rsidR="00E650BA" w:rsidRDefault="00E650BA">
            <w:pPr>
              <w:rPr>
                <w:rFonts w:ascii="TimesNewRomanPSMT" w:hAnsi="TimesNewRomanPSMT"/>
                <w:color w:val="000000"/>
              </w:rPr>
            </w:pPr>
            <w:r>
              <w:rPr>
                <w:rFonts w:ascii="TimesNewRomanPSMT" w:hAnsi="TimesNewRomanPSMT"/>
                <w:color w:val="000000"/>
              </w:rPr>
              <w:t>NZL</w:t>
            </w:r>
          </w:p>
        </w:tc>
        <w:tc>
          <w:tcPr>
            <w:tcW w:w="1880" w:type="dxa"/>
            <w:tcBorders>
              <w:top w:val="nil"/>
              <w:left w:val="nil"/>
              <w:bottom w:val="nil"/>
              <w:right w:val="nil"/>
            </w:tcBorders>
            <w:noWrap/>
            <w:vAlign w:val="center"/>
            <w:hideMark/>
          </w:tcPr>
          <w:p w14:paraId="6211601F" w14:textId="77777777" w:rsidR="00E650BA" w:rsidRDefault="00E650BA">
            <w:pPr>
              <w:rPr>
                <w:rFonts w:ascii="TimesNewRomanPSMT" w:hAnsi="TimesNewRomanPSMT"/>
                <w:color w:val="000000"/>
              </w:rPr>
            </w:pPr>
            <w:r>
              <w:rPr>
                <w:rFonts w:ascii="TimesNewRomanPSMT" w:hAnsi="TimesNewRomanPSMT"/>
                <w:color w:val="000000"/>
              </w:rPr>
              <w:t>New Zealand</w:t>
            </w:r>
          </w:p>
        </w:tc>
        <w:tc>
          <w:tcPr>
            <w:tcW w:w="920" w:type="dxa"/>
            <w:tcBorders>
              <w:top w:val="nil"/>
              <w:left w:val="nil"/>
              <w:bottom w:val="nil"/>
              <w:right w:val="nil"/>
            </w:tcBorders>
            <w:noWrap/>
            <w:vAlign w:val="center"/>
            <w:hideMark/>
          </w:tcPr>
          <w:p w14:paraId="4FA16C83" w14:textId="77777777" w:rsidR="00E650BA" w:rsidRDefault="00E650BA">
            <w:pPr>
              <w:jc w:val="right"/>
              <w:rPr>
                <w:rFonts w:ascii="TimesNewRomanPSMT" w:hAnsi="TimesNewRomanPSMT"/>
                <w:color w:val="000000"/>
              </w:rPr>
            </w:pPr>
            <w:r>
              <w:rPr>
                <w:rFonts w:ascii="TimesNewRomanPSMT" w:hAnsi="TimesNewRomanPSMT"/>
                <w:color w:val="000000"/>
              </w:rPr>
              <w:t>-0.49</w:t>
            </w:r>
          </w:p>
        </w:tc>
        <w:tc>
          <w:tcPr>
            <w:tcW w:w="960" w:type="dxa"/>
            <w:tcBorders>
              <w:top w:val="nil"/>
              <w:left w:val="nil"/>
              <w:bottom w:val="nil"/>
              <w:right w:val="nil"/>
            </w:tcBorders>
            <w:noWrap/>
            <w:vAlign w:val="center"/>
            <w:hideMark/>
          </w:tcPr>
          <w:p w14:paraId="7ECCC2F7" w14:textId="77777777" w:rsidR="00E650BA" w:rsidRDefault="00E650BA">
            <w:pPr>
              <w:jc w:val="right"/>
              <w:rPr>
                <w:rFonts w:ascii="TimesNewRomanPSMT" w:hAnsi="TimesNewRomanPSMT"/>
                <w:color w:val="000000"/>
              </w:rPr>
            </w:pPr>
            <w:r>
              <w:rPr>
                <w:rFonts w:ascii="TimesNewRomanPSMT" w:hAnsi="TimesNewRomanPSMT"/>
                <w:color w:val="000000"/>
              </w:rPr>
              <w:t>0.0021</w:t>
            </w:r>
          </w:p>
        </w:tc>
      </w:tr>
      <w:tr w:rsidR="00E650BA" w14:paraId="617BE9C6" w14:textId="77777777" w:rsidTr="00E650BA">
        <w:trPr>
          <w:trHeight w:val="320"/>
          <w:jc w:val="center"/>
        </w:trPr>
        <w:tc>
          <w:tcPr>
            <w:tcW w:w="1080" w:type="dxa"/>
            <w:tcBorders>
              <w:top w:val="nil"/>
              <w:left w:val="nil"/>
              <w:bottom w:val="nil"/>
              <w:right w:val="nil"/>
            </w:tcBorders>
            <w:noWrap/>
            <w:vAlign w:val="center"/>
            <w:hideMark/>
          </w:tcPr>
          <w:p w14:paraId="5F6A7B67" w14:textId="77777777" w:rsidR="00E650BA" w:rsidRDefault="00E650BA">
            <w:pPr>
              <w:rPr>
                <w:rFonts w:ascii="TimesNewRomanPSMT" w:hAnsi="TimesNewRomanPSMT"/>
                <w:color w:val="000000"/>
              </w:rPr>
            </w:pPr>
            <w:r>
              <w:rPr>
                <w:rFonts w:ascii="TimesNewRomanPSMT" w:hAnsi="TimesNewRomanPSMT"/>
                <w:color w:val="000000"/>
              </w:rPr>
              <w:t>LUX</w:t>
            </w:r>
          </w:p>
        </w:tc>
        <w:tc>
          <w:tcPr>
            <w:tcW w:w="1880" w:type="dxa"/>
            <w:tcBorders>
              <w:top w:val="nil"/>
              <w:left w:val="nil"/>
              <w:bottom w:val="nil"/>
              <w:right w:val="nil"/>
            </w:tcBorders>
            <w:noWrap/>
            <w:vAlign w:val="center"/>
            <w:hideMark/>
          </w:tcPr>
          <w:p w14:paraId="130CFFFA" w14:textId="77777777" w:rsidR="00E650BA" w:rsidRDefault="00E650BA">
            <w:pPr>
              <w:rPr>
                <w:rFonts w:ascii="TimesNewRomanPSMT" w:hAnsi="TimesNewRomanPSMT"/>
                <w:color w:val="000000"/>
              </w:rPr>
            </w:pPr>
            <w:r>
              <w:rPr>
                <w:rFonts w:ascii="TimesNewRomanPSMT" w:hAnsi="TimesNewRomanPSMT"/>
                <w:color w:val="000000"/>
              </w:rPr>
              <w:t>Luxembourg</w:t>
            </w:r>
          </w:p>
        </w:tc>
        <w:tc>
          <w:tcPr>
            <w:tcW w:w="920" w:type="dxa"/>
            <w:tcBorders>
              <w:top w:val="nil"/>
              <w:left w:val="nil"/>
              <w:bottom w:val="nil"/>
              <w:right w:val="nil"/>
            </w:tcBorders>
            <w:noWrap/>
            <w:vAlign w:val="center"/>
            <w:hideMark/>
          </w:tcPr>
          <w:p w14:paraId="74C4E053" w14:textId="77777777" w:rsidR="00E650BA" w:rsidRDefault="00E650BA">
            <w:pPr>
              <w:jc w:val="right"/>
              <w:rPr>
                <w:rFonts w:ascii="TimesNewRomanPSMT" w:hAnsi="TimesNewRomanPSMT"/>
                <w:color w:val="000000"/>
              </w:rPr>
            </w:pPr>
            <w:r>
              <w:rPr>
                <w:rFonts w:ascii="TimesNewRomanPSMT" w:hAnsi="TimesNewRomanPSMT"/>
                <w:color w:val="000000"/>
              </w:rPr>
              <w:t>-0.489</w:t>
            </w:r>
          </w:p>
        </w:tc>
        <w:tc>
          <w:tcPr>
            <w:tcW w:w="960" w:type="dxa"/>
            <w:tcBorders>
              <w:top w:val="nil"/>
              <w:left w:val="nil"/>
              <w:bottom w:val="nil"/>
              <w:right w:val="nil"/>
            </w:tcBorders>
            <w:noWrap/>
            <w:vAlign w:val="center"/>
            <w:hideMark/>
          </w:tcPr>
          <w:p w14:paraId="3FDECD6F" w14:textId="77777777" w:rsidR="00E650BA" w:rsidRDefault="00E650BA">
            <w:pPr>
              <w:jc w:val="right"/>
              <w:rPr>
                <w:rFonts w:ascii="TimesNewRomanPSMT" w:hAnsi="TimesNewRomanPSMT"/>
                <w:color w:val="000000"/>
              </w:rPr>
            </w:pPr>
            <w:r>
              <w:rPr>
                <w:rFonts w:ascii="TimesNewRomanPSMT" w:hAnsi="TimesNewRomanPSMT"/>
                <w:color w:val="000000"/>
              </w:rPr>
              <w:t>0.0021</w:t>
            </w:r>
          </w:p>
        </w:tc>
      </w:tr>
      <w:tr w:rsidR="00E650BA" w14:paraId="74FD0B1B" w14:textId="77777777" w:rsidTr="00E650BA">
        <w:trPr>
          <w:trHeight w:val="320"/>
          <w:jc w:val="center"/>
        </w:trPr>
        <w:tc>
          <w:tcPr>
            <w:tcW w:w="1080" w:type="dxa"/>
            <w:tcBorders>
              <w:top w:val="nil"/>
              <w:left w:val="nil"/>
              <w:bottom w:val="nil"/>
              <w:right w:val="nil"/>
            </w:tcBorders>
            <w:noWrap/>
            <w:vAlign w:val="center"/>
            <w:hideMark/>
          </w:tcPr>
          <w:p w14:paraId="69C43196" w14:textId="77777777" w:rsidR="00E650BA" w:rsidRDefault="00E650BA">
            <w:pPr>
              <w:rPr>
                <w:rFonts w:ascii="TimesNewRomanPSMT" w:hAnsi="TimesNewRomanPSMT"/>
                <w:color w:val="000000"/>
              </w:rPr>
            </w:pPr>
            <w:r>
              <w:rPr>
                <w:rFonts w:ascii="TimesNewRomanPSMT" w:hAnsi="TimesNewRomanPSMT"/>
                <w:color w:val="000000"/>
              </w:rPr>
              <w:t>JPN</w:t>
            </w:r>
          </w:p>
        </w:tc>
        <w:tc>
          <w:tcPr>
            <w:tcW w:w="1880" w:type="dxa"/>
            <w:tcBorders>
              <w:top w:val="nil"/>
              <w:left w:val="nil"/>
              <w:bottom w:val="nil"/>
              <w:right w:val="nil"/>
            </w:tcBorders>
            <w:noWrap/>
            <w:vAlign w:val="center"/>
            <w:hideMark/>
          </w:tcPr>
          <w:p w14:paraId="26AF2D79" w14:textId="77777777" w:rsidR="00E650BA" w:rsidRDefault="00E650BA">
            <w:pPr>
              <w:rPr>
                <w:rFonts w:ascii="TimesNewRomanPSMT" w:hAnsi="TimesNewRomanPSMT"/>
                <w:color w:val="000000"/>
              </w:rPr>
            </w:pPr>
            <w:r>
              <w:rPr>
                <w:rFonts w:ascii="TimesNewRomanPSMT" w:hAnsi="TimesNewRomanPSMT"/>
                <w:color w:val="000000"/>
              </w:rPr>
              <w:t>Japan</w:t>
            </w:r>
          </w:p>
        </w:tc>
        <w:tc>
          <w:tcPr>
            <w:tcW w:w="920" w:type="dxa"/>
            <w:tcBorders>
              <w:top w:val="nil"/>
              <w:left w:val="nil"/>
              <w:bottom w:val="nil"/>
              <w:right w:val="nil"/>
            </w:tcBorders>
            <w:noWrap/>
            <w:vAlign w:val="center"/>
            <w:hideMark/>
          </w:tcPr>
          <w:p w14:paraId="2970369A" w14:textId="77777777" w:rsidR="00E650BA" w:rsidRDefault="00E650BA">
            <w:pPr>
              <w:jc w:val="right"/>
              <w:rPr>
                <w:rFonts w:ascii="TimesNewRomanPSMT" w:hAnsi="TimesNewRomanPSMT"/>
                <w:color w:val="000000"/>
              </w:rPr>
            </w:pPr>
            <w:r>
              <w:rPr>
                <w:rFonts w:ascii="TimesNewRomanPSMT" w:hAnsi="TimesNewRomanPSMT"/>
                <w:color w:val="000000"/>
              </w:rPr>
              <w:t>-0.483</w:t>
            </w:r>
          </w:p>
        </w:tc>
        <w:tc>
          <w:tcPr>
            <w:tcW w:w="960" w:type="dxa"/>
            <w:tcBorders>
              <w:top w:val="nil"/>
              <w:left w:val="nil"/>
              <w:bottom w:val="nil"/>
              <w:right w:val="nil"/>
            </w:tcBorders>
            <w:noWrap/>
            <w:vAlign w:val="center"/>
            <w:hideMark/>
          </w:tcPr>
          <w:p w14:paraId="50EB7BE6" w14:textId="77777777" w:rsidR="00E650BA" w:rsidRDefault="00E650BA">
            <w:pPr>
              <w:jc w:val="right"/>
              <w:rPr>
                <w:rFonts w:ascii="TimesNewRomanPSMT" w:hAnsi="TimesNewRomanPSMT"/>
                <w:color w:val="000000"/>
              </w:rPr>
            </w:pPr>
            <w:r>
              <w:rPr>
                <w:rFonts w:ascii="TimesNewRomanPSMT" w:hAnsi="TimesNewRomanPSMT"/>
                <w:color w:val="000000"/>
              </w:rPr>
              <w:t>0.0025</w:t>
            </w:r>
          </w:p>
        </w:tc>
      </w:tr>
      <w:tr w:rsidR="00E650BA" w14:paraId="55F12E55" w14:textId="77777777" w:rsidTr="00E650BA">
        <w:trPr>
          <w:trHeight w:val="320"/>
          <w:jc w:val="center"/>
        </w:trPr>
        <w:tc>
          <w:tcPr>
            <w:tcW w:w="1080" w:type="dxa"/>
            <w:tcBorders>
              <w:top w:val="nil"/>
              <w:left w:val="nil"/>
              <w:bottom w:val="nil"/>
              <w:right w:val="nil"/>
            </w:tcBorders>
            <w:noWrap/>
            <w:vAlign w:val="center"/>
            <w:hideMark/>
          </w:tcPr>
          <w:p w14:paraId="2AA001DF" w14:textId="77777777" w:rsidR="00E650BA" w:rsidRDefault="00E650BA">
            <w:pPr>
              <w:rPr>
                <w:rFonts w:ascii="TimesNewRomanPSMT" w:hAnsi="TimesNewRomanPSMT"/>
                <w:color w:val="000000"/>
              </w:rPr>
            </w:pPr>
            <w:r>
              <w:rPr>
                <w:rFonts w:ascii="TimesNewRomanPSMT" w:hAnsi="TimesNewRomanPSMT"/>
                <w:color w:val="000000"/>
              </w:rPr>
              <w:lastRenderedPageBreak/>
              <w:t>COL</w:t>
            </w:r>
          </w:p>
        </w:tc>
        <w:tc>
          <w:tcPr>
            <w:tcW w:w="1880" w:type="dxa"/>
            <w:tcBorders>
              <w:top w:val="nil"/>
              <w:left w:val="nil"/>
              <w:bottom w:val="nil"/>
              <w:right w:val="nil"/>
            </w:tcBorders>
            <w:noWrap/>
            <w:vAlign w:val="center"/>
            <w:hideMark/>
          </w:tcPr>
          <w:p w14:paraId="5774939D" w14:textId="77777777" w:rsidR="00E650BA" w:rsidRDefault="00E650BA">
            <w:pPr>
              <w:rPr>
                <w:rFonts w:ascii="TimesNewRomanPSMT" w:hAnsi="TimesNewRomanPSMT"/>
                <w:color w:val="000000"/>
              </w:rPr>
            </w:pPr>
            <w:r>
              <w:rPr>
                <w:rFonts w:ascii="TimesNewRomanPSMT" w:hAnsi="TimesNewRomanPSMT"/>
                <w:color w:val="000000"/>
              </w:rPr>
              <w:t>Colombia</w:t>
            </w:r>
          </w:p>
        </w:tc>
        <w:tc>
          <w:tcPr>
            <w:tcW w:w="920" w:type="dxa"/>
            <w:tcBorders>
              <w:top w:val="nil"/>
              <w:left w:val="nil"/>
              <w:bottom w:val="nil"/>
              <w:right w:val="nil"/>
            </w:tcBorders>
            <w:noWrap/>
            <w:vAlign w:val="center"/>
            <w:hideMark/>
          </w:tcPr>
          <w:p w14:paraId="2E4FD271" w14:textId="77777777" w:rsidR="00E650BA" w:rsidRDefault="00E650BA">
            <w:pPr>
              <w:jc w:val="right"/>
              <w:rPr>
                <w:rFonts w:ascii="TimesNewRomanPSMT" w:hAnsi="TimesNewRomanPSMT"/>
                <w:color w:val="000000"/>
              </w:rPr>
            </w:pPr>
            <w:r>
              <w:rPr>
                <w:rFonts w:ascii="TimesNewRomanPSMT" w:hAnsi="TimesNewRomanPSMT"/>
                <w:color w:val="000000"/>
              </w:rPr>
              <w:t>-0.482</w:t>
            </w:r>
          </w:p>
        </w:tc>
        <w:tc>
          <w:tcPr>
            <w:tcW w:w="960" w:type="dxa"/>
            <w:tcBorders>
              <w:top w:val="nil"/>
              <w:left w:val="nil"/>
              <w:bottom w:val="nil"/>
              <w:right w:val="nil"/>
            </w:tcBorders>
            <w:noWrap/>
            <w:vAlign w:val="center"/>
            <w:hideMark/>
          </w:tcPr>
          <w:p w14:paraId="4748FBD0" w14:textId="77777777" w:rsidR="00E650BA" w:rsidRDefault="00E650BA">
            <w:pPr>
              <w:jc w:val="right"/>
              <w:rPr>
                <w:rFonts w:ascii="TimesNewRomanPSMT" w:hAnsi="TimesNewRomanPSMT"/>
                <w:color w:val="000000"/>
              </w:rPr>
            </w:pPr>
            <w:r>
              <w:rPr>
                <w:rFonts w:ascii="TimesNewRomanPSMT" w:hAnsi="TimesNewRomanPSMT"/>
                <w:color w:val="000000"/>
              </w:rPr>
              <w:t>0.0025</w:t>
            </w:r>
          </w:p>
        </w:tc>
      </w:tr>
      <w:tr w:rsidR="00E650BA" w14:paraId="6CCBF0F0" w14:textId="77777777" w:rsidTr="00E650BA">
        <w:trPr>
          <w:trHeight w:val="320"/>
          <w:jc w:val="center"/>
        </w:trPr>
        <w:tc>
          <w:tcPr>
            <w:tcW w:w="1080" w:type="dxa"/>
            <w:tcBorders>
              <w:top w:val="nil"/>
              <w:left w:val="nil"/>
              <w:bottom w:val="nil"/>
              <w:right w:val="nil"/>
            </w:tcBorders>
            <w:noWrap/>
            <w:vAlign w:val="center"/>
            <w:hideMark/>
          </w:tcPr>
          <w:p w14:paraId="208B4F91" w14:textId="77777777" w:rsidR="00E650BA" w:rsidRDefault="00E650BA">
            <w:pPr>
              <w:rPr>
                <w:rFonts w:ascii="TimesNewRomanPSMT" w:hAnsi="TimesNewRomanPSMT"/>
                <w:color w:val="000000"/>
              </w:rPr>
            </w:pPr>
            <w:r>
              <w:rPr>
                <w:rFonts w:ascii="TimesNewRomanPSMT" w:hAnsi="TimesNewRomanPSMT"/>
                <w:color w:val="000000"/>
              </w:rPr>
              <w:t>FIN</w:t>
            </w:r>
          </w:p>
        </w:tc>
        <w:tc>
          <w:tcPr>
            <w:tcW w:w="1880" w:type="dxa"/>
            <w:tcBorders>
              <w:top w:val="nil"/>
              <w:left w:val="nil"/>
              <w:bottom w:val="nil"/>
              <w:right w:val="nil"/>
            </w:tcBorders>
            <w:noWrap/>
            <w:vAlign w:val="center"/>
            <w:hideMark/>
          </w:tcPr>
          <w:p w14:paraId="1B783B9B" w14:textId="77777777" w:rsidR="00E650BA" w:rsidRDefault="00E650BA">
            <w:pPr>
              <w:rPr>
                <w:rFonts w:ascii="TimesNewRomanPSMT" w:hAnsi="TimesNewRomanPSMT"/>
                <w:color w:val="000000"/>
              </w:rPr>
            </w:pPr>
            <w:r>
              <w:rPr>
                <w:rFonts w:ascii="TimesNewRomanPSMT" w:hAnsi="TimesNewRomanPSMT"/>
                <w:color w:val="000000"/>
              </w:rPr>
              <w:t>Finland</w:t>
            </w:r>
          </w:p>
        </w:tc>
        <w:tc>
          <w:tcPr>
            <w:tcW w:w="920" w:type="dxa"/>
            <w:tcBorders>
              <w:top w:val="nil"/>
              <w:left w:val="nil"/>
              <w:bottom w:val="nil"/>
              <w:right w:val="nil"/>
            </w:tcBorders>
            <w:noWrap/>
            <w:vAlign w:val="center"/>
            <w:hideMark/>
          </w:tcPr>
          <w:p w14:paraId="6E93592F" w14:textId="77777777" w:rsidR="00E650BA" w:rsidRDefault="00E650BA">
            <w:pPr>
              <w:jc w:val="right"/>
              <w:rPr>
                <w:rFonts w:ascii="TimesNewRomanPSMT" w:hAnsi="TimesNewRomanPSMT"/>
                <w:color w:val="000000"/>
              </w:rPr>
            </w:pPr>
            <w:r>
              <w:rPr>
                <w:rFonts w:ascii="TimesNewRomanPSMT" w:hAnsi="TimesNewRomanPSMT"/>
                <w:color w:val="000000"/>
              </w:rPr>
              <w:t>-0.474</w:t>
            </w:r>
          </w:p>
        </w:tc>
        <w:tc>
          <w:tcPr>
            <w:tcW w:w="960" w:type="dxa"/>
            <w:tcBorders>
              <w:top w:val="nil"/>
              <w:left w:val="nil"/>
              <w:bottom w:val="nil"/>
              <w:right w:val="nil"/>
            </w:tcBorders>
            <w:noWrap/>
            <w:vAlign w:val="center"/>
            <w:hideMark/>
          </w:tcPr>
          <w:p w14:paraId="25D162E7" w14:textId="77777777" w:rsidR="00E650BA" w:rsidRDefault="00E650BA">
            <w:pPr>
              <w:jc w:val="right"/>
              <w:rPr>
                <w:rFonts w:ascii="TimesNewRomanPSMT" w:hAnsi="TimesNewRomanPSMT"/>
                <w:color w:val="000000"/>
              </w:rPr>
            </w:pPr>
            <w:r>
              <w:rPr>
                <w:rFonts w:ascii="TimesNewRomanPSMT" w:hAnsi="TimesNewRomanPSMT"/>
                <w:color w:val="000000"/>
              </w:rPr>
              <w:t>0.0031</w:t>
            </w:r>
          </w:p>
        </w:tc>
      </w:tr>
      <w:tr w:rsidR="00E650BA" w14:paraId="683864A8" w14:textId="77777777" w:rsidTr="00E650BA">
        <w:trPr>
          <w:trHeight w:val="320"/>
          <w:jc w:val="center"/>
        </w:trPr>
        <w:tc>
          <w:tcPr>
            <w:tcW w:w="1080" w:type="dxa"/>
            <w:tcBorders>
              <w:top w:val="nil"/>
              <w:left w:val="nil"/>
              <w:bottom w:val="nil"/>
              <w:right w:val="nil"/>
            </w:tcBorders>
            <w:noWrap/>
            <w:vAlign w:val="center"/>
            <w:hideMark/>
          </w:tcPr>
          <w:p w14:paraId="66E709CB" w14:textId="77777777" w:rsidR="00E650BA" w:rsidRDefault="00E650BA">
            <w:pPr>
              <w:rPr>
                <w:rFonts w:ascii="TimesNewRomanPSMT" w:hAnsi="TimesNewRomanPSMT"/>
                <w:color w:val="000000"/>
              </w:rPr>
            </w:pPr>
            <w:r>
              <w:rPr>
                <w:rFonts w:ascii="TimesNewRomanPSMT" w:hAnsi="TimesNewRomanPSMT"/>
                <w:color w:val="000000"/>
              </w:rPr>
              <w:t>ISL</w:t>
            </w:r>
          </w:p>
        </w:tc>
        <w:tc>
          <w:tcPr>
            <w:tcW w:w="1880" w:type="dxa"/>
            <w:tcBorders>
              <w:top w:val="nil"/>
              <w:left w:val="nil"/>
              <w:bottom w:val="nil"/>
              <w:right w:val="nil"/>
            </w:tcBorders>
            <w:noWrap/>
            <w:vAlign w:val="center"/>
            <w:hideMark/>
          </w:tcPr>
          <w:p w14:paraId="486F8C15" w14:textId="77777777" w:rsidR="00E650BA" w:rsidRDefault="00E650BA">
            <w:pPr>
              <w:rPr>
                <w:rFonts w:ascii="TimesNewRomanPSMT" w:hAnsi="TimesNewRomanPSMT"/>
                <w:color w:val="000000"/>
              </w:rPr>
            </w:pPr>
            <w:r>
              <w:rPr>
                <w:rFonts w:ascii="TimesNewRomanPSMT" w:hAnsi="TimesNewRomanPSMT"/>
                <w:color w:val="000000"/>
              </w:rPr>
              <w:t>Iceland</w:t>
            </w:r>
          </w:p>
        </w:tc>
        <w:tc>
          <w:tcPr>
            <w:tcW w:w="920" w:type="dxa"/>
            <w:tcBorders>
              <w:top w:val="nil"/>
              <w:left w:val="nil"/>
              <w:bottom w:val="nil"/>
              <w:right w:val="nil"/>
            </w:tcBorders>
            <w:noWrap/>
            <w:vAlign w:val="center"/>
            <w:hideMark/>
          </w:tcPr>
          <w:p w14:paraId="7A5DEB93" w14:textId="77777777" w:rsidR="00E650BA" w:rsidRDefault="00E650BA">
            <w:pPr>
              <w:jc w:val="right"/>
              <w:rPr>
                <w:rFonts w:ascii="TimesNewRomanPSMT" w:hAnsi="TimesNewRomanPSMT"/>
                <w:color w:val="000000"/>
              </w:rPr>
            </w:pPr>
            <w:r>
              <w:rPr>
                <w:rFonts w:ascii="TimesNewRomanPSMT" w:hAnsi="TimesNewRomanPSMT"/>
                <w:color w:val="000000"/>
              </w:rPr>
              <w:t>-0.472</w:t>
            </w:r>
          </w:p>
        </w:tc>
        <w:tc>
          <w:tcPr>
            <w:tcW w:w="960" w:type="dxa"/>
            <w:tcBorders>
              <w:top w:val="nil"/>
              <w:left w:val="nil"/>
              <w:bottom w:val="nil"/>
              <w:right w:val="nil"/>
            </w:tcBorders>
            <w:noWrap/>
            <w:vAlign w:val="center"/>
            <w:hideMark/>
          </w:tcPr>
          <w:p w14:paraId="00236077" w14:textId="77777777" w:rsidR="00E650BA" w:rsidRDefault="00E650BA">
            <w:pPr>
              <w:jc w:val="right"/>
              <w:rPr>
                <w:rFonts w:ascii="TimesNewRomanPSMT" w:hAnsi="TimesNewRomanPSMT"/>
                <w:color w:val="000000"/>
              </w:rPr>
            </w:pPr>
            <w:r>
              <w:rPr>
                <w:rFonts w:ascii="TimesNewRomanPSMT" w:hAnsi="TimesNewRomanPSMT"/>
                <w:color w:val="000000"/>
              </w:rPr>
              <w:t>0.0032</w:t>
            </w:r>
          </w:p>
        </w:tc>
      </w:tr>
      <w:tr w:rsidR="00E650BA" w14:paraId="1A29DA8F" w14:textId="77777777" w:rsidTr="00E650BA">
        <w:trPr>
          <w:trHeight w:val="320"/>
          <w:jc w:val="center"/>
        </w:trPr>
        <w:tc>
          <w:tcPr>
            <w:tcW w:w="1080" w:type="dxa"/>
            <w:tcBorders>
              <w:top w:val="nil"/>
              <w:left w:val="nil"/>
              <w:bottom w:val="single" w:sz="4" w:space="0" w:color="auto"/>
              <w:right w:val="nil"/>
            </w:tcBorders>
            <w:noWrap/>
            <w:vAlign w:val="center"/>
            <w:hideMark/>
          </w:tcPr>
          <w:p w14:paraId="567A8069" w14:textId="77777777" w:rsidR="00E650BA" w:rsidRDefault="00E650BA">
            <w:pPr>
              <w:rPr>
                <w:rFonts w:ascii="TimesNewRomanPSMT" w:hAnsi="TimesNewRomanPSMT"/>
                <w:color w:val="000000"/>
              </w:rPr>
            </w:pPr>
            <w:r>
              <w:rPr>
                <w:rFonts w:ascii="TimesNewRomanPSMT" w:hAnsi="TimesNewRomanPSMT"/>
                <w:color w:val="000000"/>
              </w:rPr>
              <w:t>CHL</w:t>
            </w:r>
          </w:p>
        </w:tc>
        <w:tc>
          <w:tcPr>
            <w:tcW w:w="1880" w:type="dxa"/>
            <w:tcBorders>
              <w:top w:val="nil"/>
              <w:left w:val="nil"/>
              <w:bottom w:val="single" w:sz="4" w:space="0" w:color="auto"/>
              <w:right w:val="nil"/>
            </w:tcBorders>
            <w:noWrap/>
            <w:vAlign w:val="center"/>
            <w:hideMark/>
          </w:tcPr>
          <w:p w14:paraId="349D1C47" w14:textId="77777777" w:rsidR="00E650BA" w:rsidRDefault="00E650BA">
            <w:pPr>
              <w:rPr>
                <w:rFonts w:ascii="TimesNewRomanPSMT" w:hAnsi="TimesNewRomanPSMT"/>
                <w:color w:val="000000"/>
              </w:rPr>
            </w:pPr>
            <w:r>
              <w:rPr>
                <w:rFonts w:ascii="TimesNewRomanPSMT" w:hAnsi="TimesNewRomanPSMT"/>
                <w:color w:val="000000"/>
              </w:rPr>
              <w:t>Chile</w:t>
            </w:r>
          </w:p>
        </w:tc>
        <w:tc>
          <w:tcPr>
            <w:tcW w:w="920" w:type="dxa"/>
            <w:tcBorders>
              <w:top w:val="nil"/>
              <w:left w:val="nil"/>
              <w:bottom w:val="single" w:sz="4" w:space="0" w:color="auto"/>
              <w:right w:val="nil"/>
            </w:tcBorders>
            <w:noWrap/>
            <w:vAlign w:val="center"/>
            <w:hideMark/>
          </w:tcPr>
          <w:p w14:paraId="0A52AB5C" w14:textId="77777777" w:rsidR="00E650BA" w:rsidRDefault="00E650BA">
            <w:pPr>
              <w:jc w:val="right"/>
              <w:rPr>
                <w:rFonts w:ascii="TimesNewRomanPSMT" w:hAnsi="TimesNewRomanPSMT"/>
                <w:color w:val="000000"/>
              </w:rPr>
            </w:pPr>
            <w:r>
              <w:rPr>
                <w:rFonts w:ascii="TimesNewRomanPSMT" w:hAnsi="TimesNewRomanPSMT"/>
                <w:color w:val="000000"/>
              </w:rPr>
              <w:t>-0.47</w:t>
            </w:r>
          </w:p>
        </w:tc>
        <w:tc>
          <w:tcPr>
            <w:tcW w:w="960" w:type="dxa"/>
            <w:tcBorders>
              <w:top w:val="nil"/>
              <w:left w:val="nil"/>
              <w:bottom w:val="single" w:sz="4" w:space="0" w:color="auto"/>
              <w:right w:val="nil"/>
            </w:tcBorders>
            <w:noWrap/>
            <w:vAlign w:val="center"/>
            <w:hideMark/>
          </w:tcPr>
          <w:p w14:paraId="20849A8D" w14:textId="77777777" w:rsidR="00E650BA" w:rsidRDefault="00E650BA">
            <w:pPr>
              <w:jc w:val="right"/>
              <w:rPr>
                <w:rFonts w:ascii="TimesNewRomanPSMT" w:hAnsi="TimesNewRomanPSMT"/>
                <w:color w:val="000000"/>
              </w:rPr>
            </w:pPr>
            <w:r>
              <w:rPr>
                <w:rFonts w:ascii="TimesNewRomanPSMT" w:hAnsi="TimesNewRomanPSMT"/>
                <w:color w:val="000000"/>
              </w:rPr>
              <w:t>0.0033</w:t>
            </w:r>
          </w:p>
        </w:tc>
      </w:tr>
    </w:tbl>
    <w:p w14:paraId="14CFFC5D" w14:textId="7FC5BD7C" w:rsidR="0004392E" w:rsidRPr="0004392E" w:rsidRDefault="0004392E" w:rsidP="0004392E">
      <w:pPr>
        <w:rPr>
          <w:rFonts w:ascii="Times New Roman" w:hAnsi="Times New Roman" w:cs="Times New Roman"/>
        </w:rPr>
      </w:pPr>
      <w:r w:rsidRPr="0004392E">
        <w:rPr>
          <w:rFonts w:ascii="Times New Roman" w:hAnsi="Times New Roman" w:cs="Times New Roman"/>
        </w:rPr>
        <w:t>Leave-one-out cross-validation of the correlation between pre-pandemic social cohesion (v2smpolsoc, 2019) and mean lockdown stringency (2020–2021). Full sample: r = −0.510, p = 0.001, N = 38.</w:t>
      </w:r>
    </w:p>
    <w:p w14:paraId="193572C3" w14:textId="3A5425E6" w:rsidR="0004392E" w:rsidRPr="0004392E" w:rsidRDefault="0004392E" w:rsidP="0004392E">
      <w:pPr>
        <w:rPr>
          <w:rFonts w:ascii="Times New Roman" w:hAnsi="Times New Roman" w:cs="Times New Roman"/>
        </w:rPr>
      </w:pPr>
      <w:r w:rsidRPr="0004392E">
        <w:rPr>
          <w:rFonts w:ascii="Times New Roman" w:hAnsi="Times New Roman" w:cs="Times New Roman"/>
        </w:rPr>
        <w:t>Range: [−0.568, −0.470]. All iterations significant at p &lt; 0.01.</w:t>
      </w:r>
    </w:p>
    <w:p w14:paraId="088E6FD1" w14:textId="77777777" w:rsidR="0004392E" w:rsidRPr="00E650BA" w:rsidRDefault="0004392E" w:rsidP="0004392E">
      <w:pPr>
        <w:rPr>
          <w:rFonts w:ascii="Times New Roman" w:hAnsi="Times New Roman" w:cs="Times New Roman"/>
        </w:rPr>
      </w:pPr>
    </w:p>
    <w:p w14:paraId="26B60112" w14:textId="77777777" w:rsidR="007C4FD9" w:rsidRDefault="007C4FD9" w:rsidP="0004392E">
      <w:pPr>
        <w:rPr>
          <w:rFonts w:ascii="Times New Roman" w:hAnsi="Times New Roman" w:cs="Times New Roman"/>
          <w:b/>
          <w:bCs/>
        </w:rPr>
        <w:sectPr w:rsidR="007C4FD9" w:rsidSect="001D51D2">
          <w:pgSz w:w="11906" w:h="16838"/>
          <w:pgMar w:top="1985" w:right="1701" w:bottom="1701" w:left="1701" w:header="851" w:footer="992" w:gutter="0"/>
          <w:lnNumType w:countBy="1" w:restart="continuous"/>
          <w:cols w:space="425"/>
          <w:docGrid w:type="lines" w:linePitch="360"/>
        </w:sectPr>
      </w:pPr>
    </w:p>
    <w:p w14:paraId="41487A71" w14:textId="212E4EB6" w:rsidR="0004392E" w:rsidRPr="0004392E" w:rsidRDefault="0004392E" w:rsidP="0004392E">
      <w:pPr>
        <w:rPr>
          <w:rFonts w:ascii="Times New Roman" w:hAnsi="Times New Roman" w:cs="Times New Roman"/>
          <w:b/>
          <w:bCs/>
        </w:rPr>
      </w:pPr>
      <w:r w:rsidRPr="0004392E">
        <w:rPr>
          <w:rFonts w:ascii="Times New Roman" w:hAnsi="Times New Roman" w:cs="Times New Roman"/>
          <w:b/>
          <w:bCs/>
        </w:rPr>
        <w:lastRenderedPageBreak/>
        <w:t xml:space="preserve">SI Table S2: </w:t>
      </w:r>
      <w:r w:rsidRPr="00E650BA">
        <w:rPr>
          <w:rFonts w:ascii="Times New Roman" w:hAnsi="Times New Roman" w:cs="Times New Roman"/>
        </w:rPr>
        <w:t>Full Regression Results with Economic Support Controls</w:t>
      </w:r>
    </w:p>
    <w:tbl>
      <w:tblPr>
        <w:tblW w:w="7640" w:type="dxa"/>
        <w:jc w:val="center"/>
        <w:tblCellMar>
          <w:left w:w="99" w:type="dxa"/>
          <w:right w:w="99" w:type="dxa"/>
        </w:tblCellMar>
        <w:tblLook w:val="04A0" w:firstRow="1" w:lastRow="0" w:firstColumn="1" w:lastColumn="0" w:noHBand="0" w:noVBand="1"/>
      </w:tblPr>
      <w:tblGrid>
        <w:gridCol w:w="3020"/>
        <w:gridCol w:w="2220"/>
        <w:gridCol w:w="2400"/>
      </w:tblGrid>
      <w:tr w:rsidR="00E650BA" w14:paraId="4D7B4BC9" w14:textId="77777777" w:rsidTr="00E650BA">
        <w:trPr>
          <w:trHeight w:val="320"/>
          <w:jc w:val="center"/>
        </w:trPr>
        <w:tc>
          <w:tcPr>
            <w:tcW w:w="3020" w:type="dxa"/>
            <w:tcBorders>
              <w:top w:val="single" w:sz="4" w:space="0" w:color="auto"/>
              <w:left w:val="nil"/>
              <w:bottom w:val="single" w:sz="4" w:space="0" w:color="auto"/>
              <w:right w:val="nil"/>
            </w:tcBorders>
            <w:noWrap/>
            <w:vAlign w:val="center"/>
            <w:hideMark/>
          </w:tcPr>
          <w:p w14:paraId="6CCC6218" w14:textId="77777777" w:rsidR="00E650BA" w:rsidRDefault="00E650BA">
            <w:pPr>
              <w:rPr>
                <w:rFonts w:ascii="TimesNewRomanPSMT" w:hAnsi="TimesNewRomanPSMT"/>
                <w:color w:val="000000"/>
              </w:rPr>
            </w:pPr>
            <w:r>
              <w:rPr>
                <w:rFonts w:ascii="TimesNewRomanPSMT" w:hAnsi="TimesNewRomanPSMT"/>
                <w:color w:val="000000"/>
              </w:rPr>
              <w:t>Variable</w:t>
            </w:r>
          </w:p>
        </w:tc>
        <w:tc>
          <w:tcPr>
            <w:tcW w:w="2220" w:type="dxa"/>
            <w:tcBorders>
              <w:top w:val="single" w:sz="4" w:space="0" w:color="auto"/>
              <w:left w:val="nil"/>
              <w:bottom w:val="single" w:sz="4" w:space="0" w:color="auto"/>
              <w:right w:val="nil"/>
            </w:tcBorders>
            <w:noWrap/>
            <w:vAlign w:val="center"/>
            <w:hideMark/>
          </w:tcPr>
          <w:p w14:paraId="77DC1240" w14:textId="77777777" w:rsidR="00E650BA" w:rsidRDefault="00E650BA">
            <w:pPr>
              <w:rPr>
                <w:rFonts w:ascii="TimesNewRomanPSMT" w:hAnsi="TimesNewRomanPSMT"/>
                <w:color w:val="000000"/>
              </w:rPr>
            </w:pPr>
            <w:r>
              <w:rPr>
                <w:rFonts w:ascii="TimesNewRomanPSMT" w:hAnsi="TimesNewRomanPSMT"/>
                <w:color w:val="000000"/>
              </w:rPr>
              <w:t>Model A (Additive)</w:t>
            </w:r>
          </w:p>
        </w:tc>
        <w:tc>
          <w:tcPr>
            <w:tcW w:w="2400" w:type="dxa"/>
            <w:tcBorders>
              <w:top w:val="single" w:sz="4" w:space="0" w:color="auto"/>
              <w:left w:val="nil"/>
              <w:bottom w:val="single" w:sz="4" w:space="0" w:color="auto"/>
              <w:right w:val="nil"/>
            </w:tcBorders>
            <w:noWrap/>
            <w:vAlign w:val="center"/>
            <w:hideMark/>
          </w:tcPr>
          <w:p w14:paraId="50B511DE" w14:textId="77777777" w:rsidR="00E650BA" w:rsidRDefault="00E650BA">
            <w:pPr>
              <w:rPr>
                <w:rFonts w:ascii="TimesNewRomanPSMT" w:hAnsi="TimesNewRomanPSMT"/>
                <w:color w:val="000000"/>
              </w:rPr>
            </w:pPr>
            <w:r>
              <w:rPr>
                <w:rFonts w:ascii="TimesNewRomanPSMT" w:hAnsi="TimesNewRomanPSMT"/>
                <w:color w:val="000000"/>
              </w:rPr>
              <w:t>Model B (Interaction)</w:t>
            </w:r>
          </w:p>
        </w:tc>
      </w:tr>
      <w:tr w:rsidR="00E650BA" w14:paraId="7DFF9839" w14:textId="77777777" w:rsidTr="00E650BA">
        <w:trPr>
          <w:trHeight w:val="320"/>
          <w:jc w:val="center"/>
        </w:trPr>
        <w:tc>
          <w:tcPr>
            <w:tcW w:w="3020" w:type="dxa"/>
            <w:tcBorders>
              <w:top w:val="nil"/>
              <w:left w:val="nil"/>
              <w:bottom w:val="nil"/>
              <w:right w:val="nil"/>
            </w:tcBorders>
            <w:noWrap/>
            <w:vAlign w:val="center"/>
            <w:hideMark/>
          </w:tcPr>
          <w:p w14:paraId="0E174B91" w14:textId="77777777" w:rsidR="00E650BA" w:rsidRDefault="00E650BA">
            <w:pPr>
              <w:rPr>
                <w:rFonts w:ascii="TimesNewRomanPSMT" w:hAnsi="TimesNewRomanPSMT"/>
                <w:color w:val="000000"/>
              </w:rPr>
            </w:pPr>
            <w:r>
              <w:rPr>
                <w:rFonts w:ascii="TimesNewRomanPSMT" w:hAnsi="TimesNewRomanPSMT"/>
                <w:color w:val="000000"/>
              </w:rPr>
              <w:t>Stringency (0–1)</w:t>
            </w:r>
          </w:p>
        </w:tc>
        <w:tc>
          <w:tcPr>
            <w:tcW w:w="2220" w:type="dxa"/>
            <w:tcBorders>
              <w:top w:val="nil"/>
              <w:left w:val="nil"/>
              <w:bottom w:val="nil"/>
              <w:right w:val="nil"/>
            </w:tcBorders>
            <w:noWrap/>
            <w:vAlign w:val="center"/>
            <w:hideMark/>
          </w:tcPr>
          <w:p w14:paraId="2EBAC295" w14:textId="77777777" w:rsidR="00E650BA" w:rsidRDefault="00E650BA">
            <w:pPr>
              <w:rPr>
                <w:rFonts w:ascii="TimesNewRomanPSMT" w:hAnsi="TimesNewRomanPSMT"/>
                <w:color w:val="000000"/>
              </w:rPr>
            </w:pPr>
            <w:r>
              <w:rPr>
                <w:rFonts w:ascii="TimesNewRomanPSMT" w:hAnsi="TimesNewRomanPSMT"/>
                <w:color w:val="000000"/>
              </w:rPr>
              <w:t>-0.913 (0.637)</w:t>
            </w:r>
          </w:p>
        </w:tc>
        <w:tc>
          <w:tcPr>
            <w:tcW w:w="2400" w:type="dxa"/>
            <w:tcBorders>
              <w:top w:val="nil"/>
              <w:left w:val="nil"/>
              <w:bottom w:val="nil"/>
              <w:right w:val="nil"/>
            </w:tcBorders>
            <w:noWrap/>
            <w:vAlign w:val="center"/>
            <w:hideMark/>
          </w:tcPr>
          <w:p w14:paraId="4DC79DDA" w14:textId="77777777" w:rsidR="00E650BA" w:rsidRDefault="00E650BA">
            <w:pPr>
              <w:rPr>
                <w:rFonts w:ascii="TimesNewRomanPSMT" w:hAnsi="TimesNewRomanPSMT"/>
                <w:color w:val="000000"/>
              </w:rPr>
            </w:pPr>
            <w:r>
              <w:rPr>
                <w:rFonts w:ascii="TimesNewRomanPSMT" w:hAnsi="TimesNewRomanPSMT"/>
                <w:color w:val="000000"/>
              </w:rPr>
              <w:t>-1.654** (0.789)</w:t>
            </w:r>
          </w:p>
        </w:tc>
      </w:tr>
      <w:tr w:rsidR="00E650BA" w14:paraId="732F4D3A" w14:textId="77777777" w:rsidTr="00E650BA">
        <w:trPr>
          <w:trHeight w:val="320"/>
          <w:jc w:val="center"/>
        </w:trPr>
        <w:tc>
          <w:tcPr>
            <w:tcW w:w="3020" w:type="dxa"/>
            <w:tcBorders>
              <w:top w:val="nil"/>
              <w:left w:val="nil"/>
              <w:bottom w:val="nil"/>
              <w:right w:val="nil"/>
            </w:tcBorders>
            <w:noWrap/>
            <w:vAlign w:val="center"/>
            <w:hideMark/>
          </w:tcPr>
          <w:p w14:paraId="517FAF5A" w14:textId="77777777" w:rsidR="00E650BA" w:rsidRDefault="00E650BA">
            <w:pPr>
              <w:rPr>
                <w:rFonts w:ascii="TimesNewRomanPSMT" w:hAnsi="TimesNewRomanPSMT"/>
                <w:color w:val="000000"/>
              </w:rPr>
            </w:pPr>
            <w:r>
              <w:rPr>
                <w:rFonts w:ascii="TimesNewRomanPSMT" w:hAnsi="TimesNewRomanPSMT"/>
                <w:color w:val="000000"/>
              </w:rPr>
              <w:t>Economic Support (0–1)</w:t>
            </w:r>
          </w:p>
        </w:tc>
        <w:tc>
          <w:tcPr>
            <w:tcW w:w="2220" w:type="dxa"/>
            <w:tcBorders>
              <w:top w:val="nil"/>
              <w:left w:val="nil"/>
              <w:bottom w:val="nil"/>
              <w:right w:val="nil"/>
            </w:tcBorders>
            <w:noWrap/>
            <w:vAlign w:val="center"/>
            <w:hideMark/>
          </w:tcPr>
          <w:p w14:paraId="2A76F812" w14:textId="77777777" w:rsidR="00E650BA" w:rsidRDefault="00E650BA">
            <w:pPr>
              <w:rPr>
                <w:rFonts w:ascii="TimesNewRomanPSMT" w:hAnsi="TimesNewRomanPSMT"/>
                <w:color w:val="000000"/>
              </w:rPr>
            </w:pPr>
            <w:r>
              <w:rPr>
                <w:rFonts w:ascii="TimesNewRomanPSMT" w:hAnsi="TimesNewRomanPSMT"/>
                <w:color w:val="000000"/>
              </w:rPr>
              <w:t>+0.213 (0.153)</w:t>
            </w:r>
          </w:p>
        </w:tc>
        <w:tc>
          <w:tcPr>
            <w:tcW w:w="2400" w:type="dxa"/>
            <w:tcBorders>
              <w:top w:val="nil"/>
              <w:left w:val="nil"/>
              <w:bottom w:val="nil"/>
              <w:right w:val="nil"/>
            </w:tcBorders>
            <w:noWrap/>
            <w:vAlign w:val="center"/>
            <w:hideMark/>
          </w:tcPr>
          <w:p w14:paraId="3117A55A" w14:textId="77777777" w:rsidR="00E650BA" w:rsidRDefault="00E650BA">
            <w:pPr>
              <w:rPr>
                <w:rFonts w:ascii="TimesNewRomanPSMT" w:hAnsi="TimesNewRomanPSMT"/>
                <w:color w:val="000000"/>
              </w:rPr>
            </w:pPr>
            <w:r>
              <w:rPr>
                <w:rFonts w:ascii="TimesNewRomanPSMT" w:hAnsi="TimesNewRomanPSMT"/>
                <w:color w:val="000000"/>
              </w:rPr>
              <w:t>-0.260 (0.308)</w:t>
            </w:r>
          </w:p>
        </w:tc>
      </w:tr>
      <w:tr w:rsidR="00E650BA" w14:paraId="3518A489" w14:textId="77777777" w:rsidTr="00E650BA">
        <w:trPr>
          <w:trHeight w:val="320"/>
          <w:jc w:val="center"/>
        </w:trPr>
        <w:tc>
          <w:tcPr>
            <w:tcW w:w="3020" w:type="dxa"/>
            <w:tcBorders>
              <w:top w:val="nil"/>
              <w:left w:val="nil"/>
              <w:bottom w:val="nil"/>
              <w:right w:val="nil"/>
            </w:tcBorders>
            <w:noWrap/>
            <w:vAlign w:val="center"/>
            <w:hideMark/>
          </w:tcPr>
          <w:p w14:paraId="78B29A9C" w14:textId="4C1F6BD7" w:rsidR="00E650BA" w:rsidRDefault="00E650BA">
            <w:pPr>
              <w:rPr>
                <w:rFonts w:ascii="TimesNewRomanPSMT" w:hAnsi="TimesNewRomanPSMT"/>
                <w:color w:val="000000"/>
              </w:rPr>
            </w:pPr>
            <w:r>
              <w:rPr>
                <w:rFonts w:ascii="TimesNewRomanPSMT" w:hAnsi="TimesNewRomanPSMT"/>
                <w:color w:val="000000"/>
              </w:rPr>
              <w:t xml:space="preserve">Stringency </w:t>
            </w:r>
            <m:oMath>
              <m:r>
                <w:rPr>
                  <w:rFonts w:ascii="Cambria Math" w:hAnsi="Cambria Math"/>
                  <w:color w:val="000000"/>
                </w:rPr>
                <m:t>×</m:t>
              </m:r>
            </m:oMath>
            <w:r>
              <w:rPr>
                <w:rFonts w:ascii="TimesNewRomanPSMT" w:hAnsi="TimesNewRomanPSMT"/>
                <w:color w:val="000000"/>
              </w:rPr>
              <w:t xml:space="preserve"> Econ. Support</w:t>
            </w:r>
          </w:p>
        </w:tc>
        <w:tc>
          <w:tcPr>
            <w:tcW w:w="2220" w:type="dxa"/>
            <w:tcBorders>
              <w:top w:val="nil"/>
              <w:left w:val="nil"/>
              <w:bottom w:val="nil"/>
              <w:right w:val="nil"/>
            </w:tcBorders>
            <w:noWrap/>
            <w:vAlign w:val="center"/>
            <w:hideMark/>
          </w:tcPr>
          <w:p w14:paraId="76E24C21" w14:textId="77777777" w:rsidR="00E650BA" w:rsidRDefault="00E650BA">
            <w:pPr>
              <w:rPr>
                <w:rFonts w:ascii="TimesNewRomanPSMT" w:hAnsi="TimesNewRomanPSMT"/>
                <w:color w:val="000000"/>
              </w:rPr>
            </w:pPr>
            <w:r>
              <w:rPr>
                <w:rFonts w:ascii="TimesNewRomanPSMT" w:hAnsi="TimesNewRomanPSMT"/>
                <w:color w:val="000000"/>
              </w:rPr>
              <w:t>-</w:t>
            </w:r>
          </w:p>
        </w:tc>
        <w:tc>
          <w:tcPr>
            <w:tcW w:w="2400" w:type="dxa"/>
            <w:tcBorders>
              <w:top w:val="nil"/>
              <w:left w:val="nil"/>
              <w:bottom w:val="nil"/>
              <w:right w:val="nil"/>
            </w:tcBorders>
            <w:noWrap/>
            <w:vAlign w:val="center"/>
            <w:hideMark/>
          </w:tcPr>
          <w:p w14:paraId="628F78C2" w14:textId="046461DD" w:rsidR="00E650BA" w:rsidRDefault="00E650BA" w:rsidP="00E650BA">
            <w:pPr>
              <w:rPr>
                <w:rFonts w:ascii="TimesNewRomanPSMT" w:hAnsi="TimesNewRomanPSMT"/>
                <w:color w:val="000000"/>
              </w:rPr>
            </w:pPr>
            <w:r>
              <w:rPr>
                <w:rFonts w:ascii="TimesNewRomanPSMT" w:hAnsi="TimesNewRomanPSMT"/>
                <w:color w:val="000000"/>
              </w:rPr>
              <w:t>1.328* (0.683)</w:t>
            </w:r>
          </w:p>
        </w:tc>
      </w:tr>
      <w:tr w:rsidR="00E650BA" w14:paraId="435EAC7F" w14:textId="77777777" w:rsidTr="00E650BA">
        <w:trPr>
          <w:trHeight w:val="320"/>
          <w:jc w:val="center"/>
        </w:trPr>
        <w:tc>
          <w:tcPr>
            <w:tcW w:w="3020" w:type="dxa"/>
            <w:tcBorders>
              <w:top w:val="nil"/>
              <w:left w:val="nil"/>
              <w:bottom w:val="nil"/>
              <w:right w:val="nil"/>
            </w:tcBorders>
            <w:noWrap/>
            <w:vAlign w:val="center"/>
            <w:hideMark/>
          </w:tcPr>
          <w:p w14:paraId="0D6CF17E" w14:textId="77777777" w:rsidR="00E650BA" w:rsidRDefault="00E650BA">
            <w:pPr>
              <w:rPr>
                <w:rFonts w:ascii="TimesNewRomanPSMT" w:hAnsi="TimesNewRomanPSMT"/>
                <w:color w:val="000000"/>
              </w:rPr>
            </w:pPr>
            <w:r>
              <w:rPr>
                <w:rFonts w:ascii="TimesNewRomanPSMT" w:hAnsi="TimesNewRomanPSMT"/>
                <w:color w:val="000000"/>
              </w:rPr>
              <w:t>Entity FE</w:t>
            </w:r>
          </w:p>
        </w:tc>
        <w:tc>
          <w:tcPr>
            <w:tcW w:w="2220" w:type="dxa"/>
            <w:tcBorders>
              <w:top w:val="nil"/>
              <w:left w:val="nil"/>
              <w:bottom w:val="nil"/>
              <w:right w:val="nil"/>
            </w:tcBorders>
            <w:noWrap/>
            <w:vAlign w:val="center"/>
            <w:hideMark/>
          </w:tcPr>
          <w:p w14:paraId="27791A75" w14:textId="77777777" w:rsidR="00E650BA" w:rsidRDefault="00E650BA">
            <w:pPr>
              <w:rPr>
                <w:rFonts w:ascii="TimesNewRomanPSMT" w:hAnsi="TimesNewRomanPSMT"/>
                <w:color w:val="000000"/>
              </w:rPr>
            </w:pPr>
            <w:r>
              <w:rPr>
                <w:rFonts w:ascii="TimesNewRomanPSMT" w:hAnsi="TimesNewRomanPSMT"/>
                <w:color w:val="000000"/>
              </w:rPr>
              <w:t>Yes</w:t>
            </w:r>
          </w:p>
        </w:tc>
        <w:tc>
          <w:tcPr>
            <w:tcW w:w="2400" w:type="dxa"/>
            <w:tcBorders>
              <w:top w:val="nil"/>
              <w:left w:val="nil"/>
              <w:bottom w:val="nil"/>
              <w:right w:val="nil"/>
            </w:tcBorders>
            <w:noWrap/>
            <w:vAlign w:val="center"/>
            <w:hideMark/>
          </w:tcPr>
          <w:p w14:paraId="6BF8D05F" w14:textId="77777777" w:rsidR="00E650BA" w:rsidRDefault="00E650BA">
            <w:pPr>
              <w:rPr>
                <w:rFonts w:ascii="TimesNewRomanPSMT" w:hAnsi="TimesNewRomanPSMT"/>
                <w:color w:val="000000"/>
              </w:rPr>
            </w:pPr>
            <w:r>
              <w:rPr>
                <w:rFonts w:ascii="TimesNewRomanPSMT" w:hAnsi="TimesNewRomanPSMT"/>
                <w:color w:val="000000"/>
              </w:rPr>
              <w:t>Yes</w:t>
            </w:r>
          </w:p>
        </w:tc>
      </w:tr>
      <w:tr w:rsidR="00E650BA" w14:paraId="4099A0A3" w14:textId="77777777" w:rsidTr="00E650BA">
        <w:trPr>
          <w:trHeight w:val="320"/>
          <w:jc w:val="center"/>
        </w:trPr>
        <w:tc>
          <w:tcPr>
            <w:tcW w:w="3020" w:type="dxa"/>
            <w:tcBorders>
              <w:top w:val="nil"/>
              <w:left w:val="nil"/>
              <w:bottom w:val="nil"/>
              <w:right w:val="nil"/>
            </w:tcBorders>
            <w:noWrap/>
            <w:vAlign w:val="center"/>
            <w:hideMark/>
          </w:tcPr>
          <w:p w14:paraId="220C51D7" w14:textId="77777777" w:rsidR="00E650BA" w:rsidRDefault="00E650BA">
            <w:pPr>
              <w:rPr>
                <w:rFonts w:ascii="TimesNewRomanPSMT" w:hAnsi="TimesNewRomanPSMT"/>
                <w:color w:val="000000"/>
              </w:rPr>
            </w:pPr>
            <w:r>
              <w:rPr>
                <w:rFonts w:ascii="TimesNewRomanPSMT" w:hAnsi="TimesNewRomanPSMT"/>
                <w:color w:val="000000"/>
              </w:rPr>
              <w:t>Year FE</w:t>
            </w:r>
          </w:p>
        </w:tc>
        <w:tc>
          <w:tcPr>
            <w:tcW w:w="2220" w:type="dxa"/>
            <w:tcBorders>
              <w:top w:val="nil"/>
              <w:left w:val="nil"/>
              <w:bottom w:val="nil"/>
              <w:right w:val="nil"/>
            </w:tcBorders>
            <w:noWrap/>
            <w:vAlign w:val="center"/>
            <w:hideMark/>
          </w:tcPr>
          <w:p w14:paraId="4DAC6671" w14:textId="77777777" w:rsidR="00E650BA" w:rsidRDefault="00E650BA">
            <w:pPr>
              <w:rPr>
                <w:rFonts w:ascii="TimesNewRomanPSMT" w:hAnsi="TimesNewRomanPSMT"/>
                <w:color w:val="000000"/>
              </w:rPr>
            </w:pPr>
            <w:r>
              <w:rPr>
                <w:rFonts w:ascii="TimesNewRomanPSMT" w:hAnsi="TimesNewRomanPSMT"/>
                <w:color w:val="000000"/>
              </w:rPr>
              <w:t>Yes</w:t>
            </w:r>
          </w:p>
        </w:tc>
        <w:tc>
          <w:tcPr>
            <w:tcW w:w="2400" w:type="dxa"/>
            <w:tcBorders>
              <w:top w:val="nil"/>
              <w:left w:val="nil"/>
              <w:bottom w:val="nil"/>
              <w:right w:val="nil"/>
            </w:tcBorders>
            <w:noWrap/>
            <w:vAlign w:val="center"/>
            <w:hideMark/>
          </w:tcPr>
          <w:p w14:paraId="69E2E5E0" w14:textId="77777777" w:rsidR="00E650BA" w:rsidRDefault="00E650BA">
            <w:pPr>
              <w:rPr>
                <w:rFonts w:ascii="TimesNewRomanPSMT" w:hAnsi="TimesNewRomanPSMT"/>
                <w:color w:val="000000"/>
              </w:rPr>
            </w:pPr>
            <w:r>
              <w:rPr>
                <w:rFonts w:ascii="TimesNewRomanPSMT" w:hAnsi="TimesNewRomanPSMT"/>
                <w:color w:val="000000"/>
              </w:rPr>
              <w:t>Yes</w:t>
            </w:r>
          </w:p>
        </w:tc>
      </w:tr>
      <w:tr w:rsidR="00E650BA" w14:paraId="7D089B5E" w14:textId="77777777" w:rsidTr="00E650BA">
        <w:trPr>
          <w:trHeight w:val="320"/>
          <w:jc w:val="center"/>
        </w:trPr>
        <w:tc>
          <w:tcPr>
            <w:tcW w:w="3020" w:type="dxa"/>
            <w:tcBorders>
              <w:top w:val="nil"/>
              <w:left w:val="nil"/>
              <w:bottom w:val="nil"/>
              <w:right w:val="nil"/>
            </w:tcBorders>
            <w:noWrap/>
            <w:vAlign w:val="center"/>
            <w:hideMark/>
          </w:tcPr>
          <w:p w14:paraId="60B45405" w14:textId="77777777" w:rsidR="00E650BA" w:rsidRDefault="00E650BA">
            <w:pPr>
              <w:rPr>
                <w:rFonts w:ascii="TimesNewRomanPSMT" w:hAnsi="TimesNewRomanPSMT"/>
                <w:color w:val="000000"/>
              </w:rPr>
            </w:pPr>
            <w:r>
              <w:rPr>
                <w:rFonts w:ascii="TimesNewRomanPSMT" w:hAnsi="TimesNewRomanPSMT"/>
                <w:color w:val="000000"/>
              </w:rPr>
              <w:t>Observations</w:t>
            </w:r>
          </w:p>
        </w:tc>
        <w:tc>
          <w:tcPr>
            <w:tcW w:w="2220" w:type="dxa"/>
            <w:tcBorders>
              <w:top w:val="nil"/>
              <w:left w:val="nil"/>
              <w:bottom w:val="nil"/>
              <w:right w:val="nil"/>
            </w:tcBorders>
            <w:noWrap/>
            <w:vAlign w:val="center"/>
            <w:hideMark/>
          </w:tcPr>
          <w:p w14:paraId="0108369C" w14:textId="77777777" w:rsidR="00E650BA" w:rsidRDefault="00E650BA">
            <w:pPr>
              <w:jc w:val="right"/>
              <w:rPr>
                <w:rFonts w:ascii="TimesNewRomanPSMT" w:hAnsi="TimesNewRomanPSMT"/>
                <w:color w:val="000000"/>
              </w:rPr>
            </w:pPr>
            <w:r>
              <w:rPr>
                <w:rFonts w:ascii="TimesNewRomanPSMT" w:hAnsi="TimesNewRomanPSMT"/>
                <w:color w:val="000000"/>
              </w:rPr>
              <w:t>380</w:t>
            </w:r>
          </w:p>
        </w:tc>
        <w:tc>
          <w:tcPr>
            <w:tcW w:w="2400" w:type="dxa"/>
            <w:tcBorders>
              <w:top w:val="nil"/>
              <w:left w:val="nil"/>
              <w:bottom w:val="nil"/>
              <w:right w:val="nil"/>
            </w:tcBorders>
            <w:noWrap/>
            <w:vAlign w:val="center"/>
            <w:hideMark/>
          </w:tcPr>
          <w:p w14:paraId="3323BCA4" w14:textId="77777777" w:rsidR="00E650BA" w:rsidRDefault="00E650BA">
            <w:pPr>
              <w:jc w:val="right"/>
              <w:rPr>
                <w:rFonts w:ascii="TimesNewRomanPSMT" w:hAnsi="TimesNewRomanPSMT"/>
                <w:color w:val="000000"/>
              </w:rPr>
            </w:pPr>
            <w:r>
              <w:rPr>
                <w:rFonts w:ascii="TimesNewRomanPSMT" w:hAnsi="TimesNewRomanPSMT"/>
                <w:color w:val="000000"/>
              </w:rPr>
              <w:t>380</w:t>
            </w:r>
          </w:p>
        </w:tc>
      </w:tr>
      <w:tr w:rsidR="00E650BA" w14:paraId="431B4344" w14:textId="77777777" w:rsidTr="00E650BA">
        <w:trPr>
          <w:trHeight w:val="320"/>
          <w:jc w:val="center"/>
        </w:trPr>
        <w:tc>
          <w:tcPr>
            <w:tcW w:w="3020" w:type="dxa"/>
            <w:tcBorders>
              <w:top w:val="nil"/>
              <w:left w:val="nil"/>
              <w:bottom w:val="single" w:sz="4" w:space="0" w:color="auto"/>
              <w:right w:val="nil"/>
            </w:tcBorders>
            <w:noWrap/>
            <w:vAlign w:val="center"/>
            <w:hideMark/>
          </w:tcPr>
          <w:p w14:paraId="4E3D6EE7" w14:textId="77777777" w:rsidR="00E650BA" w:rsidRDefault="00E650BA">
            <w:pPr>
              <w:rPr>
                <w:rFonts w:ascii="TimesNewRomanPSMT" w:hAnsi="TimesNewRomanPSMT"/>
                <w:color w:val="000000"/>
              </w:rPr>
            </w:pPr>
            <w:r>
              <w:rPr>
                <w:rFonts w:ascii="TimesNewRomanPSMT" w:hAnsi="TimesNewRomanPSMT"/>
                <w:color w:val="000000"/>
              </w:rPr>
              <w:t>R</w:t>
            </w:r>
            <w:r w:rsidRPr="00E650BA">
              <w:rPr>
                <w:rFonts w:ascii="TimesNewRomanPSMT" w:hAnsi="TimesNewRomanPSMT"/>
                <w:color w:val="000000"/>
                <w:vertAlign w:val="superscript"/>
              </w:rPr>
              <w:t>2</w:t>
            </w:r>
            <w:r>
              <w:rPr>
                <w:rFonts w:ascii="TimesNewRomanPSMT" w:hAnsi="TimesNewRomanPSMT"/>
                <w:color w:val="000000"/>
              </w:rPr>
              <w:t xml:space="preserve"> (within)</w:t>
            </w:r>
          </w:p>
        </w:tc>
        <w:tc>
          <w:tcPr>
            <w:tcW w:w="2220" w:type="dxa"/>
            <w:tcBorders>
              <w:top w:val="nil"/>
              <w:left w:val="nil"/>
              <w:bottom w:val="single" w:sz="4" w:space="0" w:color="auto"/>
              <w:right w:val="nil"/>
            </w:tcBorders>
            <w:noWrap/>
            <w:vAlign w:val="center"/>
            <w:hideMark/>
          </w:tcPr>
          <w:p w14:paraId="25D47ED8" w14:textId="77777777" w:rsidR="00E650BA" w:rsidRDefault="00E650BA">
            <w:pPr>
              <w:jc w:val="right"/>
              <w:rPr>
                <w:rFonts w:ascii="TimesNewRomanPSMT" w:hAnsi="TimesNewRomanPSMT"/>
                <w:color w:val="000000"/>
              </w:rPr>
            </w:pPr>
            <w:r>
              <w:rPr>
                <w:rFonts w:ascii="TimesNewRomanPSMT" w:hAnsi="TimesNewRomanPSMT"/>
                <w:color w:val="000000"/>
              </w:rPr>
              <w:t>-0.143</w:t>
            </w:r>
          </w:p>
        </w:tc>
        <w:tc>
          <w:tcPr>
            <w:tcW w:w="2400" w:type="dxa"/>
            <w:tcBorders>
              <w:top w:val="nil"/>
              <w:left w:val="nil"/>
              <w:bottom w:val="single" w:sz="4" w:space="0" w:color="auto"/>
              <w:right w:val="nil"/>
            </w:tcBorders>
            <w:noWrap/>
            <w:vAlign w:val="center"/>
            <w:hideMark/>
          </w:tcPr>
          <w:p w14:paraId="6412DFA9" w14:textId="77777777" w:rsidR="00E650BA" w:rsidRDefault="00E650BA">
            <w:pPr>
              <w:jc w:val="right"/>
              <w:rPr>
                <w:rFonts w:ascii="TimesNewRomanPSMT" w:hAnsi="TimesNewRomanPSMT"/>
                <w:color w:val="000000"/>
              </w:rPr>
            </w:pPr>
            <w:r>
              <w:rPr>
                <w:rFonts w:ascii="TimesNewRomanPSMT" w:hAnsi="TimesNewRomanPSMT"/>
                <w:color w:val="000000"/>
              </w:rPr>
              <w:t>-0.516</w:t>
            </w:r>
          </w:p>
        </w:tc>
      </w:tr>
    </w:tbl>
    <w:p w14:paraId="088EBA46" w14:textId="0C6AC9BB" w:rsidR="00E650BA" w:rsidRDefault="0004392E" w:rsidP="0004392E">
      <w:pPr>
        <w:rPr>
          <w:rFonts w:ascii="Times New Roman" w:hAnsi="Times New Roman" w:cs="Times New Roman"/>
        </w:rPr>
      </w:pPr>
      <w:r w:rsidRPr="0004392E">
        <w:rPr>
          <w:rFonts w:ascii="Times New Roman" w:hAnsi="Times New Roman" w:cs="Times New Roman"/>
        </w:rPr>
        <w:t xml:space="preserve">Standard errors (clustered by country) in parentheses. Dependent variable: </w:t>
      </w:r>
    </w:p>
    <w:p w14:paraId="1E2836E1" w14:textId="103C1ABD" w:rsidR="00E650BA" w:rsidRDefault="00E650BA" w:rsidP="0004392E">
      <w:pPr>
        <w:rPr>
          <w:rFonts w:ascii="Times New Roman" w:hAnsi="Times New Roman" w:cs="Times New Roman"/>
        </w:rPr>
      </w:pPr>
      <m:oMathPara>
        <m:oMath>
          <m:r>
            <m:rPr>
              <m:sty m:val="p"/>
            </m:rPr>
            <w:rPr>
              <w:rFonts w:ascii="Cambria Math" w:hAnsi="Cambria Math" w:cs="Times New Roman"/>
            </w:rPr>
            <m:t>Δ</m:t>
          </m:r>
          <m:r>
            <w:rPr>
              <w:rFonts w:ascii="Cambria Math" w:hAnsi="Cambria Math" w:cs="Times New Roman"/>
            </w:rPr>
            <m:t>Social Polarization=-</m:t>
          </m:r>
          <m:r>
            <m:rPr>
              <m:sty m:val="p"/>
            </m:rPr>
            <w:rPr>
              <w:rFonts w:ascii="Cambria Math" w:hAnsi="Cambria Math" w:cs="Times New Roman"/>
            </w:rPr>
            <m:t>Δ</m:t>
          </m:r>
          <m:r>
            <w:rPr>
              <w:rFonts w:ascii="Cambria Math" w:hAnsi="Cambria Math" w:cs="Times New Roman"/>
            </w:rPr>
            <m:t>v2smpolsoc</m:t>
          </m:r>
        </m:oMath>
      </m:oMathPara>
    </w:p>
    <w:p w14:paraId="4F93F772" w14:textId="46B162CD" w:rsidR="0004392E" w:rsidRPr="0004392E" w:rsidRDefault="0004392E" w:rsidP="0004392E">
      <w:pPr>
        <w:rPr>
          <w:rFonts w:ascii="Times New Roman" w:hAnsi="Times New Roman" w:cs="Times New Roman"/>
        </w:rPr>
      </w:pPr>
      <w:r w:rsidRPr="0004392E">
        <w:rPr>
          <w:rFonts w:ascii="Times New Roman" w:hAnsi="Times New Roman" w:cs="Times New Roman"/>
        </w:rPr>
        <w:t>* p &lt; 0.10, ** p &lt; 0.05, *** p &lt; 0.01.</w:t>
      </w:r>
    </w:p>
    <w:p w14:paraId="5A11B6EF" w14:textId="77777777" w:rsidR="0004392E" w:rsidRPr="0004392E" w:rsidRDefault="0004392E" w:rsidP="0004392E">
      <w:pPr>
        <w:rPr>
          <w:rFonts w:ascii="Times New Roman" w:hAnsi="Times New Roman" w:cs="Times New Roman"/>
        </w:rPr>
      </w:pPr>
    </w:p>
    <w:p w14:paraId="2F53C544" w14:textId="77777777" w:rsidR="007C4FD9" w:rsidRDefault="007C4FD9" w:rsidP="0004392E">
      <w:pPr>
        <w:rPr>
          <w:rFonts w:ascii="Times New Roman" w:hAnsi="Times New Roman" w:cs="Times New Roman"/>
          <w:b/>
          <w:bCs/>
        </w:rPr>
        <w:sectPr w:rsidR="007C4FD9" w:rsidSect="001D51D2">
          <w:pgSz w:w="11906" w:h="16838"/>
          <w:pgMar w:top="1985" w:right="1701" w:bottom="1701" w:left="1701" w:header="851" w:footer="992" w:gutter="0"/>
          <w:lnNumType w:countBy="1" w:restart="continuous"/>
          <w:cols w:space="425"/>
          <w:docGrid w:type="lines" w:linePitch="360"/>
        </w:sectPr>
      </w:pPr>
    </w:p>
    <w:p w14:paraId="74A3E090" w14:textId="337FFDE2" w:rsidR="0004392E" w:rsidRPr="0004392E" w:rsidRDefault="0004392E" w:rsidP="0004392E">
      <w:pPr>
        <w:rPr>
          <w:rFonts w:ascii="Times New Roman" w:hAnsi="Times New Roman" w:cs="Times New Roman"/>
          <w:b/>
          <w:bCs/>
        </w:rPr>
      </w:pPr>
      <w:r w:rsidRPr="0004392E">
        <w:rPr>
          <w:rFonts w:ascii="Times New Roman" w:hAnsi="Times New Roman" w:cs="Times New Roman"/>
          <w:b/>
          <w:bCs/>
        </w:rPr>
        <w:lastRenderedPageBreak/>
        <w:t>SI Table S3: Selection Effect with GDP Control</w:t>
      </w:r>
    </w:p>
    <w:tbl>
      <w:tblPr>
        <w:tblW w:w="8140" w:type="dxa"/>
        <w:jc w:val="center"/>
        <w:tblCellMar>
          <w:left w:w="99" w:type="dxa"/>
          <w:right w:w="99" w:type="dxa"/>
        </w:tblCellMar>
        <w:tblLook w:val="04A0" w:firstRow="1" w:lastRow="0" w:firstColumn="1" w:lastColumn="0" w:noHBand="0" w:noVBand="1"/>
      </w:tblPr>
      <w:tblGrid>
        <w:gridCol w:w="3320"/>
        <w:gridCol w:w="2160"/>
        <w:gridCol w:w="2660"/>
      </w:tblGrid>
      <w:tr w:rsidR="00E650BA" w14:paraId="535BC1AA" w14:textId="77777777" w:rsidTr="00E650BA">
        <w:trPr>
          <w:trHeight w:val="320"/>
          <w:jc w:val="center"/>
        </w:trPr>
        <w:tc>
          <w:tcPr>
            <w:tcW w:w="3320" w:type="dxa"/>
            <w:tcBorders>
              <w:top w:val="single" w:sz="4" w:space="0" w:color="auto"/>
              <w:left w:val="nil"/>
              <w:bottom w:val="single" w:sz="4" w:space="0" w:color="auto"/>
              <w:right w:val="nil"/>
            </w:tcBorders>
            <w:noWrap/>
            <w:vAlign w:val="center"/>
            <w:hideMark/>
          </w:tcPr>
          <w:p w14:paraId="177C6580" w14:textId="77777777" w:rsidR="00E650BA" w:rsidRDefault="00E650BA">
            <w:pPr>
              <w:rPr>
                <w:rFonts w:ascii="TimesNewRomanPSMT" w:hAnsi="TimesNewRomanPSMT"/>
                <w:color w:val="000000"/>
              </w:rPr>
            </w:pPr>
            <w:r>
              <w:rPr>
                <w:rFonts w:ascii="TimesNewRomanPSMT" w:hAnsi="TimesNewRomanPSMT"/>
                <w:color w:val="000000"/>
              </w:rPr>
              <w:t>Variable</w:t>
            </w:r>
          </w:p>
        </w:tc>
        <w:tc>
          <w:tcPr>
            <w:tcW w:w="2160" w:type="dxa"/>
            <w:tcBorders>
              <w:top w:val="single" w:sz="4" w:space="0" w:color="auto"/>
              <w:left w:val="nil"/>
              <w:bottom w:val="single" w:sz="4" w:space="0" w:color="auto"/>
              <w:right w:val="nil"/>
            </w:tcBorders>
            <w:noWrap/>
            <w:vAlign w:val="center"/>
            <w:hideMark/>
          </w:tcPr>
          <w:p w14:paraId="1A4E9560" w14:textId="77777777" w:rsidR="00E650BA" w:rsidRDefault="00E650BA">
            <w:pPr>
              <w:rPr>
                <w:rFonts w:ascii="TimesNewRomanPSMT" w:hAnsi="TimesNewRomanPSMT"/>
                <w:color w:val="000000"/>
              </w:rPr>
            </w:pPr>
            <w:r>
              <w:rPr>
                <w:rFonts w:ascii="TimesNewRomanPSMT" w:hAnsi="TimesNewRomanPSMT"/>
                <w:color w:val="000000"/>
              </w:rPr>
              <w:t>Model 1 (Bivariate)</w:t>
            </w:r>
          </w:p>
        </w:tc>
        <w:tc>
          <w:tcPr>
            <w:tcW w:w="2660" w:type="dxa"/>
            <w:tcBorders>
              <w:top w:val="single" w:sz="4" w:space="0" w:color="auto"/>
              <w:left w:val="nil"/>
              <w:bottom w:val="single" w:sz="4" w:space="0" w:color="auto"/>
              <w:right w:val="nil"/>
            </w:tcBorders>
            <w:noWrap/>
            <w:vAlign w:val="center"/>
            <w:hideMark/>
          </w:tcPr>
          <w:p w14:paraId="53C54E5A" w14:textId="77777777" w:rsidR="00E650BA" w:rsidRDefault="00E650BA">
            <w:pPr>
              <w:rPr>
                <w:rFonts w:ascii="TimesNewRomanPSMT" w:hAnsi="TimesNewRomanPSMT"/>
                <w:color w:val="000000"/>
              </w:rPr>
            </w:pPr>
            <w:r>
              <w:rPr>
                <w:rFonts w:ascii="TimesNewRomanPSMT" w:hAnsi="TimesNewRomanPSMT"/>
                <w:color w:val="000000"/>
              </w:rPr>
              <w:t>Model 2 (GDP Control)</w:t>
            </w:r>
          </w:p>
        </w:tc>
      </w:tr>
      <w:tr w:rsidR="00E650BA" w14:paraId="0B649E9C" w14:textId="77777777" w:rsidTr="00E650BA">
        <w:trPr>
          <w:trHeight w:val="320"/>
          <w:jc w:val="center"/>
        </w:trPr>
        <w:tc>
          <w:tcPr>
            <w:tcW w:w="3320" w:type="dxa"/>
            <w:tcBorders>
              <w:top w:val="nil"/>
              <w:left w:val="nil"/>
              <w:bottom w:val="nil"/>
              <w:right w:val="nil"/>
            </w:tcBorders>
            <w:noWrap/>
            <w:vAlign w:val="center"/>
            <w:hideMark/>
          </w:tcPr>
          <w:p w14:paraId="022170FA" w14:textId="77777777" w:rsidR="00E650BA" w:rsidRDefault="00E650BA">
            <w:pPr>
              <w:rPr>
                <w:rFonts w:ascii="TimesNewRomanPSMT" w:hAnsi="TimesNewRomanPSMT"/>
                <w:color w:val="000000"/>
              </w:rPr>
            </w:pPr>
            <w:r>
              <w:rPr>
                <w:rFonts w:ascii="TimesNewRomanPSMT" w:hAnsi="TimesNewRomanPSMT"/>
                <w:color w:val="000000"/>
              </w:rPr>
              <w:t>Social Cohesion (v2smpolsoc)</w:t>
            </w:r>
          </w:p>
        </w:tc>
        <w:tc>
          <w:tcPr>
            <w:tcW w:w="2160" w:type="dxa"/>
            <w:tcBorders>
              <w:top w:val="nil"/>
              <w:left w:val="nil"/>
              <w:bottom w:val="nil"/>
              <w:right w:val="nil"/>
            </w:tcBorders>
            <w:noWrap/>
            <w:vAlign w:val="center"/>
            <w:hideMark/>
          </w:tcPr>
          <w:p w14:paraId="57F7CE9B" w14:textId="77777777" w:rsidR="00E650BA" w:rsidRDefault="00E650BA">
            <w:pPr>
              <w:rPr>
                <w:rFonts w:ascii="TimesNewRomanPSMT" w:hAnsi="TimesNewRomanPSMT"/>
                <w:color w:val="000000"/>
              </w:rPr>
            </w:pPr>
            <w:r>
              <w:rPr>
                <w:rFonts w:ascii="TimesNewRomanPSMT" w:hAnsi="TimesNewRomanPSMT"/>
                <w:color w:val="000000"/>
              </w:rPr>
              <w:t>-2.429*** (0.671)</w:t>
            </w:r>
          </w:p>
        </w:tc>
        <w:tc>
          <w:tcPr>
            <w:tcW w:w="2660" w:type="dxa"/>
            <w:tcBorders>
              <w:top w:val="nil"/>
              <w:left w:val="nil"/>
              <w:bottom w:val="nil"/>
              <w:right w:val="nil"/>
            </w:tcBorders>
            <w:noWrap/>
            <w:vAlign w:val="center"/>
            <w:hideMark/>
          </w:tcPr>
          <w:p w14:paraId="58BDFB75" w14:textId="77777777" w:rsidR="00E650BA" w:rsidRDefault="00E650BA">
            <w:pPr>
              <w:rPr>
                <w:rFonts w:ascii="TimesNewRomanPSMT" w:hAnsi="TimesNewRomanPSMT"/>
                <w:color w:val="000000"/>
              </w:rPr>
            </w:pPr>
            <w:r>
              <w:rPr>
                <w:rFonts w:ascii="TimesNewRomanPSMT" w:hAnsi="TimesNewRomanPSMT"/>
                <w:color w:val="000000"/>
              </w:rPr>
              <w:t>-2.500*** (0.731)</w:t>
            </w:r>
          </w:p>
        </w:tc>
      </w:tr>
      <w:tr w:rsidR="00E650BA" w14:paraId="101E47EF" w14:textId="77777777" w:rsidTr="00E650BA">
        <w:trPr>
          <w:trHeight w:val="320"/>
          <w:jc w:val="center"/>
        </w:trPr>
        <w:tc>
          <w:tcPr>
            <w:tcW w:w="3320" w:type="dxa"/>
            <w:tcBorders>
              <w:top w:val="nil"/>
              <w:left w:val="nil"/>
              <w:bottom w:val="nil"/>
              <w:right w:val="nil"/>
            </w:tcBorders>
            <w:noWrap/>
            <w:vAlign w:val="center"/>
            <w:hideMark/>
          </w:tcPr>
          <w:p w14:paraId="2E2577C0" w14:textId="77777777" w:rsidR="00E650BA" w:rsidRDefault="00E650BA">
            <w:pPr>
              <w:rPr>
                <w:rFonts w:ascii="TimesNewRomanPSMT" w:hAnsi="TimesNewRomanPSMT"/>
                <w:color w:val="000000"/>
              </w:rPr>
            </w:pPr>
            <w:proofErr w:type="gramStart"/>
            <w:r>
              <w:rPr>
                <w:rFonts w:ascii="TimesNewRomanPSMT" w:hAnsi="TimesNewRomanPSMT"/>
                <w:color w:val="000000"/>
              </w:rPr>
              <w:t>log(</w:t>
            </w:r>
            <w:proofErr w:type="gramEnd"/>
            <w:r>
              <w:rPr>
                <w:rFonts w:ascii="TimesNewRomanPSMT" w:hAnsi="TimesNewRomanPSMT"/>
                <w:color w:val="000000"/>
              </w:rPr>
              <w:t>GDP per capita)</w:t>
            </w:r>
          </w:p>
        </w:tc>
        <w:tc>
          <w:tcPr>
            <w:tcW w:w="2160" w:type="dxa"/>
            <w:tcBorders>
              <w:top w:val="nil"/>
              <w:left w:val="nil"/>
              <w:bottom w:val="nil"/>
              <w:right w:val="nil"/>
            </w:tcBorders>
            <w:noWrap/>
            <w:vAlign w:val="center"/>
            <w:hideMark/>
          </w:tcPr>
          <w:p w14:paraId="6E6FD99D" w14:textId="77777777" w:rsidR="00E650BA" w:rsidRDefault="00E650BA">
            <w:pPr>
              <w:rPr>
                <w:rFonts w:ascii="TimesNewRomanPSMT" w:hAnsi="TimesNewRomanPSMT"/>
                <w:color w:val="000000"/>
              </w:rPr>
            </w:pPr>
            <w:r>
              <w:rPr>
                <w:rFonts w:ascii="TimesNewRomanPSMT" w:hAnsi="TimesNewRomanPSMT"/>
                <w:color w:val="000000"/>
              </w:rPr>
              <w:t>-</w:t>
            </w:r>
          </w:p>
        </w:tc>
        <w:tc>
          <w:tcPr>
            <w:tcW w:w="2660" w:type="dxa"/>
            <w:tcBorders>
              <w:top w:val="nil"/>
              <w:left w:val="nil"/>
              <w:bottom w:val="nil"/>
              <w:right w:val="nil"/>
            </w:tcBorders>
            <w:noWrap/>
            <w:vAlign w:val="center"/>
            <w:hideMark/>
          </w:tcPr>
          <w:p w14:paraId="53FC4635" w14:textId="77777777" w:rsidR="00E650BA" w:rsidRDefault="00E650BA">
            <w:pPr>
              <w:rPr>
                <w:rFonts w:ascii="TimesNewRomanPSMT" w:hAnsi="TimesNewRomanPSMT"/>
                <w:color w:val="000000"/>
              </w:rPr>
            </w:pPr>
            <w:r>
              <w:rPr>
                <w:rFonts w:ascii="TimesNewRomanPSMT" w:hAnsi="TimesNewRomanPSMT"/>
                <w:color w:val="000000"/>
              </w:rPr>
              <w:t>+0.542 (2.468)</w:t>
            </w:r>
          </w:p>
        </w:tc>
      </w:tr>
      <w:tr w:rsidR="00E650BA" w14:paraId="0163063A" w14:textId="77777777" w:rsidTr="00E650BA">
        <w:trPr>
          <w:trHeight w:val="320"/>
          <w:jc w:val="center"/>
        </w:trPr>
        <w:tc>
          <w:tcPr>
            <w:tcW w:w="3320" w:type="dxa"/>
            <w:tcBorders>
              <w:top w:val="nil"/>
              <w:left w:val="nil"/>
              <w:bottom w:val="nil"/>
              <w:right w:val="nil"/>
            </w:tcBorders>
            <w:noWrap/>
            <w:vAlign w:val="center"/>
            <w:hideMark/>
          </w:tcPr>
          <w:p w14:paraId="74BA45C8" w14:textId="77777777" w:rsidR="00E650BA" w:rsidRDefault="00E650BA">
            <w:pPr>
              <w:rPr>
                <w:rFonts w:ascii="TimesNewRomanPSMT" w:hAnsi="TimesNewRomanPSMT"/>
                <w:color w:val="000000"/>
              </w:rPr>
            </w:pPr>
            <w:r>
              <w:rPr>
                <w:rFonts w:ascii="TimesNewRomanPSMT" w:hAnsi="TimesNewRomanPSMT"/>
                <w:color w:val="000000"/>
              </w:rPr>
              <w:t>Constant</w:t>
            </w:r>
          </w:p>
        </w:tc>
        <w:tc>
          <w:tcPr>
            <w:tcW w:w="2160" w:type="dxa"/>
            <w:tcBorders>
              <w:top w:val="nil"/>
              <w:left w:val="nil"/>
              <w:bottom w:val="nil"/>
              <w:right w:val="nil"/>
            </w:tcBorders>
            <w:noWrap/>
            <w:vAlign w:val="center"/>
            <w:hideMark/>
          </w:tcPr>
          <w:p w14:paraId="2913FF12" w14:textId="77777777" w:rsidR="00E650BA" w:rsidRDefault="00E650BA">
            <w:pPr>
              <w:rPr>
                <w:rFonts w:ascii="TimesNewRomanPSMT" w:hAnsi="TimesNewRomanPSMT"/>
                <w:color w:val="000000"/>
              </w:rPr>
            </w:pPr>
            <w:r>
              <w:rPr>
                <w:rFonts w:ascii="TimesNewRomanPSMT" w:hAnsi="TimesNewRomanPSMT"/>
                <w:color w:val="000000"/>
              </w:rPr>
              <w:t>51.77*** (0.72)</w:t>
            </w:r>
          </w:p>
        </w:tc>
        <w:tc>
          <w:tcPr>
            <w:tcW w:w="2660" w:type="dxa"/>
            <w:tcBorders>
              <w:top w:val="nil"/>
              <w:left w:val="nil"/>
              <w:bottom w:val="nil"/>
              <w:right w:val="nil"/>
            </w:tcBorders>
            <w:noWrap/>
            <w:vAlign w:val="center"/>
            <w:hideMark/>
          </w:tcPr>
          <w:p w14:paraId="7F2D214A" w14:textId="77777777" w:rsidR="00E650BA" w:rsidRDefault="00E650BA">
            <w:pPr>
              <w:rPr>
                <w:rFonts w:ascii="TimesNewRomanPSMT" w:hAnsi="TimesNewRomanPSMT"/>
                <w:color w:val="000000"/>
              </w:rPr>
            </w:pPr>
            <w:r>
              <w:rPr>
                <w:rFonts w:ascii="TimesNewRomanPSMT" w:hAnsi="TimesNewRomanPSMT"/>
                <w:color w:val="000000"/>
              </w:rPr>
              <w:t>45.78** (25.49)</w:t>
            </w:r>
          </w:p>
        </w:tc>
      </w:tr>
      <w:tr w:rsidR="00E650BA" w14:paraId="7488B79B" w14:textId="77777777" w:rsidTr="00E650BA">
        <w:trPr>
          <w:trHeight w:val="320"/>
          <w:jc w:val="center"/>
        </w:trPr>
        <w:tc>
          <w:tcPr>
            <w:tcW w:w="3320" w:type="dxa"/>
            <w:tcBorders>
              <w:top w:val="nil"/>
              <w:left w:val="nil"/>
              <w:bottom w:val="nil"/>
              <w:right w:val="nil"/>
            </w:tcBorders>
            <w:noWrap/>
            <w:vAlign w:val="center"/>
            <w:hideMark/>
          </w:tcPr>
          <w:p w14:paraId="4EF29997" w14:textId="77777777" w:rsidR="00E650BA" w:rsidRDefault="00E650BA">
            <w:pPr>
              <w:rPr>
                <w:rFonts w:ascii="TimesNewRomanPSMT" w:hAnsi="TimesNewRomanPSMT"/>
                <w:color w:val="000000"/>
              </w:rPr>
            </w:pPr>
            <w:r>
              <w:rPr>
                <w:rFonts w:ascii="TimesNewRomanPSMT" w:hAnsi="TimesNewRomanPSMT"/>
                <w:color w:val="000000"/>
              </w:rPr>
              <w:t>R</w:t>
            </w:r>
            <w:r w:rsidRPr="00E650BA">
              <w:rPr>
                <w:rFonts w:ascii="TimesNewRomanPSMT" w:hAnsi="TimesNewRomanPSMT"/>
                <w:color w:val="000000"/>
                <w:vertAlign w:val="superscript"/>
              </w:rPr>
              <w:t>2</w:t>
            </w:r>
          </w:p>
        </w:tc>
        <w:tc>
          <w:tcPr>
            <w:tcW w:w="2160" w:type="dxa"/>
            <w:tcBorders>
              <w:top w:val="nil"/>
              <w:left w:val="nil"/>
              <w:bottom w:val="nil"/>
              <w:right w:val="nil"/>
            </w:tcBorders>
            <w:noWrap/>
            <w:vAlign w:val="center"/>
            <w:hideMark/>
          </w:tcPr>
          <w:p w14:paraId="4BFB0A60" w14:textId="77777777" w:rsidR="00E650BA" w:rsidRDefault="00E650BA">
            <w:pPr>
              <w:jc w:val="right"/>
              <w:rPr>
                <w:rFonts w:ascii="TimesNewRomanPSMT" w:hAnsi="TimesNewRomanPSMT"/>
                <w:color w:val="000000"/>
              </w:rPr>
            </w:pPr>
            <w:r>
              <w:rPr>
                <w:rFonts w:ascii="TimesNewRomanPSMT" w:hAnsi="TimesNewRomanPSMT"/>
                <w:color w:val="000000"/>
              </w:rPr>
              <w:t>0.26</w:t>
            </w:r>
          </w:p>
        </w:tc>
        <w:tc>
          <w:tcPr>
            <w:tcW w:w="2660" w:type="dxa"/>
            <w:tcBorders>
              <w:top w:val="nil"/>
              <w:left w:val="nil"/>
              <w:bottom w:val="nil"/>
              <w:right w:val="nil"/>
            </w:tcBorders>
            <w:noWrap/>
            <w:vAlign w:val="center"/>
            <w:hideMark/>
          </w:tcPr>
          <w:p w14:paraId="78C9E5FB" w14:textId="77777777" w:rsidR="00E650BA" w:rsidRDefault="00E650BA">
            <w:pPr>
              <w:jc w:val="right"/>
              <w:rPr>
                <w:rFonts w:ascii="TimesNewRomanPSMT" w:hAnsi="TimesNewRomanPSMT"/>
                <w:color w:val="000000"/>
              </w:rPr>
            </w:pPr>
            <w:r>
              <w:rPr>
                <w:rFonts w:ascii="TimesNewRomanPSMT" w:hAnsi="TimesNewRomanPSMT"/>
                <w:color w:val="000000"/>
              </w:rPr>
              <w:t>0.261</w:t>
            </w:r>
          </w:p>
        </w:tc>
      </w:tr>
      <w:tr w:rsidR="00E650BA" w14:paraId="27819C71" w14:textId="77777777" w:rsidTr="00E650BA">
        <w:trPr>
          <w:trHeight w:val="320"/>
          <w:jc w:val="center"/>
        </w:trPr>
        <w:tc>
          <w:tcPr>
            <w:tcW w:w="3320" w:type="dxa"/>
            <w:tcBorders>
              <w:top w:val="nil"/>
              <w:left w:val="nil"/>
              <w:bottom w:val="single" w:sz="4" w:space="0" w:color="auto"/>
              <w:right w:val="nil"/>
            </w:tcBorders>
            <w:noWrap/>
            <w:vAlign w:val="center"/>
            <w:hideMark/>
          </w:tcPr>
          <w:p w14:paraId="3BF8A507" w14:textId="77777777" w:rsidR="00E650BA" w:rsidRDefault="00E650BA">
            <w:pPr>
              <w:rPr>
                <w:rFonts w:ascii="TimesNewRomanPSMT" w:hAnsi="TimesNewRomanPSMT"/>
                <w:color w:val="000000"/>
              </w:rPr>
            </w:pPr>
            <w:r>
              <w:rPr>
                <w:rFonts w:ascii="TimesNewRomanPSMT" w:hAnsi="TimesNewRomanPSMT"/>
                <w:color w:val="000000"/>
              </w:rPr>
              <w:t>N</w:t>
            </w:r>
          </w:p>
        </w:tc>
        <w:tc>
          <w:tcPr>
            <w:tcW w:w="2160" w:type="dxa"/>
            <w:tcBorders>
              <w:top w:val="nil"/>
              <w:left w:val="nil"/>
              <w:bottom w:val="single" w:sz="4" w:space="0" w:color="auto"/>
              <w:right w:val="nil"/>
            </w:tcBorders>
            <w:noWrap/>
            <w:vAlign w:val="center"/>
            <w:hideMark/>
          </w:tcPr>
          <w:p w14:paraId="4CDFD0CA" w14:textId="77777777" w:rsidR="00E650BA" w:rsidRDefault="00E650BA">
            <w:pPr>
              <w:jc w:val="right"/>
              <w:rPr>
                <w:rFonts w:ascii="TimesNewRomanPSMT" w:hAnsi="TimesNewRomanPSMT"/>
                <w:color w:val="000000"/>
              </w:rPr>
            </w:pPr>
            <w:r>
              <w:rPr>
                <w:rFonts w:ascii="TimesNewRomanPSMT" w:hAnsi="TimesNewRomanPSMT"/>
                <w:color w:val="000000"/>
              </w:rPr>
              <w:t>38</w:t>
            </w:r>
          </w:p>
        </w:tc>
        <w:tc>
          <w:tcPr>
            <w:tcW w:w="2660" w:type="dxa"/>
            <w:tcBorders>
              <w:top w:val="nil"/>
              <w:left w:val="nil"/>
              <w:bottom w:val="single" w:sz="4" w:space="0" w:color="auto"/>
              <w:right w:val="nil"/>
            </w:tcBorders>
            <w:noWrap/>
            <w:vAlign w:val="center"/>
            <w:hideMark/>
          </w:tcPr>
          <w:p w14:paraId="4159A7A8" w14:textId="77777777" w:rsidR="00E650BA" w:rsidRDefault="00E650BA">
            <w:pPr>
              <w:jc w:val="right"/>
              <w:rPr>
                <w:rFonts w:ascii="TimesNewRomanPSMT" w:hAnsi="TimesNewRomanPSMT"/>
                <w:color w:val="000000"/>
              </w:rPr>
            </w:pPr>
            <w:r>
              <w:rPr>
                <w:rFonts w:ascii="TimesNewRomanPSMT" w:hAnsi="TimesNewRomanPSMT"/>
                <w:color w:val="000000"/>
              </w:rPr>
              <w:t>38</w:t>
            </w:r>
          </w:p>
        </w:tc>
      </w:tr>
    </w:tbl>
    <w:p w14:paraId="1D552699" w14:textId="103623DB" w:rsidR="00E650BA" w:rsidRDefault="0004392E" w:rsidP="0004392E">
      <w:pPr>
        <w:rPr>
          <w:rFonts w:ascii="Times New Roman" w:hAnsi="Times New Roman" w:cs="Times New Roman"/>
        </w:rPr>
      </w:pPr>
      <w:r w:rsidRPr="0004392E">
        <w:rPr>
          <w:rFonts w:ascii="Times New Roman" w:hAnsi="Times New Roman" w:cs="Times New Roman"/>
        </w:rPr>
        <w:t xml:space="preserve">Robust standard errors (HC1) in parentheses. Dependent variable: Mean Lockdown Stringency (2020–2021). Partial correlation (cohesion–stringency | GDP): r = −0.465, p = 0.003. </w:t>
      </w:r>
    </w:p>
    <w:p w14:paraId="694F951E" w14:textId="5C6B885D" w:rsidR="00384831" w:rsidRDefault="0004392E" w:rsidP="0004392E">
      <w:pPr>
        <w:rPr>
          <w:rFonts w:ascii="Times New Roman" w:hAnsi="Times New Roman" w:cs="Times New Roman"/>
        </w:rPr>
      </w:pPr>
      <w:r w:rsidRPr="0004392E">
        <w:rPr>
          <w:rFonts w:ascii="Times New Roman" w:hAnsi="Times New Roman" w:cs="Times New Roman"/>
        </w:rPr>
        <w:t>* p &lt; 0.10, ** p &lt; 0.05, *** p &lt; 0.01.</w:t>
      </w:r>
    </w:p>
    <w:p w14:paraId="362D03DE" w14:textId="77777777" w:rsidR="0004392E" w:rsidRDefault="0004392E" w:rsidP="0004392E">
      <w:pPr>
        <w:rPr>
          <w:rFonts w:ascii="Times New Roman" w:hAnsi="Times New Roman" w:cs="Times New Roman"/>
        </w:rPr>
      </w:pPr>
    </w:p>
    <w:p w14:paraId="3BC37E3F" w14:textId="77777777" w:rsidR="007C4FD9" w:rsidRDefault="007C4FD9" w:rsidP="0004392E">
      <w:pPr>
        <w:rPr>
          <w:rFonts w:ascii="Times New Roman" w:hAnsi="Times New Roman" w:cs="Times New Roman"/>
          <w:b/>
          <w:bCs/>
        </w:rPr>
        <w:sectPr w:rsidR="007C4FD9" w:rsidSect="001D51D2">
          <w:pgSz w:w="11906" w:h="16838"/>
          <w:pgMar w:top="1985" w:right="1701" w:bottom="1701" w:left="1701" w:header="851" w:footer="992" w:gutter="0"/>
          <w:lnNumType w:countBy="1" w:restart="continuous"/>
          <w:cols w:space="425"/>
          <w:docGrid w:type="lines" w:linePitch="360"/>
        </w:sectPr>
      </w:pPr>
    </w:p>
    <w:p w14:paraId="77FA21EE" w14:textId="77777777" w:rsidR="0004392E" w:rsidRPr="0004392E" w:rsidRDefault="0004392E" w:rsidP="0004392E">
      <w:pPr>
        <w:rPr>
          <w:rFonts w:ascii="Times New Roman" w:hAnsi="Times New Roman" w:cs="Times New Roman"/>
          <w:b/>
          <w:bCs/>
        </w:rPr>
      </w:pPr>
      <w:r w:rsidRPr="0004392E">
        <w:rPr>
          <w:rFonts w:ascii="Times New Roman" w:hAnsi="Times New Roman" w:cs="Times New Roman"/>
          <w:b/>
          <w:bCs/>
        </w:rPr>
        <w:lastRenderedPageBreak/>
        <w:t>SI Figure S1</w:t>
      </w:r>
    </w:p>
    <w:p w14:paraId="51F48FD6" w14:textId="650B912E" w:rsidR="0004392E" w:rsidRPr="0004392E" w:rsidRDefault="0004392E" w:rsidP="0004392E">
      <w:pPr>
        <w:rPr>
          <w:rFonts w:ascii="Times New Roman" w:hAnsi="Times New Roman" w:cs="Times New Roman"/>
        </w:rPr>
      </w:pPr>
      <w:r>
        <w:rPr>
          <w:rFonts w:ascii="Times New Roman" w:hAnsi="Times New Roman" w:cs="Times New Roman"/>
          <w:noProof/>
        </w:rPr>
        <w:drawing>
          <wp:inline distT="0" distB="0" distL="0" distR="0" wp14:anchorId="07CD8AF3" wp14:editId="182569A0">
            <wp:extent cx="5400040" cy="3192780"/>
            <wp:effectExtent l="0" t="0" r="0" b="0"/>
            <wp:docPr id="1050695584" name="図 1" descr="グラフ, 箱ひげ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95584" name="図 1" descr="グラフ, 箱ひげ図&#10;&#10;AI 生成コンテンツは誤りを含む可能性があります。"/>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3192780"/>
                    </a:xfrm>
                    <a:prstGeom prst="rect">
                      <a:avLst/>
                    </a:prstGeom>
                  </pic:spPr>
                </pic:pic>
              </a:graphicData>
            </a:graphic>
          </wp:inline>
        </w:drawing>
      </w:r>
    </w:p>
    <w:p w14:paraId="118A1B56" w14:textId="057C99D0" w:rsidR="0004392E" w:rsidRPr="0004392E" w:rsidRDefault="0004392E" w:rsidP="0004392E">
      <w:pPr>
        <w:rPr>
          <w:rFonts w:ascii="Times New Roman" w:hAnsi="Times New Roman" w:cs="Times New Roman"/>
        </w:rPr>
      </w:pPr>
      <w:r w:rsidRPr="0004392E">
        <w:rPr>
          <w:rFonts w:ascii="Times New Roman" w:hAnsi="Times New Roman" w:cs="Times New Roman"/>
        </w:rPr>
        <w:t>Coefficient estimates for lockdown stringency across all model specifications. Points represent TWFE first-difference estimates with 95% confidence intervals (clustered standard errors at the country level). The vertical dashed line marks zero. Blue indicates the main specification (first-differenced social polarization as outcome); gray indicates robustness checks (alternative V-Dem outcomes, economic support controls, lagged stringency at t-1 and t-2). Across all seven specifications, the stringency coefficient is either statistically indistinguishable from zero or negative (indicating, if anything, reduced polarization). No specification yields a significant positive estimate, ruling out the hypothesis that lockdown stringency increased social or political polarization in OECD countries.</w:t>
      </w:r>
    </w:p>
    <w:p w14:paraId="0E5035CF" w14:textId="77777777" w:rsidR="0004392E" w:rsidRPr="0004392E" w:rsidRDefault="0004392E" w:rsidP="0004392E">
      <w:pPr>
        <w:rPr>
          <w:rFonts w:ascii="Times New Roman" w:hAnsi="Times New Roman" w:cs="Times New Roman"/>
        </w:rPr>
      </w:pPr>
    </w:p>
    <w:sectPr w:rsidR="0004392E" w:rsidRPr="0004392E" w:rsidSect="001D51D2">
      <w:pgSz w:w="11906" w:h="16838"/>
      <w:pgMar w:top="1985" w:right="1701" w:bottom="1701" w:left="1701" w:header="851" w:footer="992" w:gutter="0"/>
      <w:lnNumType w:countBy="1" w:restart="continuous"/>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7A29E" w14:textId="77777777" w:rsidR="00183D4B" w:rsidRDefault="00183D4B" w:rsidP="001D51D2">
      <w:r>
        <w:separator/>
      </w:r>
    </w:p>
  </w:endnote>
  <w:endnote w:type="continuationSeparator" w:id="0">
    <w:p w14:paraId="1784DFD7" w14:textId="77777777" w:rsidR="00183D4B" w:rsidRDefault="00183D4B" w:rsidP="001D51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TimesNewRomanPSMT">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d"/>
      </w:rPr>
      <w:id w:val="1757634233"/>
      <w:docPartObj>
        <w:docPartGallery w:val="Page Numbers (Bottom of Page)"/>
        <w:docPartUnique/>
      </w:docPartObj>
    </w:sdtPr>
    <w:sdtContent>
      <w:p w14:paraId="367EDF69" w14:textId="05E4C4E4" w:rsidR="001D51D2" w:rsidRDefault="001D51D2" w:rsidP="00BD3D00">
        <w:pPr>
          <w:pStyle w:val="ab"/>
          <w:framePr w:wrap="none" w:vAnchor="text" w:hAnchor="margin" w:xAlign="right" w:y="1"/>
          <w:rPr>
            <w:rStyle w:val="ad"/>
          </w:rPr>
        </w:pPr>
        <w:r>
          <w:rPr>
            <w:rStyle w:val="ad"/>
          </w:rPr>
          <w:fldChar w:fldCharType="begin"/>
        </w:r>
        <w:r>
          <w:rPr>
            <w:rStyle w:val="ad"/>
          </w:rPr>
          <w:instrText xml:space="preserve"> PAGE </w:instrText>
        </w:r>
        <w:r>
          <w:rPr>
            <w:rStyle w:val="ad"/>
          </w:rPr>
          <w:fldChar w:fldCharType="separate"/>
        </w:r>
        <w:r>
          <w:rPr>
            <w:rStyle w:val="ad"/>
          </w:rPr>
          <w:fldChar w:fldCharType="end"/>
        </w:r>
      </w:p>
    </w:sdtContent>
  </w:sdt>
  <w:p w14:paraId="4420B9A6" w14:textId="77777777" w:rsidR="001D51D2" w:rsidRDefault="001D51D2" w:rsidP="001D51D2">
    <w:pPr>
      <w:pStyle w:val="ab"/>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d"/>
      </w:rPr>
      <w:id w:val="-115522107"/>
      <w:docPartObj>
        <w:docPartGallery w:val="Page Numbers (Bottom of Page)"/>
        <w:docPartUnique/>
      </w:docPartObj>
    </w:sdtPr>
    <w:sdtContent>
      <w:p w14:paraId="6ACA5C96" w14:textId="75E4BCCE" w:rsidR="001D51D2" w:rsidRDefault="001D51D2" w:rsidP="00BD3D00">
        <w:pPr>
          <w:pStyle w:val="ab"/>
          <w:framePr w:wrap="none" w:vAnchor="text" w:hAnchor="margin" w:xAlign="right" w:y="1"/>
          <w:rPr>
            <w:rStyle w:val="ad"/>
          </w:rPr>
        </w:pPr>
        <w:r>
          <w:rPr>
            <w:rStyle w:val="ad"/>
          </w:rPr>
          <w:fldChar w:fldCharType="begin"/>
        </w:r>
        <w:r>
          <w:rPr>
            <w:rStyle w:val="ad"/>
          </w:rPr>
          <w:instrText xml:space="preserve"> PAGE </w:instrText>
        </w:r>
        <w:r>
          <w:rPr>
            <w:rStyle w:val="ad"/>
          </w:rPr>
          <w:fldChar w:fldCharType="separate"/>
        </w:r>
        <w:r>
          <w:rPr>
            <w:rStyle w:val="ad"/>
            <w:noProof/>
          </w:rPr>
          <w:t>1</w:t>
        </w:r>
        <w:r>
          <w:rPr>
            <w:rStyle w:val="ad"/>
          </w:rPr>
          <w:fldChar w:fldCharType="end"/>
        </w:r>
      </w:p>
    </w:sdtContent>
  </w:sdt>
  <w:p w14:paraId="63B9D26C" w14:textId="77777777" w:rsidR="001D51D2" w:rsidRDefault="001D51D2" w:rsidP="001D51D2">
    <w:pPr>
      <w:pStyle w:val="ab"/>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E5AFA" w14:textId="77777777" w:rsidR="00183D4B" w:rsidRDefault="00183D4B" w:rsidP="001D51D2">
      <w:r>
        <w:separator/>
      </w:r>
    </w:p>
  </w:footnote>
  <w:footnote w:type="continuationSeparator" w:id="0">
    <w:p w14:paraId="5C7B3B34" w14:textId="77777777" w:rsidR="00183D4B" w:rsidRDefault="00183D4B" w:rsidP="001D51D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proofState w:spelling="clean" w:grammar="clean"/>
  <w:defaultTabStop w:val="840"/>
  <w:drawingGridHorizontalSpacing w:val="12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92E"/>
    <w:rsid w:val="00010F11"/>
    <w:rsid w:val="00023F68"/>
    <w:rsid w:val="0004392E"/>
    <w:rsid w:val="00046A74"/>
    <w:rsid w:val="000621D5"/>
    <w:rsid w:val="000722BC"/>
    <w:rsid w:val="000815B7"/>
    <w:rsid w:val="00094559"/>
    <w:rsid w:val="000D574A"/>
    <w:rsid w:val="001111D2"/>
    <w:rsid w:val="0011319E"/>
    <w:rsid w:val="00117D2F"/>
    <w:rsid w:val="00121CE2"/>
    <w:rsid w:val="00127954"/>
    <w:rsid w:val="00137D71"/>
    <w:rsid w:val="0015039B"/>
    <w:rsid w:val="001700F6"/>
    <w:rsid w:val="00183D4B"/>
    <w:rsid w:val="001920EE"/>
    <w:rsid w:val="001A2CA6"/>
    <w:rsid w:val="001A6880"/>
    <w:rsid w:val="001C7E7D"/>
    <w:rsid w:val="001D0AB9"/>
    <w:rsid w:val="001D51D2"/>
    <w:rsid w:val="001E1E5A"/>
    <w:rsid w:val="001F0186"/>
    <w:rsid w:val="0021280C"/>
    <w:rsid w:val="00263326"/>
    <w:rsid w:val="00277180"/>
    <w:rsid w:val="0028627E"/>
    <w:rsid w:val="002B3226"/>
    <w:rsid w:val="002C2F30"/>
    <w:rsid w:val="002D05EA"/>
    <w:rsid w:val="003025AA"/>
    <w:rsid w:val="00367D4E"/>
    <w:rsid w:val="00381D27"/>
    <w:rsid w:val="00384831"/>
    <w:rsid w:val="00390758"/>
    <w:rsid w:val="00394367"/>
    <w:rsid w:val="003B5926"/>
    <w:rsid w:val="003C6667"/>
    <w:rsid w:val="003F037C"/>
    <w:rsid w:val="003F2A3D"/>
    <w:rsid w:val="00417268"/>
    <w:rsid w:val="00437F03"/>
    <w:rsid w:val="00441094"/>
    <w:rsid w:val="0047738E"/>
    <w:rsid w:val="00480315"/>
    <w:rsid w:val="004846D6"/>
    <w:rsid w:val="004A30FB"/>
    <w:rsid w:val="004B4D0D"/>
    <w:rsid w:val="005066A3"/>
    <w:rsid w:val="00513535"/>
    <w:rsid w:val="00516426"/>
    <w:rsid w:val="005437F9"/>
    <w:rsid w:val="00547DC1"/>
    <w:rsid w:val="00592D69"/>
    <w:rsid w:val="005A17C6"/>
    <w:rsid w:val="005C52BA"/>
    <w:rsid w:val="005E3172"/>
    <w:rsid w:val="005E37E7"/>
    <w:rsid w:val="005F64A9"/>
    <w:rsid w:val="00610459"/>
    <w:rsid w:val="00622FED"/>
    <w:rsid w:val="006546B4"/>
    <w:rsid w:val="00662329"/>
    <w:rsid w:val="00664F1A"/>
    <w:rsid w:val="00682D53"/>
    <w:rsid w:val="00696A17"/>
    <w:rsid w:val="006E2B26"/>
    <w:rsid w:val="006E5444"/>
    <w:rsid w:val="006F049A"/>
    <w:rsid w:val="00753CFD"/>
    <w:rsid w:val="00775DA7"/>
    <w:rsid w:val="00776354"/>
    <w:rsid w:val="007769D2"/>
    <w:rsid w:val="0079567C"/>
    <w:rsid w:val="00796C9F"/>
    <w:rsid w:val="007B099F"/>
    <w:rsid w:val="007B5E68"/>
    <w:rsid w:val="007B677B"/>
    <w:rsid w:val="007C4FD9"/>
    <w:rsid w:val="007F159A"/>
    <w:rsid w:val="0080104E"/>
    <w:rsid w:val="008020E3"/>
    <w:rsid w:val="008212D0"/>
    <w:rsid w:val="00822AE0"/>
    <w:rsid w:val="00835538"/>
    <w:rsid w:val="00835F5E"/>
    <w:rsid w:val="00837407"/>
    <w:rsid w:val="00845A1D"/>
    <w:rsid w:val="00871D72"/>
    <w:rsid w:val="0088035A"/>
    <w:rsid w:val="00897B66"/>
    <w:rsid w:val="008A53A0"/>
    <w:rsid w:val="008B3655"/>
    <w:rsid w:val="008D6E44"/>
    <w:rsid w:val="008E58D7"/>
    <w:rsid w:val="008E6B8B"/>
    <w:rsid w:val="008E6C34"/>
    <w:rsid w:val="008E7BF9"/>
    <w:rsid w:val="00911AFB"/>
    <w:rsid w:val="009156F2"/>
    <w:rsid w:val="00935E68"/>
    <w:rsid w:val="00961E61"/>
    <w:rsid w:val="00962F1C"/>
    <w:rsid w:val="00964EF4"/>
    <w:rsid w:val="00986A0A"/>
    <w:rsid w:val="009D092E"/>
    <w:rsid w:val="00A475E0"/>
    <w:rsid w:val="00A633BA"/>
    <w:rsid w:val="00A65A86"/>
    <w:rsid w:val="00A7435B"/>
    <w:rsid w:val="00A8218F"/>
    <w:rsid w:val="00A9183A"/>
    <w:rsid w:val="00A91C86"/>
    <w:rsid w:val="00AB0F6B"/>
    <w:rsid w:val="00AD3159"/>
    <w:rsid w:val="00B2597C"/>
    <w:rsid w:val="00B6638D"/>
    <w:rsid w:val="00B752EA"/>
    <w:rsid w:val="00BA6036"/>
    <w:rsid w:val="00C02759"/>
    <w:rsid w:val="00C23526"/>
    <w:rsid w:val="00C31821"/>
    <w:rsid w:val="00C737DA"/>
    <w:rsid w:val="00C931E6"/>
    <w:rsid w:val="00CB4A1C"/>
    <w:rsid w:val="00CC49BF"/>
    <w:rsid w:val="00CE3917"/>
    <w:rsid w:val="00CF1160"/>
    <w:rsid w:val="00D0644C"/>
    <w:rsid w:val="00D6099A"/>
    <w:rsid w:val="00DA264A"/>
    <w:rsid w:val="00DB3FA0"/>
    <w:rsid w:val="00DB4A8B"/>
    <w:rsid w:val="00DC45DC"/>
    <w:rsid w:val="00DD5DE0"/>
    <w:rsid w:val="00DE1B97"/>
    <w:rsid w:val="00DE3C57"/>
    <w:rsid w:val="00DE7588"/>
    <w:rsid w:val="00E077B2"/>
    <w:rsid w:val="00E203F1"/>
    <w:rsid w:val="00E55B76"/>
    <w:rsid w:val="00E650BA"/>
    <w:rsid w:val="00E77022"/>
    <w:rsid w:val="00EA111B"/>
    <w:rsid w:val="00EB617A"/>
    <w:rsid w:val="00EB6335"/>
    <w:rsid w:val="00EC01FD"/>
    <w:rsid w:val="00ED1F6D"/>
    <w:rsid w:val="00EE29CC"/>
    <w:rsid w:val="00EF2745"/>
    <w:rsid w:val="00F113BB"/>
    <w:rsid w:val="00F202F5"/>
    <w:rsid w:val="00F61335"/>
    <w:rsid w:val="00F77F75"/>
    <w:rsid w:val="00F94E62"/>
    <w:rsid w:val="00FC32C7"/>
    <w:rsid w:val="00FD013E"/>
    <w:rsid w:val="00FD5B9C"/>
    <w:rsid w:val="00FE45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85B57D5"/>
  <w15:chartTrackingRefBased/>
  <w15:docId w15:val="{745676BC-69FA-8747-9A0B-1E07EA73E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50BA"/>
    <w:rPr>
      <w:rFonts w:ascii="ＭＳ Ｐゴシック" w:eastAsia="ＭＳ Ｐゴシック" w:hAnsi="ＭＳ Ｐゴシック" w:cs="ＭＳ Ｐゴシック"/>
      <w:kern w:val="0"/>
      <w:sz w:val="24"/>
    </w:rPr>
  </w:style>
  <w:style w:type="paragraph" w:styleId="1">
    <w:name w:val="heading 1"/>
    <w:basedOn w:val="a"/>
    <w:next w:val="a"/>
    <w:link w:val="10"/>
    <w:uiPriority w:val="9"/>
    <w:qFormat/>
    <w:rsid w:val="0004392E"/>
    <w:pPr>
      <w:keepNext/>
      <w:keepLines/>
      <w:widowControl w:val="0"/>
      <w:spacing w:before="280" w:after="80"/>
      <w:jc w:val="both"/>
      <w:outlineLvl w:val="0"/>
    </w:pPr>
    <w:rPr>
      <w:rFonts w:asciiTheme="majorHAnsi" w:eastAsiaTheme="majorEastAsia" w:hAnsiTheme="majorHAnsi" w:cstheme="majorBidi"/>
      <w:color w:val="000000" w:themeColor="text1"/>
      <w:kern w:val="2"/>
      <w:sz w:val="32"/>
      <w:szCs w:val="32"/>
    </w:rPr>
  </w:style>
  <w:style w:type="paragraph" w:styleId="2">
    <w:name w:val="heading 2"/>
    <w:basedOn w:val="a"/>
    <w:next w:val="a"/>
    <w:link w:val="20"/>
    <w:uiPriority w:val="9"/>
    <w:semiHidden/>
    <w:unhideWhenUsed/>
    <w:qFormat/>
    <w:rsid w:val="0004392E"/>
    <w:pPr>
      <w:keepNext/>
      <w:keepLines/>
      <w:widowControl w:val="0"/>
      <w:spacing w:before="160" w:after="80"/>
      <w:jc w:val="both"/>
      <w:outlineLvl w:val="1"/>
    </w:pPr>
    <w:rPr>
      <w:rFonts w:asciiTheme="majorHAnsi" w:eastAsiaTheme="majorEastAsia" w:hAnsiTheme="majorHAnsi" w:cstheme="majorBidi"/>
      <w:color w:val="000000" w:themeColor="text1"/>
      <w:kern w:val="2"/>
      <w:sz w:val="28"/>
      <w:szCs w:val="28"/>
    </w:rPr>
  </w:style>
  <w:style w:type="paragraph" w:styleId="3">
    <w:name w:val="heading 3"/>
    <w:basedOn w:val="a"/>
    <w:next w:val="a"/>
    <w:link w:val="30"/>
    <w:uiPriority w:val="9"/>
    <w:semiHidden/>
    <w:unhideWhenUsed/>
    <w:qFormat/>
    <w:rsid w:val="0004392E"/>
    <w:pPr>
      <w:keepNext/>
      <w:keepLines/>
      <w:widowControl w:val="0"/>
      <w:spacing w:before="160" w:after="80"/>
      <w:jc w:val="both"/>
      <w:outlineLvl w:val="2"/>
    </w:pPr>
    <w:rPr>
      <w:rFonts w:asciiTheme="majorHAnsi" w:eastAsiaTheme="majorEastAsia" w:hAnsiTheme="majorHAnsi" w:cstheme="majorBidi"/>
      <w:color w:val="000000" w:themeColor="text1"/>
      <w:kern w:val="2"/>
    </w:rPr>
  </w:style>
  <w:style w:type="paragraph" w:styleId="4">
    <w:name w:val="heading 4"/>
    <w:basedOn w:val="a"/>
    <w:next w:val="a"/>
    <w:link w:val="40"/>
    <w:uiPriority w:val="9"/>
    <w:semiHidden/>
    <w:unhideWhenUsed/>
    <w:qFormat/>
    <w:rsid w:val="0004392E"/>
    <w:pPr>
      <w:keepNext/>
      <w:keepLines/>
      <w:widowControl w:val="0"/>
      <w:spacing w:before="80" w:after="40"/>
      <w:jc w:val="both"/>
      <w:outlineLvl w:val="3"/>
    </w:pPr>
    <w:rPr>
      <w:rFonts w:asciiTheme="majorHAnsi" w:eastAsiaTheme="majorEastAsia" w:hAnsiTheme="majorHAnsi" w:cstheme="majorBidi"/>
      <w:color w:val="000000" w:themeColor="text1"/>
      <w:kern w:val="2"/>
      <w:sz w:val="21"/>
    </w:rPr>
  </w:style>
  <w:style w:type="paragraph" w:styleId="5">
    <w:name w:val="heading 5"/>
    <w:basedOn w:val="a"/>
    <w:next w:val="a"/>
    <w:link w:val="50"/>
    <w:uiPriority w:val="9"/>
    <w:semiHidden/>
    <w:unhideWhenUsed/>
    <w:qFormat/>
    <w:rsid w:val="0004392E"/>
    <w:pPr>
      <w:keepNext/>
      <w:keepLines/>
      <w:widowControl w:val="0"/>
      <w:spacing w:before="80" w:after="40"/>
      <w:ind w:leftChars="100" w:left="100"/>
      <w:jc w:val="both"/>
      <w:outlineLvl w:val="4"/>
    </w:pPr>
    <w:rPr>
      <w:rFonts w:asciiTheme="majorHAnsi" w:eastAsiaTheme="majorEastAsia" w:hAnsiTheme="majorHAnsi" w:cstheme="majorBidi"/>
      <w:color w:val="000000" w:themeColor="text1"/>
      <w:kern w:val="2"/>
      <w:sz w:val="21"/>
    </w:rPr>
  </w:style>
  <w:style w:type="paragraph" w:styleId="6">
    <w:name w:val="heading 6"/>
    <w:basedOn w:val="a"/>
    <w:next w:val="a"/>
    <w:link w:val="60"/>
    <w:uiPriority w:val="9"/>
    <w:semiHidden/>
    <w:unhideWhenUsed/>
    <w:qFormat/>
    <w:rsid w:val="0004392E"/>
    <w:pPr>
      <w:keepNext/>
      <w:keepLines/>
      <w:widowControl w:val="0"/>
      <w:spacing w:before="80" w:after="40"/>
      <w:ind w:leftChars="200" w:left="200"/>
      <w:jc w:val="both"/>
      <w:outlineLvl w:val="5"/>
    </w:pPr>
    <w:rPr>
      <w:rFonts w:asciiTheme="majorHAnsi" w:eastAsiaTheme="majorEastAsia" w:hAnsiTheme="majorHAnsi" w:cstheme="majorBidi"/>
      <w:color w:val="000000" w:themeColor="text1"/>
      <w:kern w:val="2"/>
      <w:sz w:val="21"/>
    </w:rPr>
  </w:style>
  <w:style w:type="paragraph" w:styleId="7">
    <w:name w:val="heading 7"/>
    <w:basedOn w:val="a"/>
    <w:next w:val="a"/>
    <w:link w:val="70"/>
    <w:uiPriority w:val="9"/>
    <w:semiHidden/>
    <w:unhideWhenUsed/>
    <w:qFormat/>
    <w:rsid w:val="0004392E"/>
    <w:pPr>
      <w:keepNext/>
      <w:keepLines/>
      <w:widowControl w:val="0"/>
      <w:spacing w:before="80" w:after="40"/>
      <w:ind w:leftChars="300" w:left="300"/>
      <w:jc w:val="both"/>
      <w:outlineLvl w:val="6"/>
    </w:pPr>
    <w:rPr>
      <w:rFonts w:asciiTheme="majorHAnsi" w:eastAsiaTheme="majorEastAsia" w:hAnsiTheme="majorHAnsi" w:cstheme="majorBidi"/>
      <w:color w:val="000000" w:themeColor="text1"/>
      <w:kern w:val="2"/>
      <w:sz w:val="21"/>
    </w:rPr>
  </w:style>
  <w:style w:type="paragraph" w:styleId="8">
    <w:name w:val="heading 8"/>
    <w:basedOn w:val="a"/>
    <w:next w:val="a"/>
    <w:link w:val="80"/>
    <w:uiPriority w:val="9"/>
    <w:semiHidden/>
    <w:unhideWhenUsed/>
    <w:qFormat/>
    <w:rsid w:val="0004392E"/>
    <w:pPr>
      <w:keepNext/>
      <w:keepLines/>
      <w:widowControl w:val="0"/>
      <w:spacing w:before="80" w:after="40"/>
      <w:ind w:leftChars="400" w:left="400"/>
      <w:jc w:val="both"/>
      <w:outlineLvl w:val="7"/>
    </w:pPr>
    <w:rPr>
      <w:rFonts w:asciiTheme="majorHAnsi" w:eastAsiaTheme="majorEastAsia" w:hAnsiTheme="majorHAnsi" w:cstheme="majorBidi"/>
      <w:color w:val="000000" w:themeColor="text1"/>
      <w:kern w:val="2"/>
      <w:sz w:val="21"/>
    </w:rPr>
  </w:style>
  <w:style w:type="paragraph" w:styleId="9">
    <w:name w:val="heading 9"/>
    <w:basedOn w:val="a"/>
    <w:next w:val="a"/>
    <w:link w:val="90"/>
    <w:uiPriority w:val="9"/>
    <w:semiHidden/>
    <w:unhideWhenUsed/>
    <w:qFormat/>
    <w:rsid w:val="0004392E"/>
    <w:pPr>
      <w:keepNext/>
      <w:keepLines/>
      <w:widowControl w:val="0"/>
      <w:spacing w:before="80" w:after="40"/>
      <w:ind w:leftChars="500" w:left="500"/>
      <w:jc w:val="both"/>
      <w:outlineLvl w:val="8"/>
    </w:pPr>
    <w:rPr>
      <w:rFonts w:asciiTheme="majorHAnsi" w:eastAsiaTheme="majorEastAsia" w:hAnsiTheme="majorHAnsi" w:cstheme="majorBidi"/>
      <w:color w:val="000000" w:themeColor="text1"/>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4392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4392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4392E"/>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04392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4392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4392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4392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4392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4392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4392E"/>
    <w:pPr>
      <w:widowControl w:val="0"/>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4392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4392E"/>
    <w:pPr>
      <w:widowControl w:val="0"/>
      <w:numPr>
        <w:ilvl w:val="1"/>
      </w:numPr>
      <w:spacing w:after="160"/>
      <w:jc w:val="center"/>
    </w:pPr>
    <w:rPr>
      <w:rFonts w:asciiTheme="majorHAnsi" w:eastAsiaTheme="majorEastAsia" w:hAnsiTheme="majorHAnsi" w:cstheme="majorBidi"/>
      <w:color w:val="595959" w:themeColor="text1" w:themeTint="A6"/>
      <w:spacing w:val="15"/>
      <w:kern w:val="2"/>
      <w:sz w:val="28"/>
      <w:szCs w:val="28"/>
    </w:rPr>
  </w:style>
  <w:style w:type="character" w:customStyle="1" w:styleId="a6">
    <w:name w:val="副題 (文字)"/>
    <w:basedOn w:val="a0"/>
    <w:link w:val="a5"/>
    <w:uiPriority w:val="11"/>
    <w:rsid w:val="0004392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4392E"/>
    <w:pPr>
      <w:widowControl w:val="0"/>
      <w:spacing w:before="160" w:after="160"/>
      <w:jc w:val="center"/>
    </w:pPr>
    <w:rPr>
      <w:rFonts w:asciiTheme="minorHAnsi" w:eastAsiaTheme="minorEastAsia" w:hAnsiTheme="minorHAnsi" w:cstheme="minorBidi"/>
      <w:i/>
      <w:iCs/>
      <w:color w:val="404040" w:themeColor="text1" w:themeTint="BF"/>
      <w:kern w:val="2"/>
      <w:sz w:val="21"/>
    </w:rPr>
  </w:style>
  <w:style w:type="character" w:customStyle="1" w:styleId="a8">
    <w:name w:val="引用文 (文字)"/>
    <w:basedOn w:val="a0"/>
    <w:link w:val="a7"/>
    <w:uiPriority w:val="29"/>
    <w:rsid w:val="0004392E"/>
    <w:rPr>
      <w:i/>
      <w:iCs/>
      <w:color w:val="404040" w:themeColor="text1" w:themeTint="BF"/>
    </w:rPr>
  </w:style>
  <w:style w:type="paragraph" w:styleId="a9">
    <w:name w:val="List Paragraph"/>
    <w:basedOn w:val="a"/>
    <w:uiPriority w:val="34"/>
    <w:qFormat/>
    <w:rsid w:val="0004392E"/>
    <w:pPr>
      <w:widowControl w:val="0"/>
      <w:ind w:left="720"/>
      <w:contextualSpacing/>
      <w:jc w:val="both"/>
    </w:pPr>
    <w:rPr>
      <w:rFonts w:asciiTheme="minorHAnsi" w:eastAsiaTheme="minorEastAsia" w:hAnsiTheme="minorHAnsi" w:cstheme="minorBidi"/>
      <w:kern w:val="2"/>
      <w:sz w:val="21"/>
    </w:rPr>
  </w:style>
  <w:style w:type="character" w:styleId="21">
    <w:name w:val="Intense Emphasis"/>
    <w:basedOn w:val="a0"/>
    <w:uiPriority w:val="21"/>
    <w:qFormat/>
    <w:rsid w:val="0004392E"/>
    <w:rPr>
      <w:i/>
      <w:iCs/>
      <w:color w:val="0F4761" w:themeColor="accent1" w:themeShade="BF"/>
    </w:rPr>
  </w:style>
  <w:style w:type="paragraph" w:styleId="22">
    <w:name w:val="Intense Quote"/>
    <w:basedOn w:val="a"/>
    <w:next w:val="a"/>
    <w:link w:val="23"/>
    <w:uiPriority w:val="30"/>
    <w:qFormat/>
    <w:rsid w:val="0004392E"/>
    <w:pPr>
      <w:widowControl w:val="0"/>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EastAsia" w:hAnsiTheme="minorHAnsi" w:cstheme="minorBidi"/>
      <w:i/>
      <w:iCs/>
      <w:color w:val="0F4761" w:themeColor="accent1" w:themeShade="BF"/>
      <w:kern w:val="2"/>
      <w:sz w:val="21"/>
    </w:rPr>
  </w:style>
  <w:style w:type="character" w:customStyle="1" w:styleId="23">
    <w:name w:val="引用文 2 (文字)"/>
    <w:basedOn w:val="a0"/>
    <w:link w:val="22"/>
    <w:uiPriority w:val="30"/>
    <w:rsid w:val="0004392E"/>
    <w:rPr>
      <w:i/>
      <w:iCs/>
      <w:color w:val="0F4761" w:themeColor="accent1" w:themeShade="BF"/>
    </w:rPr>
  </w:style>
  <w:style w:type="character" w:styleId="24">
    <w:name w:val="Intense Reference"/>
    <w:basedOn w:val="a0"/>
    <w:uiPriority w:val="32"/>
    <w:qFormat/>
    <w:rsid w:val="0004392E"/>
    <w:rPr>
      <w:b/>
      <w:bCs/>
      <w:smallCaps/>
      <w:color w:val="0F4761" w:themeColor="accent1" w:themeShade="BF"/>
      <w:spacing w:val="5"/>
    </w:rPr>
  </w:style>
  <w:style w:type="character" w:styleId="aa">
    <w:name w:val="Placeholder Text"/>
    <w:basedOn w:val="a0"/>
    <w:uiPriority w:val="99"/>
    <w:semiHidden/>
    <w:rsid w:val="0004392E"/>
    <w:rPr>
      <w:color w:val="666666"/>
    </w:rPr>
  </w:style>
  <w:style w:type="paragraph" w:styleId="ab">
    <w:name w:val="footer"/>
    <w:basedOn w:val="a"/>
    <w:link w:val="ac"/>
    <w:uiPriority w:val="99"/>
    <w:unhideWhenUsed/>
    <w:rsid w:val="001D51D2"/>
    <w:pPr>
      <w:tabs>
        <w:tab w:val="center" w:pos="4252"/>
        <w:tab w:val="right" w:pos="8504"/>
      </w:tabs>
      <w:snapToGrid w:val="0"/>
    </w:pPr>
  </w:style>
  <w:style w:type="character" w:customStyle="1" w:styleId="ac">
    <w:name w:val="フッター (文字)"/>
    <w:basedOn w:val="a0"/>
    <w:link w:val="ab"/>
    <w:uiPriority w:val="99"/>
    <w:rsid w:val="001D51D2"/>
    <w:rPr>
      <w:rFonts w:ascii="ＭＳ Ｐゴシック" w:eastAsia="ＭＳ Ｐゴシック" w:hAnsi="ＭＳ Ｐゴシック" w:cs="ＭＳ Ｐゴシック"/>
      <w:kern w:val="0"/>
      <w:sz w:val="24"/>
    </w:rPr>
  </w:style>
  <w:style w:type="character" w:styleId="ad">
    <w:name w:val="page number"/>
    <w:basedOn w:val="a0"/>
    <w:uiPriority w:val="99"/>
    <w:semiHidden/>
    <w:unhideWhenUsed/>
    <w:rsid w:val="001D51D2"/>
  </w:style>
  <w:style w:type="character" w:styleId="ae">
    <w:name w:val="line number"/>
    <w:basedOn w:val="a0"/>
    <w:uiPriority w:val="99"/>
    <w:semiHidden/>
    <w:unhideWhenUsed/>
    <w:rsid w:val="001D51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8</Pages>
  <Words>1539</Words>
  <Characters>8774</Characters>
  <Application>Microsoft Office Word</Application>
  <DocSecurity>0</DocSecurity>
  <Lines>73</Lines>
  <Paragraphs>20</Paragraphs>
  <ScaleCrop>false</ScaleCrop>
  <Company/>
  <LinksUpToDate>false</LinksUpToDate>
  <CharactersWithSpaces>10293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河原　智樹</dc:creator>
  <cp:keywords/>
  <dc:description/>
  <cp:lastModifiedBy>河原　智樹</cp:lastModifiedBy>
  <cp:revision>4</cp:revision>
  <dcterms:created xsi:type="dcterms:W3CDTF">2026-02-16T06:11:00Z</dcterms:created>
  <dcterms:modified xsi:type="dcterms:W3CDTF">2026-02-16T06:54:00Z</dcterms:modified>
</cp:coreProperties>
</file>