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6C478" w14:textId="4A43CD76" w:rsidR="00660EB9" w:rsidRDefault="00294CA2" w:rsidP="00231B98">
      <w:pPr>
        <w:spacing w:line="480" w:lineRule="auto"/>
        <w:jc w:val="center"/>
        <w:rPr>
          <w:rFonts w:ascii="Times New Roman" w:hAnsi="Times New Roman" w:cs="Times New Roman"/>
          <w:b/>
          <w:bCs/>
          <w:sz w:val="24"/>
        </w:rPr>
      </w:pPr>
      <w:r w:rsidRPr="00294CA2">
        <w:rPr>
          <w:rFonts w:ascii="Times New Roman" w:hAnsi="Times New Roman" w:cs="Times New Roman"/>
          <w:b/>
          <w:bCs/>
          <w:sz w:val="24"/>
        </w:rPr>
        <w:t>Pre-pandemic social cohesion determined COVID-19 lockdown strategy but did not drive polarization</w:t>
      </w:r>
    </w:p>
    <w:p w14:paraId="431C72AA" w14:textId="07B4DC04" w:rsidR="00F44841" w:rsidRDefault="00F44841" w:rsidP="00F44841">
      <w:pPr>
        <w:spacing w:line="480" w:lineRule="auto"/>
        <w:jc w:val="center"/>
        <w:rPr>
          <w:rFonts w:ascii="Times New Roman" w:hAnsi="Times New Roman" w:cs="Times New Roman"/>
          <w:sz w:val="24"/>
        </w:rPr>
      </w:pPr>
      <w:r w:rsidRPr="00972DD0">
        <w:rPr>
          <w:rFonts w:ascii="Times New Roman" w:hAnsi="Times New Roman" w:cs="Times New Roman" w:hint="eastAsia"/>
          <w:sz w:val="24"/>
        </w:rPr>
        <w:t>T</w:t>
      </w:r>
      <w:r w:rsidRPr="00972DD0">
        <w:rPr>
          <w:rFonts w:ascii="Times New Roman" w:hAnsi="Times New Roman" w:cs="Times New Roman"/>
          <w:sz w:val="24"/>
        </w:rPr>
        <w:t>omoki Kawahara</w:t>
      </w:r>
      <w:r w:rsidRPr="0099231C">
        <w:rPr>
          <w:rFonts w:ascii="Times New Roman" w:hAnsi="Times New Roman" w:cs="Times New Roman"/>
          <w:sz w:val="24"/>
          <w:vertAlign w:val="superscript"/>
        </w:rPr>
        <w:t>1</w:t>
      </w:r>
      <w:r w:rsidR="003379E6">
        <w:rPr>
          <w:rFonts w:ascii="Times New Roman" w:hAnsi="Times New Roman" w:cs="Times New Roman"/>
          <w:sz w:val="24"/>
          <w:vertAlign w:val="superscript"/>
        </w:rPr>
        <w:t>, 2</w:t>
      </w:r>
      <w:r w:rsidRPr="00972DD0">
        <w:rPr>
          <w:rFonts w:ascii="Times New Roman" w:hAnsi="Times New Roman" w:cs="Times New Roman"/>
          <w:sz w:val="24"/>
        </w:rPr>
        <w:t xml:space="preserve">, </w:t>
      </w:r>
      <w:r w:rsidR="007F0CF3">
        <w:rPr>
          <w:rFonts w:ascii="Times New Roman" w:hAnsi="Times New Roman" w:cs="Times New Roman"/>
          <w:sz w:val="24"/>
        </w:rPr>
        <w:t>Takeo Fujiwara</w:t>
      </w:r>
      <w:r w:rsidR="007F0CF3" w:rsidRPr="007F0CF3">
        <w:rPr>
          <w:rFonts w:ascii="Times New Roman" w:hAnsi="Times New Roman" w:cs="Times New Roman"/>
          <w:sz w:val="24"/>
          <w:vertAlign w:val="superscript"/>
        </w:rPr>
        <w:t>2</w:t>
      </w:r>
    </w:p>
    <w:p w14:paraId="1A4086FC" w14:textId="5E09698B" w:rsidR="00C35FB2" w:rsidRPr="00972DD0" w:rsidRDefault="00C35FB2" w:rsidP="00F44841">
      <w:pPr>
        <w:spacing w:line="480" w:lineRule="auto"/>
        <w:jc w:val="center"/>
        <w:rPr>
          <w:rFonts w:ascii="Times New Roman" w:hAnsi="Times New Roman" w:cs="Times New Roman"/>
          <w:sz w:val="24"/>
        </w:rPr>
      </w:pPr>
      <w:r w:rsidRPr="00C35FB2">
        <w:rPr>
          <w:rFonts w:ascii="Times New Roman" w:hAnsi="Times New Roman" w:cs="Times New Roman"/>
          <w:sz w:val="24"/>
        </w:rPr>
        <w:t>Classification: Social Sciences (Major), Political Sciences (Minor)</w:t>
      </w:r>
    </w:p>
    <w:p w14:paraId="3567BCA0" w14:textId="77777777" w:rsidR="00F44841" w:rsidRDefault="00F44841" w:rsidP="00F44841">
      <w:pPr>
        <w:spacing w:line="480" w:lineRule="auto"/>
        <w:rPr>
          <w:rFonts w:ascii="Times New Roman" w:eastAsia="Times New Roman" w:hAnsi="Times New Roman" w:cs="Times New Roman"/>
          <w:sz w:val="24"/>
        </w:rPr>
      </w:pPr>
    </w:p>
    <w:p w14:paraId="33D5FE6D" w14:textId="42F4E04E" w:rsidR="00F44841" w:rsidRDefault="00F44841" w:rsidP="00F44841">
      <w:pPr>
        <w:spacing w:line="480" w:lineRule="auto"/>
        <w:rPr>
          <w:rFonts w:ascii="Times New Roman" w:hAnsi="Times New Roman" w:cs="Times New Roman"/>
          <w:sz w:val="24"/>
        </w:rPr>
      </w:pPr>
      <w:r w:rsidRPr="00972DD0">
        <w:rPr>
          <w:rFonts w:ascii="Times New Roman" w:hAnsi="Times New Roman" w:cs="Times New Roman" w:hint="eastAsia"/>
          <w:b/>
          <w:bCs/>
          <w:sz w:val="24"/>
        </w:rPr>
        <w:t>A</w:t>
      </w:r>
      <w:r w:rsidRPr="00972DD0">
        <w:rPr>
          <w:rFonts w:ascii="Times New Roman" w:hAnsi="Times New Roman" w:cs="Times New Roman"/>
          <w:b/>
          <w:bCs/>
          <w:sz w:val="24"/>
        </w:rPr>
        <w:t>ffiliations:</w:t>
      </w:r>
      <w:r w:rsidRPr="00972DD0">
        <w:rPr>
          <w:rFonts w:ascii="Times New Roman" w:hAnsi="Times New Roman" w:cs="Times New Roman"/>
          <w:sz w:val="24"/>
        </w:rPr>
        <w:t xml:space="preserve"> </w:t>
      </w:r>
      <w:r>
        <w:rPr>
          <w:rFonts w:ascii="Times New Roman" w:hAnsi="Times New Roman" w:cs="Times New Roman"/>
          <w:sz w:val="24"/>
        </w:rPr>
        <w:t xml:space="preserve">1: </w:t>
      </w:r>
      <w:r w:rsidRPr="00972DD0">
        <w:rPr>
          <w:rFonts w:ascii="Times New Roman" w:hAnsi="Times New Roman" w:cs="Times New Roman"/>
          <w:sz w:val="24"/>
        </w:rPr>
        <w:t xml:space="preserve">Department of </w:t>
      </w:r>
      <w:r>
        <w:rPr>
          <w:rFonts w:ascii="Times New Roman" w:hAnsi="Times New Roman" w:cs="Times New Roman"/>
          <w:sz w:val="24"/>
        </w:rPr>
        <w:t>Clinical Information Applied Sciences</w:t>
      </w:r>
      <w:r w:rsidRPr="00972DD0">
        <w:rPr>
          <w:rFonts w:ascii="Times New Roman" w:hAnsi="Times New Roman" w:cs="Times New Roman"/>
          <w:sz w:val="24"/>
        </w:rPr>
        <w:t xml:space="preserve">, </w:t>
      </w:r>
      <w:r>
        <w:rPr>
          <w:rFonts w:ascii="Times New Roman" w:hAnsi="Times New Roman" w:cs="Times New Roman"/>
          <w:sz w:val="24"/>
        </w:rPr>
        <w:t>Institute of Science Tokyo</w:t>
      </w:r>
      <w:r w:rsidRPr="00972DD0">
        <w:rPr>
          <w:rFonts w:ascii="Times New Roman" w:hAnsi="Times New Roman" w:cs="Times New Roman"/>
          <w:sz w:val="24"/>
        </w:rPr>
        <w:t>, Tokyo, Japan</w:t>
      </w:r>
      <w:r>
        <w:rPr>
          <w:rFonts w:ascii="Times New Roman" w:hAnsi="Times New Roman" w:cs="Times New Roman"/>
          <w:sz w:val="24"/>
        </w:rPr>
        <w:t xml:space="preserve">. 2: </w:t>
      </w:r>
      <w:r w:rsidRPr="00972DD0">
        <w:rPr>
          <w:rFonts w:ascii="Times New Roman" w:hAnsi="Times New Roman" w:cs="Times New Roman"/>
          <w:sz w:val="24"/>
        </w:rPr>
        <w:t xml:space="preserve">Department of </w:t>
      </w:r>
      <w:r>
        <w:rPr>
          <w:rFonts w:ascii="Times New Roman" w:hAnsi="Times New Roman" w:cs="Times New Roman"/>
          <w:sz w:val="24"/>
        </w:rPr>
        <w:t>Public</w:t>
      </w:r>
      <w:r w:rsidRPr="00972DD0">
        <w:rPr>
          <w:rFonts w:ascii="Times New Roman" w:hAnsi="Times New Roman" w:cs="Times New Roman"/>
          <w:sz w:val="24"/>
        </w:rPr>
        <w:t xml:space="preserve"> Health, </w:t>
      </w:r>
      <w:r>
        <w:rPr>
          <w:rFonts w:ascii="Times New Roman" w:hAnsi="Times New Roman" w:cs="Times New Roman"/>
          <w:sz w:val="24"/>
        </w:rPr>
        <w:t>Institute of Science Tokyo</w:t>
      </w:r>
      <w:r w:rsidRPr="00972DD0">
        <w:rPr>
          <w:rFonts w:ascii="Times New Roman" w:hAnsi="Times New Roman" w:cs="Times New Roman"/>
          <w:sz w:val="24"/>
        </w:rPr>
        <w:t>, Tokyo, Japan</w:t>
      </w:r>
      <w:r>
        <w:rPr>
          <w:rFonts w:ascii="Times New Roman" w:hAnsi="Times New Roman" w:cs="Times New Roman"/>
          <w:sz w:val="24"/>
        </w:rPr>
        <w:t>.</w:t>
      </w:r>
    </w:p>
    <w:p w14:paraId="112F2844" w14:textId="77777777" w:rsidR="00F44841" w:rsidRDefault="00F44841" w:rsidP="00F44841">
      <w:pPr>
        <w:spacing w:line="480" w:lineRule="auto"/>
        <w:rPr>
          <w:rFonts w:ascii="Times New Roman" w:hAnsi="Times New Roman" w:cs="Times New Roman"/>
          <w:sz w:val="24"/>
        </w:rPr>
      </w:pPr>
    </w:p>
    <w:p w14:paraId="3BEF7F76" w14:textId="40E3C1B3" w:rsidR="008641D3" w:rsidRPr="00AF7969" w:rsidRDefault="00F44841" w:rsidP="005C61C4">
      <w:pPr>
        <w:spacing w:line="480" w:lineRule="auto"/>
        <w:sectPr w:rsidR="008641D3" w:rsidRPr="00AF7969" w:rsidSect="00765611">
          <w:footerReference w:type="even" r:id="rId6"/>
          <w:footerReference w:type="default" r:id="rId7"/>
          <w:pgSz w:w="11906" w:h="16838"/>
          <w:pgMar w:top="1985" w:right="1701" w:bottom="1701" w:left="1701" w:header="851" w:footer="992" w:gutter="0"/>
          <w:lnNumType w:countBy="1" w:restart="continuous"/>
          <w:cols w:space="425"/>
          <w:docGrid w:type="lines" w:linePitch="360"/>
        </w:sectPr>
      </w:pPr>
      <w:r w:rsidRPr="00972DD0">
        <w:rPr>
          <w:rFonts w:ascii="Times New Roman" w:eastAsia="Times New Roman" w:hAnsi="Times New Roman" w:cs="Times New Roman"/>
          <w:b/>
          <w:sz w:val="24"/>
        </w:rPr>
        <w:t>Address Correspondence to:</w:t>
      </w:r>
      <w:r w:rsidRPr="00972DD0">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Tomoki Kawahara, Assistant Professor, Department of Public Health, Institute of Science Tokyo, </w:t>
      </w:r>
      <w:r w:rsidRPr="00E41ACB">
        <w:rPr>
          <w:rFonts w:ascii="Times New Roman" w:eastAsia="Times New Roman" w:hAnsi="Times New Roman" w:cs="Times New Roman"/>
          <w:sz w:val="24"/>
        </w:rPr>
        <w:t xml:space="preserve">1-5-45 </w:t>
      </w:r>
      <w:proofErr w:type="spellStart"/>
      <w:r w:rsidRPr="00E41ACB">
        <w:rPr>
          <w:rFonts w:ascii="Times New Roman" w:eastAsia="Times New Roman" w:hAnsi="Times New Roman" w:cs="Times New Roman"/>
          <w:sz w:val="24"/>
        </w:rPr>
        <w:t>Yushima</w:t>
      </w:r>
      <w:proofErr w:type="spellEnd"/>
      <w:r w:rsidRPr="00E41ACB">
        <w:rPr>
          <w:rFonts w:ascii="Times New Roman" w:eastAsia="Times New Roman" w:hAnsi="Times New Roman" w:cs="Times New Roman"/>
          <w:sz w:val="24"/>
        </w:rPr>
        <w:t>, Bunkyo-</w:t>
      </w:r>
      <w:proofErr w:type="spellStart"/>
      <w:r w:rsidRPr="00E41ACB">
        <w:rPr>
          <w:rFonts w:ascii="Times New Roman" w:eastAsia="Times New Roman" w:hAnsi="Times New Roman" w:cs="Times New Roman"/>
          <w:sz w:val="24"/>
        </w:rPr>
        <w:t>ku</w:t>
      </w:r>
      <w:proofErr w:type="spellEnd"/>
      <w:r w:rsidRPr="00E41ACB">
        <w:rPr>
          <w:rFonts w:ascii="Times New Roman" w:eastAsia="Times New Roman" w:hAnsi="Times New Roman" w:cs="Times New Roman"/>
          <w:sz w:val="24"/>
        </w:rPr>
        <w:t xml:space="preserve">, Tokyo, 113-8510, Japan. Tel. +81-3-5803-5187, Fax. +81-3-5803-5190, Email: </w:t>
      </w:r>
      <w:hyperlink r:id="rId8" w:history="1">
        <w:r w:rsidR="008641D3" w:rsidRPr="008641D3">
          <w:rPr>
            <w:rStyle w:val="aa"/>
            <w:rFonts w:ascii="Times New Roman" w:eastAsia="Times New Roman" w:hAnsi="Times New Roman" w:cs="Times New Roman"/>
            <w:sz w:val="24"/>
          </w:rPr>
          <w:t>aaagcuugggcu@gmail.com</w:t>
        </w:r>
      </w:hyperlink>
    </w:p>
    <w:p w14:paraId="21650EDD" w14:textId="7B78458B" w:rsidR="00660EB9" w:rsidRPr="00660EB9" w:rsidRDefault="00660EB9" w:rsidP="005C61C4">
      <w:pPr>
        <w:spacing w:line="480" w:lineRule="auto"/>
        <w:rPr>
          <w:rFonts w:ascii="Times New Roman" w:hAnsi="Times New Roman" w:cs="Times New Roman"/>
          <w:b/>
          <w:bCs/>
          <w:sz w:val="24"/>
        </w:rPr>
      </w:pPr>
      <w:r w:rsidRPr="00660EB9">
        <w:rPr>
          <w:rFonts w:ascii="Times New Roman" w:hAnsi="Times New Roman" w:cs="Times New Roman"/>
          <w:b/>
          <w:bCs/>
          <w:sz w:val="24"/>
        </w:rPr>
        <w:lastRenderedPageBreak/>
        <w:t>Abstract</w:t>
      </w:r>
    </w:p>
    <w:p w14:paraId="542A0B1D" w14:textId="13D4DD9D" w:rsidR="007F0CF3" w:rsidRPr="007F0CF3" w:rsidRDefault="007F0CF3" w:rsidP="005C61C4">
      <w:pPr>
        <w:spacing w:line="480" w:lineRule="auto"/>
        <w:rPr>
          <w:rFonts w:ascii="Times New Roman" w:hAnsi="Times New Roman" w:cs="Times New Roman"/>
          <w:sz w:val="24"/>
        </w:rPr>
        <w:sectPr w:rsidR="007F0CF3" w:rsidRPr="007F0CF3" w:rsidSect="00765611">
          <w:pgSz w:w="11906" w:h="16838"/>
          <w:pgMar w:top="1985" w:right="1701" w:bottom="1701" w:left="1701" w:header="851" w:footer="992" w:gutter="0"/>
          <w:lnNumType w:countBy="1" w:restart="continuous"/>
          <w:cols w:space="425"/>
          <w:docGrid w:type="lines" w:linePitch="360"/>
        </w:sectPr>
      </w:pPr>
      <w:r w:rsidRPr="007F0CF3">
        <w:rPr>
          <w:rFonts w:ascii="Times New Roman" w:hAnsi="Times New Roman" w:cs="Times New Roman"/>
          <w:sz w:val="24"/>
        </w:rPr>
        <w:t xml:space="preserve">Infectious disease outbreaks are theorized to drive societies toward authoritarianism and social division, yet it remains unclear whether political disruptions during the COVID-19 pandemic were caused by the biological threat or the restrictive policy response. Here we show that across 38 OECD nations, neither COVID-19 mortality nor lockdown stringency significantly predicted changes in social polarization between 2019 and 2024. Using a panel data analysis integrating V-Dem, EM-DAT, and </w:t>
      </w:r>
      <w:proofErr w:type="spellStart"/>
      <w:r w:rsidRPr="007F0CF3">
        <w:rPr>
          <w:rFonts w:ascii="Times New Roman" w:hAnsi="Times New Roman" w:cs="Times New Roman"/>
          <w:sz w:val="24"/>
        </w:rPr>
        <w:t>OxCGRT</w:t>
      </w:r>
      <w:proofErr w:type="spellEnd"/>
      <w:r w:rsidRPr="007F0CF3">
        <w:rPr>
          <w:rFonts w:ascii="Times New Roman" w:hAnsi="Times New Roman" w:cs="Times New Roman"/>
          <w:sz w:val="24"/>
        </w:rPr>
        <w:t xml:space="preserve"> datasets, we find that the trajectory of declining social cohesion was structural and pre-dated the pandemic. Instead of a causal effect of lockdowns on polarization, we identify a robust selection effect: pre-pandemic social cohesion was strongly negatively correlated with subsequent lockdown stringency (r = -0.51). Socially cohesive societies, such as Japan and the Nordic countries, achieved compliance through voluntary adaptation and adopted lighter restrictions, whereas polarized societies were compelled to rely on coercive mandates. These results challenge the narrative that pandemic response measures eroded democratic norms, suggesting instead that the capacity to govern without coercion is a function of pre-existing social capital.</w:t>
      </w:r>
    </w:p>
    <w:p w14:paraId="4F4F2CAA" w14:textId="77777777" w:rsidR="00361045" w:rsidRPr="00361045" w:rsidRDefault="00361045" w:rsidP="00361045">
      <w:pPr>
        <w:spacing w:line="480" w:lineRule="auto"/>
        <w:rPr>
          <w:rFonts w:ascii="Times New Roman" w:hAnsi="Times New Roman" w:cs="Times New Roman"/>
          <w:b/>
          <w:bCs/>
          <w:sz w:val="24"/>
        </w:rPr>
      </w:pPr>
      <w:r w:rsidRPr="00361045">
        <w:rPr>
          <w:rFonts w:ascii="Times New Roman" w:hAnsi="Times New Roman" w:cs="Times New Roman"/>
          <w:b/>
          <w:bCs/>
          <w:sz w:val="24"/>
        </w:rPr>
        <w:lastRenderedPageBreak/>
        <w:t>Significance Statement</w:t>
      </w:r>
    </w:p>
    <w:p w14:paraId="0403D395" w14:textId="77777777" w:rsidR="00361045" w:rsidRDefault="00361045" w:rsidP="00361045">
      <w:pPr>
        <w:spacing w:line="480" w:lineRule="auto"/>
        <w:rPr>
          <w:rFonts w:ascii="Times New Roman" w:hAnsi="Times New Roman" w:cs="Times New Roman"/>
          <w:sz w:val="24"/>
        </w:rPr>
      </w:pPr>
      <w:r w:rsidRPr="00361045">
        <w:rPr>
          <w:rFonts w:ascii="Times New Roman" w:hAnsi="Times New Roman" w:cs="Times New Roman"/>
          <w:sz w:val="24"/>
        </w:rPr>
        <w:t>The COVID-19 pandemic raised concerns that infectious disease threats and lockdown measures would drive societies toward authoritarianism and social polarization. Analyzing panel data from 38 OECD countries, we found no evidence that either COVID-19 mortality or lockdown stringency accelerated the pre-existing decline in social cohesion. Instead, we identified a powerful selection effect: pre-pandemic social cohesion determined the policy response. High-trust societies achieved compliance voluntarily with lenient policies, whereas polarized societies were structurally forced to implement coercive mandates. This demonstrates that pandemic governance is heavily constrained by pre-existing social capital. Our findings challenge the assumption that pandemic policies caused political division, showing instead that social infrastructure dictates a nation's capacity to navigate crises without coercion.</w:t>
      </w:r>
    </w:p>
    <w:p w14:paraId="7115FFB4" w14:textId="77777777" w:rsidR="00C35FB2" w:rsidRDefault="00C35FB2" w:rsidP="00361045">
      <w:pPr>
        <w:spacing w:line="480" w:lineRule="auto"/>
        <w:rPr>
          <w:rFonts w:ascii="Times New Roman" w:hAnsi="Times New Roman" w:cs="Times New Roman"/>
          <w:sz w:val="24"/>
        </w:rPr>
      </w:pPr>
    </w:p>
    <w:p w14:paraId="685D95CE" w14:textId="0F90CBB1" w:rsidR="00C35FB2" w:rsidRPr="00361045" w:rsidRDefault="00C35FB2" w:rsidP="00C61B02">
      <w:pPr>
        <w:spacing w:line="480" w:lineRule="auto"/>
        <w:rPr>
          <w:rFonts w:ascii="Times New Roman" w:hAnsi="Times New Roman" w:cs="Times New Roman"/>
          <w:sz w:val="24"/>
        </w:rPr>
        <w:sectPr w:rsidR="00C35FB2" w:rsidRPr="00361045" w:rsidSect="00765611">
          <w:pgSz w:w="11906" w:h="16838"/>
          <w:pgMar w:top="1985" w:right="1701" w:bottom="1701" w:left="1701" w:header="851" w:footer="992" w:gutter="0"/>
          <w:lnNumType w:countBy="1" w:restart="continuous"/>
          <w:cols w:space="425"/>
          <w:docGrid w:type="lines" w:linePitch="360"/>
        </w:sectPr>
      </w:pPr>
      <w:r w:rsidRPr="00C35FB2">
        <w:rPr>
          <w:rFonts w:ascii="Times New Roman" w:hAnsi="Times New Roman" w:cs="Times New Roman"/>
          <w:sz w:val="24"/>
        </w:rPr>
        <w:t>Keywords: COVID-19</w:t>
      </w:r>
      <w:r>
        <w:rPr>
          <w:rFonts w:ascii="Times New Roman" w:hAnsi="Times New Roman" w:cs="Times New Roman"/>
          <w:sz w:val="24"/>
        </w:rPr>
        <w:t>,</w:t>
      </w:r>
      <w:r w:rsidRPr="00C35FB2">
        <w:rPr>
          <w:rFonts w:ascii="Times New Roman" w:hAnsi="Times New Roman" w:cs="Times New Roman"/>
          <w:sz w:val="24"/>
        </w:rPr>
        <w:t xml:space="preserve"> social polarization</w:t>
      </w:r>
      <w:r>
        <w:rPr>
          <w:rFonts w:ascii="Times New Roman" w:hAnsi="Times New Roman" w:cs="Times New Roman"/>
          <w:sz w:val="24"/>
        </w:rPr>
        <w:t>,</w:t>
      </w:r>
      <w:r w:rsidRPr="00C35FB2">
        <w:rPr>
          <w:rFonts w:ascii="Times New Roman" w:hAnsi="Times New Roman" w:cs="Times New Roman"/>
          <w:sz w:val="24"/>
        </w:rPr>
        <w:t xml:space="preserve"> social cohesion</w:t>
      </w:r>
      <w:r>
        <w:rPr>
          <w:rFonts w:ascii="Times New Roman" w:hAnsi="Times New Roman" w:cs="Times New Roman"/>
          <w:sz w:val="24"/>
        </w:rPr>
        <w:t>,</w:t>
      </w:r>
      <w:r w:rsidRPr="00C35FB2">
        <w:rPr>
          <w:rFonts w:ascii="Times New Roman" w:hAnsi="Times New Roman" w:cs="Times New Roman"/>
          <w:sz w:val="24"/>
        </w:rPr>
        <w:t xml:space="preserve"> pandemic policy</w:t>
      </w:r>
      <w:r>
        <w:rPr>
          <w:rFonts w:ascii="Times New Roman" w:hAnsi="Times New Roman" w:cs="Times New Roman"/>
          <w:sz w:val="24"/>
        </w:rPr>
        <w:t>,</w:t>
      </w:r>
      <w:r w:rsidRPr="00C35FB2">
        <w:rPr>
          <w:rFonts w:ascii="Times New Roman" w:hAnsi="Times New Roman" w:cs="Times New Roman"/>
          <w:sz w:val="24"/>
        </w:rPr>
        <w:t xml:space="preserve"> V-Dem</w:t>
      </w:r>
    </w:p>
    <w:p w14:paraId="1A886110" w14:textId="5DA3339D" w:rsidR="005C61C4" w:rsidRPr="005C61C4" w:rsidRDefault="005C61C4" w:rsidP="005C61C4">
      <w:pPr>
        <w:spacing w:line="480" w:lineRule="auto"/>
        <w:rPr>
          <w:rFonts w:ascii="Times New Roman" w:hAnsi="Times New Roman" w:cs="Times New Roman"/>
          <w:b/>
          <w:bCs/>
          <w:sz w:val="24"/>
        </w:rPr>
      </w:pPr>
      <w:r w:rsidRPr="005C61C4">
        <w:rPr>
          <w:rFonts w:ascii="Times New Roman" w:hAnsi="Times New Roman" w:cs="Times New Roman"/>
          <w:b/>
          <w:bCs/>
          <w:sz w:val="24"/>
        </w:rPr>
        <w:lastRenderedPageBreak/>
        <w:t>Introduction</w:t>
      </w:r>
    </w:p>
    <w:p w14:paraId="39D539A3" w14:textId="6CB0AA50" w:rsidR="00AC5CA7" w:rsidRPr="00AC5CA7" w:rsidRDefault="00AC5CA7" w:rsidP="00AC5CA7">
      <w:pPr>
        <w:spacing w:line="480" w:lineRule="auto"/>
        <w:rPr>
          <w:rFonts w:ascii="Times New Roman" w:hAnsi="Times New Roman" w:cs="Times New Roman"/>
          <w:sz w:val="24"/>
        </w:rPr>
      </w:pPr>
      <w:r w:rsidRPr="00AC5CA7">
        <w:rPr>
          <w:rFonts w:ascii="Times New Roman" w:hAnsi="Times New Roman" w:cs="Times New Roman"/>
          <w:sz w:val="24"/>
        </w:rPr>
        <w:t>The relationship between infectious disease and political authoritarianism is among the most provocative hypotheses in evolutionary political psychology. The Parasite-Stress Theory of Values, advanced by Thornhill and Fincher (2014)</w:t>
      </w:r>
      <w:r w:rsidR="00C2607D">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PEVuZE5vdGU+PENpdGU+PEF1dGhvcj5UaG9ybmhpbGw8L0F1dGhvcj48WWVhcj4yMDE0PC9ZZWFy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w:t>
      </w:r>
      <w:r w:rsidR="00A64F3D">
        <w:rPr>
          <w:rFonts w:ascii="Times New Roman" w:hAnsi="Times New Roman" w:cs="Times New Roman"/>
          <w:sz w:val="24"/>
        </w:rPr>
        <w:fldChar w:fldCharType="end"/>
      </w:r>
      <w:r w:rsidRPr="00AC5CA7">
        <w:rPr>
          <w:rFonts w:ascii="Times New Roman" w:hAnsi="Times New Roman" w:cs="Times New Roman"/>
          <w:sz w:val="24"/>
        </w:rPr>
        <w:t>, posits that societies historically exposed to high pathogen prevalence develop stronger in-group conformity, reduced openness to outsiders, and greater deference to authority — behavioral adaptations that limit contagion at the cost of individual liberty. Cross-national evidence has been cited in support of this framework: regions with higher parasite stress tend to exhibit more authoritarian governance, greater ethnocentrism, and reduced interpersonal trust</w:t>
      </w:r>
      <w:r w:rsidR="00C2607D">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PEVuZE5vdGU+PENpdGU+PEF1dGhvcj5NdXJyYXk8L0F1dGhvcj48WWVhcj4yMDA5PC9ZZWFyPjxS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1,2</w:t>
      </w:r>
      <w:r w:rsidR="00A64F3D">
        <w:rPr>
          <w:rFonts w:ascii="Times New Roman" w:hAnsi="Times New Roman" w:cs="Times New Roman"/>
          <w:sz w:val="24"/>
        </w:rPr>
        <w:fldChar w:fldCharType="end"/>
      </w:r>
      <w:r w:rsidRPr="00AC5CA7">
        <w:rPr>
          <w:rFonts w:ascii="Times New Roman" w:hAnsi="Times New Roman" w:cs="Times New Roman"/>
          <w:sz w:val="24"/>
        </w:rPr>
        <w:t xml:space="preserve">. However, the theory has faced sustained methodological challenge. Hackman and Hruschka (2013) </w:t>
      </w:r>
      <w:r w:rsidR="00A64F3D">
        <w:rPr>
          <w:rFonts w:ascii="Times New Roman" w:hAnsi="Times New Roman" w:cs="Times New Roman"/>
          <w:sz w:val="24"/>
        </w:rPr>
        <w:fldChar w:fldCharType="begin">
          <w:fldData xml:space="preserve">PEVuZE5vdGU+PENpdGU+PEF1dGhvcj5DdXJyaWU8L0F1dGhvcj48WWVhcj4yMDEyPC9ZZWFyPjxS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3</w:t>
      </w:r>
      <w:r w:rsidR="00A64F3D">
        <w:rPr>
          <w:rFonts w:ascii="Times New Roman" w:hAnsi="Times New Roman" w:cs="Times New Roman"/>
          <w:sz w:val="24"/>
        </w:rPr>
        <w:fldChar w:fldCharType="end"/>
      </w:r>
      <w:r w:rsidR="00C2607D">
        <w:rPr>
          <w:rFonts w:ascii="Times New Roman" w:hAnsi="Times New Roman" w:cs="Times New Roman"/>
          <w:sz w:val="24"/>
        </w:rPr>
        <w:t xml:space="preserve"> </w:t>
      </w:r>
      <w:r w:rsidRPr="00AC5CA7">
        <w:rPr>
          <w:rFonts w:ascii="Times New Roman" w:hAnsi="Times New Roman" w:cs="Times New Roman"/>
          <w:sz w:val="24"/>
        </w:rPr>
        <w:t xml:space="preserve">demonstrated that the original statistical analyses do not withstand scrutiny when issues of non-independence and confounding are addressed. Pollet, </w:t>
      </w:r>
      <w:proofErr w:type="spellStart"/>
      <w:r w:rsidRPr="00AC5CA7">
        <w:rPr>
          <w:rFonts w:ascii="Times New Roman" w:hAnsi="Times New Roman" w:cs="Times New Roman"/>
          <w:sz w:val="24"/>
        </w:rPr>
        <w:t>Tybur</w:t>
      </w:r>
      <w:proofErr w:type="spellEnd"/>
      <w:r w:rsidRPr="00AC5CA7">
        <w:rPr>
          <w:rFonts w:ascii="Times New Roman" w:hAnsi="Times New Roman" w:cs="Times New Roman"/>
          <w:sz w:val="24"/>
        </w:rPr>
        <w:t xml:space="preserve">, Frankenhuis, and Rickard (2014) </w:t>
      </w:r>
      <w:r w:rsidR="00A64F3D">
        <w:rPr>
          <w:rFonts w:ascii="Times New Roman" w:hAnsi="Times New Roman" w:cs="Times New Roman"/>
          <w:sz w:val="24"/>
        </w:rPr>
        <w:fldChar w:fldCharType="begin">
          <w:fldData xml:space="preserve">PEVuZE5vdGU+PENpdGU+PEF1dGhvcj5Qb2xsZXQ8L0F1dGhvcj48WWVhcj4yMDE0PC9ZZWFyPjxS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4</w:t>
      </w:r>
      <w:r w:rsidR="00A64F3D">
        <w:rPr>
          <w:rFonts w:ascii="Times New Roman" w:hAnsi="Times New Roman" w:cs="Times New Roman"/>
          <w:sz w:val="24"/>
        </w:rPr>
        <w:fldChar w:fldCharType="end"/>
      </w:r>
      <w:r w:rsidR="00C2607D">
        <w:rPr>
          <w:rFonts w:ascii="Times New Roman" w:hAnsi="Times New Roman" w:cs="Times New Roman"/>
          <w:sz w:val="24"/>
        </w:rPr>
        <w:t xml:space="preserve"> </w:t>
      </w:r>
      <w:r w:rsidRPr="00AC5CA7">
        <w:rPr>
          <w:rFonts w:ascii="Times New Roman" w:hAnsi="Times New Roman" w:cs="Times New Roman"/>
          <w:sz w:val="24"/>
        </w:rPr>
        <w:t xml:space="preserve">warned that country-level correlations between pathogen prevalence and cultural values suffer from the ecological fallacy, with individual-level effects far weaker than aggregate patterns suggest. And </w:t>
      </w:r>
      <w:proofErr w:type="spellStart"/>
      <w:r w:rsidRPr="00AC5CA7">
        <w:rPr>
          <w:rFonts w:ascii="Times New Roman" w:hAnsi="Times New Roman" w:cs="Times New Roman"/>
          <w:sz w:val="24"/>
        </w:rPr>
        <w:t>Tybur</w:t>
      </w:r>
      <w:proofErr w:type="spellEnd"/>
      <w:r w:rsidRPr="00AC5CA7">
        <w:rPr>
          <w:rFonts w:ascii="Times New Roman" w:hAnsi="Times New Roman" w:cs="Times New Roman"/>
          <w:sz w:val="24"/>
        </w:rPr>
        <w:t xml:space="preserve"> et al. (2016)</w:t>
      </w:r>
      <w:r w:rsidR="00C2607D">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PEVuZE5vdGU+PENpdGU+PEF1dGhvcj5UeWJ1cjwvQXV0aG9yPjxZZWFyPjIwMTY8L1llYXI+PFJl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==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5</w:t>
      </w:r>
      <w:r w:rsidR="00A64F3D">
        <w:rPr>
          <w:rFonts w:ascii="Times New Roman" w:hAnsi="Times New Roman" w:cs="Times New Roman"/>
          <w:sz w:val="24"/>
        </w:rPr>
        <w:fldChar w:fldCharType="end"/>
      </w:r>
      <w:r w:rsidRPr="00AC5CA7">
        <w:rPr>
          <w:rFonts w:ascii="Times New Roman" w:hAnsi="Times New Roman" w:cs="Times New Roman"/>
          <w:sz w:val="24"/>
        </w:rPr>
        <w:t xml:space="preserve">, in a 30-nation study, found that pathogen avoidance relates specifically to sexual conservatism rather than to authoritarianism broadly — a far narrower effect than the theory predicts. Nevertheless, when COVID-19 emerged as a global pandemic in early </w:t>
      </w:r>
      <w:r w:rsidRPr="00AC5CA7">
        <w:rPr>
          <w:rFonts w:ascii="Times New Roman" w:hAnsi="Times New Roman" w:cs="Times New Roman"/>
          <w:sz w:val="24"/>
        </w:rPr>
        <w:lastRenderedPageBreak/>
        <w:t xml:space="preserve">2020, the theoretical priors of the parasite-stress framework generated a clear prediction. Scholars warned of an impending wave of "pandemic authoritarianism," in which fear of contagion would accelerate democratic backsliding worldwide </w:t>
      </w:r>
      <w:r w:rsidR="00A64F3D">
        <w:rPr>
          <w:rFonts w:ascii="Times New Roman" w:hAnsi="Times New Roman" w:cs="Times New Roman"/>
          <w:sz w:val="24"/>
        </w:rPr>
        <w:fldChar w:fldCharType="begin">
          <w:fldData xml:space="preserve">PEVuZE5vdGU+PENpdGU+PEF1dGhvcj5NYWVyejwvQXV0aG9yPjxZZWFyPjIwMjA8L1llYXI+PFJl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6,7</w:t>
      </w:r>
      <w:r w:rsidR="00A64F3D">
        <w:rPr>
          <w:rFonts w:ascii="Times New Roman" w:hAnsi="Times New Roman" w:cs="Times New Roman"/>
          <w:sz w:val="24"/>
        </w:rPr>
        <w:fldChar w:fldCharType="end"/>
      </w:r>
      <w:r w:rsidRPr="00AC5CA7">
        <w:rPr>
          <w:rFonts w:ascii="Times New Roman" w:hAnsi="Times New Roman" w:cs="Times New Roman"/>
          <w:sz w:val="24"/>
        </w:rPr>
        <w:t xml:space="preserve">. The ingredients appeared to be in place: emergency powers were invoked across democracies, civil liberties were curtailed, and executive discretion expanded with minimal legislative oversight </w:t>
      </w:r>
      <w:r w:rsidR="00A64F3D">
        <w:rPr>
          <w:rFonts w:ascii="Times New Roman" w:hAnsi="Times New Roman" w:cs="Times New Roman"/>
          <w:sz w:val="24"/>
        </w:rPr>
        <w:fldChar w:fldCharType="begin">
          <w:fldData xml:space="preserve">PEVuZE5vdGU+PENpdGU+PEF1dGhvcj5FZGdlbGw8L0F1dGhvcj48WWVhcj4yMDIxPC9ZZWFyPjxS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8</w:t>
      </w:r>
      <w:r w:rsidR="00A64F3D">
        <w:rPr>
          <w:rFonts w:ascii="Times New Roman" w:hAnsi="Times New Roman" w:cs="Times New Roman"/>
          <w:sz w:val="24"/>
        </w:rPr>
        <w:fldChar w:fldCharType="end"/>
      </w:r>
      <w:r w:rsidRPr="00AC5CA7">
        <w:rPr>
          <w:rFonts w:ascii="Times New Roman" w:hAnsi="Times New Roman" w:cs="Times New Roman"/>
          <w:sz w:val="24"/>
        </w:rPr>
        <w:t xml:space="preserve">. Freedom House reported that democracy had declined for the fifteenth consecutive year, with pandemic-related restrictions compounding existing authoritarian pressures </w:t>
      </w:r>
      <w:r w:rsidR="00A64F3D">
        <w:rPr>
          <w:rFonts w:ascii="Times New Roman" w:hAnsi="Times New Roman" w:cs="Times New Roman"/>
          <w:sz w:val="24"/>
        </w:rPr>
        <w:fldChar w:fldCharType="begin">
          <w:fldData xml:space="preserve">PEVuZE5vdGU+PENpdGU+PEF1dGhvcj5SZXB1Y2NpPC9BdXRob3I+PFllYXI+MjAyMTwvWWVhcj48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9</w:t>
      </w:r>
      <w:r w:rsidR="00A64F3D">
        <w:rPr>
          <w:rFonts w:ascii="Times New Roman" w:hAnsi="Times New Roman" w:cs="Times New Roman"/>
          <w:sz w:val="24"/>
        </w:rPr>
        <w:fldChar w:fldCharType="end"/>
      </w:r>
      <w:r w:rsidRPr="00AC5CA7">
        <w:rPr>
          <w:rFonts w:ascii="Times New Roman" w:hAnsi="Times New Roman" w:cs="Times New Roman"/>
          <w:sz w:val="24"/>
        </w:rPr>
        <w:t>.</w:t>
      </w:r>
    </w:p>
    <w:p w14:paraId="5BF8875E" w14:textId="15CD2A77"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Yet the experience of advanced democracies complicates this narrative. Among OECD nations — where institutional safeguards are robust and democratic norms are deeply embedded — the pandemic did not produce the authoritarian consolidation that the parasite-stress framework might have predicted. Democratic backsliding in the developed world was already a subject of scholarly concern before COVID-19, driven by populist mobilization, affective polarization, and declining trust in institutions </w:t>
      </w:r>
      <w:r w:rsidR="00A64F3D">
        <w:rPr>
          <w:rFonts w:ascii="Times New Roman" w:hAnsi="Times New Roman" w:cs="Times New Roman"/>
          <w:sz w:val="24"/>
        </w:rPr>
        <w:fldChar w:fldCharType="begin">
          <w:fldData xml:space="preserve">PEVuZE5vdGU+PENpdGU+PEF1dGhvcj5MZXZpdHNreTwvQXV0aG9yPjxZZWFyPjIwMTg8L1llYXI+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10,11</w:t>
      </w:r>
      <w:r w:rsidR="00A64F3D">
        <w:rPr>
          <w:rFonts w:ascii="Times New Roman" w:hAnsi="Times New Roman" w:cs="Times New Roman"/>
          <w:sz w:val="24"/>
        </w:rPr>
        <w:fldChar w:fldCharType="end"/>
      </w:r>
      <w:r w:rsidRPr="00AC5CA7">
        <w:rPr>
          <w:rFonts w:ascii="Times New Roman" w:hAnsi="Times New Roman" w:cs="Times New Roman"/>
          <w:sz w:val="24"/>
        </w:rPr>
        <w:t xml:space="preserve">. Affective polarization — the tendency to view political opponents with hostility independent of policy disagreement — had been rising across Western democracies since the 1980s </w:t>
      </w:r>
      <w:r w:rsidR="00A64F3D">
        <w:rPr>
          <w:rFonts w:ascii="Times New Roman" w:hAnsi="Times New Roman" w:cs="Times New Roman"/>
          <w:sz w:val="24"/>
        </w:rPr>
        <w:fldChar w:fldCharType="begin">
          <w:fldData xml:space="preserve">PEVuZE5vdGU+PENpdGU+PEF1dGhvcj5JeWVuZ2FyPC9BdXRob3I+PFllYXI+MjAxOTwvWWVhcj48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12</w:t>
      </w:r>
      <w:r w:rsidR="00A64F3D">
        <w:rPr>
          <w:rFonts w:ascii="Times New Roman" w:hAnsi="Times New Roman" w:cs="Times New Roman"/>
          <w:sz w:val="24"/>
        </w:rPr>
        <w:fldChar w:fldCharType="end"/>
      </w:r>
      <w:r w:rsidRPr="00AC5CA7">
        <w:rPr>
          <w:rFonts w:ascii="Times New Roman" w:hAnsi="Times New Roman" w:cs="Times New Roman"/>
          <w:sz w:val="24"/>
        </w:rPr>
        <w:t xml:space="preserve">, and Boxell, Gentzkow, and Shapiro </w:t>
      </w:r>
      <w:r w:rsidR="00A64F3D">
        <w:rPr>
          <w:rFonts w:ascii="Times New Roman" w:hAnsi="Times New Roman" w:cs="Times New Roman"/>
          <w:sz w:val="24"/>
        </w:rPr>
        <w:fldChar w:fldCharType="begin">
          <w:fldData xml:space="preserve">PEVuZE5vdGU+PENpdGU+PEF1dGhvcj5Cb3hlbGw8L0F1dGhvcj48WWVhcj4yMDI0PC9ZZWFyPjxS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13</w:t>
      </w:r>
      <w:r w:rsidR="00A64F3D">
        <w:rPr>
          <w:rFonts w:ascii="Times New Roman" w:hAnsi="Times New Roman" w:cs="Times New Roman"/>
          <w:sz w:val="24"/>
        </w:rPr>
        <w:fldChar w:fldCharType="end"/>
      </w:r>
      <w:r w:rsidRPr="00AC5CA7">
        <w:rPr>
          <w:rFonts w:ascii="Times New Roman" w:hAnsi="Times New Roman" w:cs="Times New Roman"/>
          <w:sz w:val="24"/>
        </w:rPr>
        <w:t xml:space="preserve"> documented its cross-country spread across twelve OECD nations over decades, establishing it as a structural phenomenon </w:t>
      </w:r>
      <w:r w:rsidRPr="00AC5CA7">
        <w:rPr>
          <w:rFonts w:ascii="Times New Roman" w:hAnsi="Times New Roman" w:cs="Times New Roman"/>
          <w:sz w:val="24"/>
        </w:rPr>
        <w:lastRenderedPageBreak/>
        <w:t>long predating the pandemic. The pandemic intersected with these pre-existing trends, but whether it independently accelerated them remains an open empirical question. More precisely: was it the biological threat — the fear of illness and death — that eroded democratic norms? Or was it the policy response — the imposition of lockdowns, curfews, and mandates — that deepened social divisions?</w:t>
      </w:r>
    </w:p>
    <w:p w14:paraId="5F706000" w14:textId="16E17863"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This distinction is consequential but rarely operationalized. Much of the existing literature on COVID-19 and democracy treats the virus and the response as a single exogenous shock, examining composite indices of "pandemic impact" without disentangling mortality from mitigation </w:t>
      </w:r>
      <w:r w:rsidR="00A64F3D">
        <w:rPr>
          <w:rFonts w:ascii="Times New Roman" w:hAnsi="Times New Roman" w:cs="Times New Roman"/>
          <w:sz w:val="24"/>
        </w:rPr>
        <w:fldChar w:fldCharType="begin">
          <w:fldData xml:space="preserve">PEVuZE5vdGU+PENpdGU+PEF1dGhvcj5Mw7xocm1hbm48L0F1dGhvcj48WWVhcj4yMDE5PC9ZZWFy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6,14</w:t>
      </w:r>
      <w:r w:rsidR="00A64F3D">
        <w:rPr>
          <w:rFonts w:ascii="Times New Roman" w:hAnsi="Times New Roman" w:cs="Times New Roman"/>
          <w:sz w:val="24"/>
        </w:rPr>
        <w:fldChar w:fldCharType="end"/>
      </w:r>
      <w:r w:rsidRPr="00AC5CA7">
        <w:rPr>
          <w:rFonts w:ascii="Times New Roman" w:hAnsi="Times New Roman" w:cs="Times New Roman"/>
          <w:sz w:val="24"/>
        </w:rPr>
        <w:t xml:space="preserve">. Studies that do differentiate between the two tend to focus on individual-level survey data — attitudes toward democracy, trust in government, compliance behavior </w:t>
      </w:r>
      <w:r w:rsidR="00A64F3D">
        <w:rPr>
          <w:rFonts w:ascii="Times New Roman" w:hAnsi="Times New Roman" w:cs="Times New Roman"/>
          <w:sz w:val="24"/>
        </w:rPr>
        <w:fldChar w:fldCharType="begin">
          <w:fldData xml:space="preserve">PEVuZE5vdGU+PENpdGU+PEF1dGhvcj5CYXZlbDwvQXV0aG9yPjxZZWFyPjIwMjA8L1llYXI+PFJl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==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15</w:t>
      </w:r>
      <w:r w:rsidR="00A64F3D">
        <w:rPr>
          <w:rFonts w:ascii="Times New Roman" w:hAnsi="Times New Roman" w:cs="Times New Roman"/>
          <w:sz w:val="24"/>
        </w:rPr>
        <w:fldChar w:fldCharType="end"/>
      </w:r>
      <w:r w:rsidRPr="00AC5CA7">
        <w:rPr>
          <w:rFonts w:ascii="Times New Roman" w:hAnsi="Times New Roman" w:cs="Times New Roman"/>
          <w:sz w:val="24"/>
        </w:rPr>
        <w:t xml:space="preserve"> — rather than on country-level institutional and social outcomes measured longitudinally. A rigorous panel analysis that separately estimates the effects of pathogen exposure (mortality) and policy coercion (lockdown stringency) on democratic and social outcomes across high-income democracies remains, to our knowledge, absent from the literature.</w:t>
      </w:r>
    </w:p>
    <w:p w14:paraId="613CAFD5" w14:textId="6BADA6E9" w:rsidR="00AC5CA7" w:rsidRPr="00AC5CA7"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This paper addresses that gap. Drawing on panel data from 38 OECD countries over the period 2019–2024, we integrate three datasets: the Varieties of Democracy Project </w:t>
      </w:r>
      <w:r w:rsidR="00A64F3D">
        <w:rPr>
          <w:rFonts w:ascii="Times New Roman" w:hAnsi="Times New Roman" w:cs="Times New Roman"/>
          <w:sz w:val="24"/>
        </w:rPr>
        <w:fldChar w:fldCharType="begin">
          <w:fldData xml:space="preserve">PEVuZE5vdGU+PENpdGU+PEF1dGhvcj5Db3BwZWRnZTwvQXV0aG9yPjxZZWFyPjIwMjU8L1llYXI+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16</w:t>
      </w:r>
      <w:r w:rsidR="00A64F3D">
        <w:rPr>
          <w:rFonts w:ascii="Times New Roman" w:hAnsi="Times New Roman" w:cs="Times New Roman"/>
          <w:sz w:val="24"/>
        </w:rPr>
        <w:fldChar w:fldCharType="end"/>
      </w:r>
      <w:r w:rsidRPr="00AC5CA7">
        <w:rPr>
          <w:rFonts w:ascii="Times New Roman" w:hAnsi="Times New Roman" w:cs="Times New Roman"/>
          <w:sz w:val="24"/>
        </w:rPr>
        <w:t xml:space="preserve"> for democratic governance and social polarization indicators; the EM-DAT </w:t>
      </w:r>
      <w:r w:rsidRPr="00AC5CA7">
        <w:rPr>
          <w:rFonts w:ascii="Times New Roman" w:hAnsi="Times New Roman" w:cs="Times New Roman"/>
          <w:sz w:val="24"/>
        </w:rPr>
        <w:lastRenderedPageBreak/>
        <w:t xml:space="preserve">International Disaster Database </w:t>
      </w:r>
      <w:r w:rsidR="00A64F3D">
        <w:rPr>
          <w:rFonts w:ascii="Times New Roman" w:hAnsi="Times New Roman" w:cs="Times New Roman"/>
          <w:sz w:val="24"/>
        </w:rPr>
        <w:fldChar w:fldCharType="begin">
          <w:fldData xml:space="preserve">PEVuZE5vdGU+PENpdGU+PEF1dGhvcj5HdWhhLVNhcGlyPC9BdXRob3I+PFllYXI+MjAyNTwvWWVh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17</w:t>
      </w:r>
      <w:r w:rsidR="00A64F3D">
        <w:rPr>
          <w:rFonts w:ascii="Times New Roman" w:hAnsi="Times New Roman" w:cs="Times New Roman"/>
          <w:sz w:val="24"/>
        </w:rPr>
        <w:fldChar w:fldCharType="end"/>
      </w:r>
      <w:r w:rsidRPr="00AC5CA7">
        <w:rPr>
          <w:rFonts w:ascii="Times New Roman" w:hAnsi="Times New Roman" w:cs="Times New Roman"/>
          <w:sz w:val="24"/>
        </w:rPr>
        <w:t xml:space="preserve"> for historical epidemic exposure; and the Oxford COVID-19 Government Response Tracker </w:t>
      </w:r>
      <w:r w:rsidR="00A64F3D">
        <w:rPr>
          <w:rFonts w:ascii="Times New Roman" w:hAnsi="Times New Roman" w:cs="Times New Roman"/>
          <w:sz w:val="24"/>
        </w:rPr>
        <w:fldChar w:fldCharType="begin">
          <w:fldData xml:space="preserve">PEVuZE5vdGU+PENpdGU+PEF1dGhvcj5IYWxlPC9BdXRob3I+PFllYXI+MjAyMTwvWWVhcj48UmVj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18</w:t>
      </w:r>
      <w:r w:rsidR="00A64F3D">
        <w:rPr>
          <w:rFonts w:ascii="Times New Roman" w:hAnsi="Times New Roman" w:cs="Times New Roman"/>
          <w:sz w:val="24"/>
        </w:rPr>
        <w:fldChar w:fldCharType="end"/>
      </w:r>
      <w:r w:rsidRPr="00AC5CA7">
        <w:rPr>
          <w:rFonts w:ascii="Times New Roman" w:hAnsi="Times New Roman" w:cs="Times New Roman"/>
          <w:sz w:val="24"/>
        </w:rPr>
        <w:t xml:space="preserve"> for mortality and lockdown stringency measures obtained via Our World in Data </w:t>
      </w:r>
      <w:r w:rsidR="00A64F3D">
        <w:rPr>
          <w:rFonts w:ascii="Times New Roman" w:hAnsi="Times New Roman" w:cs="Times New Roman"/>
          <w:sz w:val="24"/>
        </w:rPr>
        <w:fldChar w:fldCharType="begin">
          <w:fldData xml:space="preserve">PEVuZE5vdGU+PENpdGU+PEF1dGhvcj5IYWxlPC9BdXRob3I+PFllYXI+MjAyMTwvWWVhcj48UmVj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18</w:t>
      </w:r>
      <w:r w:rsidR="00A64F3D">
        <w:rPr>
          <w:rFonts w:ascii="Times New Roman" w:hAnsi="Times New Roman" w:cs="Times New Roman"/>
          <w:sz w:val="24"/>
        </w:rPr>
        <w:fldChar w:fldCharType="end"/>
      </w:r>
      <w:r w:rsidRPr="00AC5CA7">
        <w:rPr>
          <w:rFonts w:ascii="Times New Roman" w:hAnsi="Times New Roman" w:cs="Times New Roman"/>
          <w:sz w:val="24"/>
        </w:rPr>
        <w:t>. Using two-way fixed-effects models with first-differenced outcomes and clustered standard errors, we separately estimate the effects of COVID-19 mortality and lockdown stringency on changes in social polarization.</w:t>
      </w:r>
    </w:p>
    <w:p w14:paraId="4FF66E28" w14:textId="7C494035" w:rsidR="005C61C4" w:rsidRPr="005C61C4" w:rsidRDefault="00AC5CA7" w:rsidP="00AC5CA7">
      <w:pPr>
        <w:spacing w:line="480" w:lineRule="auto"/>
        <w:rPr>
          <w:rFonts w:ascii="Times New Roman" w:hAnsi="Times New Roman" w:cs="Times New Roman"/>
          <w:sz w:val="24"/>
        </w:rPr>
      </w:pPr>
      <w:r>
        <w:rPr>
          <w:rFonts w:ascii="Times New Roman" w:hAnsi="Times New Roman" w:cs="Times New Roman"/>
          <w:sz w:val="24"/>
        </w:rPr>
        <w:tab/>
      </w:r>
      <w:r w:rsidRPr="00AC5CA7">
        <w:rPr>
          <w:rFonts w:ascii="Times New Roman" w:hAnsi="Times New Roman" w:cs="Times New Roman"/>
          <w:sz w:val="24"/>
        </w:rPr>
        <w:t xml:space="preserve">Our findings reveal a double null result and a selection effect. First, COVID-19 mortality — the proximate operationalization of pathogen-driven fear — does not predict changes in social polarization across OECD nations. The parasite-stress mechanism, whatever its validity over evolutionary timescales, does not appear to operate through pandemic mortality in contemporary developed democracies. Second, lockdown stringency does not predict increased polarization either; the coefficient is negative and non-significant, inconsistent with the claim that coercive pandemic governance deepened social divisions. Third, and most critically, we demonstrate that pre-pandemic social cohesion — measured by V-Dem's social polarization index in 2019 — was strongly negatively correlated with subsequent lockdown stringency (r = </w:t>
      </w:r>
      <w:r w:rsidRPr="00AC5CA7">
        <w:rPr>
          <w:rFonts w:ascii="Times New Roman" w:hAnsi="Times New Roman" w:cs="Times New Roman" w:hint="eastAsia"/>
          <w:sz w:val="24"/>
        </w:rPr>
        <w:t>−</w:t>
      </w:r>
      <w:r w:rsidRPr="00AC5CA7">
        <w:rPr>
          <w:rFonts w:ascii="Times New Roman" w:hAnsi="Times New Roman" w:cs="Times New Roman"/>
          <w:sz w:val="24"/>
        </w:rPr>
        <w:t xml:space="preserve">0.51, p = 0.001). Societies with high pre-existing cohesion, notably the Nordic countries and Japan, achieved pandemic compliance through voluntary behavioral adaptation, requiring minimal legal coercion. Societies with low cohesion, including the United States, Italy, </w:t>
      </w:r>
      <w:r w:rsidRPr="00AC5CA7">
        <w:rPr>
          <w:rFonts w:ascii="Times New Roman" w:hAnsi="Times New Roman" w:cs="Times New Roman"/>
          <w:sz w:val="24"/>
        </w:rPr>
        <w:lastRenderedPageBreak/>
        <w:t>and Chile, were compelled to substitute trust with mandates. Lockdown stringency was not a cause of polarization; it was a consequence of it.</w:t>
      </w:r>
    </w:p>
    <w:p w14:paraId="253AF32E" w14:textId="77777777" w:rsidR="00C54355" w:rsidRDefault="00C54355" w:rsidP="00C54355">
      <w:pPr>
        <w:spacing w:line="480" w:lineRule="auto"/>
        <w:rPr>
          <w:rFonts w:ascii="Times New Roman" w:hAnsi="Times New Roman" w:cs="Times New Roman"/>
          <w:sz w:val="24"/>
        </w:rPr>
      </w:pPr>
    </w:p>
    <w:p w14:paraId="7CA71E9C" w14:textId="5E628FBA" w:rsidR="00AF7969" w:rsidRDefault="00AF7969" w:rsidP="008C5A01">
      <w:pPr>
        <w:spacing w:line="480" w:lineRule="auto"/>
        <w:rPr>
          <w:rFonts w:ascii="Times New Roman" w:hAnsi="Times New Roman" w:cs="Times New Roman"/>
          <w:sz w:val="24"/>
        </w:rPr>
      </w:pPr>
    </w:p>
    <w:p w14:paraId="339E4B83" w14:textId="77777777" w:rsidR="008C5A01" w:rsidRDefault="008C5A01" w:rsidP="008C5A01">
      <w:pPr>
        <w:spacing w:line="480" w:lineRule="auto"/>
        <w:rPr>
          <w:rFonts w:ascii="Times New Roman" w:hAnsi="Times New Roman" w:cs="Times New Roman"/>
          <w:sz w:val="24"/>
        </w:rPr>
      </w:pPr>
    </w:p>
    <w:p w14:paraId="71FF41F5" w14:textId="5AC3AC0B" w:rsidR="008C5A01" w:rsidRPr="008C5A01" w:rsidRDefault="008C5A01" w:rsidP="008C5A01">
      <w:pPr>
        <w:spacing w:line="480" w:lineRule="auto"/>
        <w:rPr>
          <w:rFonts w:ascii="Times New Roman" w:hAnsi="Times New Roman" w:cs="Times New Roman"/>
          <w:b/>
          <w:bCs/>
          <w:sz w:val="24"/>
        </w:rPr>
      </w:pPr>
      <w:r w:rsidRPr="008C5A01">
        <w:rPr>
          <w:rFonts w:ascii="Times New Roman" w:hAnsi="Times New Roman" w:cs="Times New Roman"/>
          <w:b/>
          <w:bCs/>
          <w:sz w:val="24"/>
        </w:rPr>
        <w:t>Results</w:t>
      </w:r>
    </w:p>
    <w:p w14:paraId="6F30FE0D" w14:textId="20B602CC" w:rsidR="00BA603E" w:rsidRPr="00BA603E" w:rsidRDefault="00BA603E" w:rsidP="00BA603E">
      <w:pPr>
        <w:spacing w:line="480" w:lineRule="auto"/>
        <w:rPr>
          <w:rFonts w:ascii="Times New Roman" w:hAnsi="Times New Roman" w:cs="Times New Roman"/>
          <w:i/>
          <w:iCs/>
          <w:sz w:val="24"/>
        </w:rPr>
      </w:pPr>
      <w:r w:rsidRPr="00BA603E">
        <w:rPr>
          <w:rFonts w:ascii="Times New Roman" w:hAnsi="Times New Roman" w:cs="Times New Roman"/>
          <w:i/>
          <w:iCs/>
          <w:sz w:val="24"/>
        </w:rPr>
        <w:t>Preliminary analysis: historical epidemic exposure</w:t>
      </w:r>
    </w:p>
    <w:p w14:paraId="2FC4FCD6" w14:textId="5E2E7296" w:rsidR="00BA603E" w:rsidRPr="00BA603E" w:rsidRDefault="003D5C21" w:rsidP="00BA603E">
      <w:pPr>
        <w:spacing w:line="480" w:lineRule="auto"/>
        <w:rPr>
          <w:rFonts w:ascii="Times New Roman" w:hAnsi="Times New Roman" w:cs="Times New Roman"/>
          <w:sz w:val="24"/>
        </w:rPr>
      </w:pPr>
      <w:r w:rsidRPr="003D5C21">
        <w:rPr>
          <w:rFonts w:ascii="Times New Roman" w:hAnsi="Times New Roman" w:cs="Times New Roman"/>
          <w:sz w:val="24"/>
        </w:rPr>
        <w:t xml:space="preserve">Before turning to the COVID-19 pandemic, we examined whether historical epidemic exposure in the pre-COVID era predicted social cohesion in OECD nations. Using the EM-DAT International Disaster Database </w:t>
      </w:r>
      <w:r w:rsidR="00A64F3D">
        <w:rPr>
          <w:rFonts w:ascii="Times New Roman" w:hAnsi="Times New Roman" w:cs="Times New Roman"/>
          <w:sz w:val="24"/>
        </w:rPr>
        <w:fldChar w:fldCharType="begin">
          <w:fldData xml:space="preserve">PEVuZE5vdGU+PENpdGU+PEF1dGhvcj5HdWhhLVNhcGlyPC9BdXRob3I+PFllYXI+MjAyNTwvWWVh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17</w:t>
      </w:r>
      <w:r w:rsidR="00A64F3D">
        <w:rPr>
          <w:rFonts w:ascii="Times New Roman" w:hAnsi="Times New Roman" w:cs="Times New Roman"/>
          <w:sz w:val="24"/>
        </w:rPr>
        <w:fldChar w:fldCharType="end"/>
      </w:r>
      <w:r w:rsidRPr="003D5C21">
        <w:rPr>
          <w:rFonts w:ascii="Times New Roman" w:hAnsi="Times New Roman" w:cs="Times New Roman"/>
          <w:sz w:val="24"/>
        </w:rPr>
        <w:t>, we identified 23 epidemic events affecting 16 of 38 OECD countries between 2000 and 2019. The frequency of historical epidemics was not significantly correlated with either the level of social cohesion in 2019 (r = −0.30, p = 0.069) or the subsequent change in cohesion from 2019 to 2024 (r = +0.08, p = 0.627). Countries that had experienced epidemics did not differ significantly in baseline cohesion from those that had not (t = −1.67, p = 0.103). These null results reinforce the central finding of this paper: pathogen exposure — whether historical or contemporary — does not appear to be a primary driver of social polarization in established OECD democracies. This is consistent with Pasin et al. (2024)</w:t>
      </w:r>
      <w:r w:rsidR="00AA6897">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PEVuZE5vdGU+PENpdGU+PEF1dGhvcj5QYXNpbjwvQXV0aG9yPjxZZWFyPjIwMjQ8L1llYXI+PFJl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20</w:t>
      </w:r>
      <w:r w:rsidR="00A64F3D">
        <w:rPr>
          <w:rFonts w:ascii="Times New Roman" w:hAnsi="Times New Roman" w:cs="Times New Roman"/>
          <w:sz w:val="24"/>
        </w:rPr>
        <w:fldChar w:fldCharType="end"/>
      </w:r>
      <w:r w:rsidRPr="003D5C21">
        <w:rPr>
          <w:rFonts w:ascii="Times New Roman" w:hAnsi="Times New Roman" w:cs="Times New Roman"/>
          <w:sz w:val="24"/>
        </w:rPr>
        <w:t>, who found across 43 countries that macro-</w:t>
      </w:r>
      <w:r w:rsidRPr="003D5C21">
        <w:rPr>
          <w:rFonts w:ascii="Times New Roman" w:hAnsi="Times New Roman" w:cs="Times New Roman"/>
          <w:sz w:val="24"/>
        </w:rPr>
        <w:lastRenderedPageBreak/>
        <w:t>cultural dimensions remained unchanged in the short-term aftermath of COVID-19 despite theoretical predictions to the contrary. The forces shaping social cohesion in these nations operate through structural and institutional channels that are largely orthogonal to epidemiological history.</w:t>
      </w:r>
    </w:p>
    <w:p w14:paraId="047F9084" w14:textId="6948FAA8" w:rsidR="001976E3" w:rsidRDefault="001976E3" w:rsidP="001976E3">
      <w:pPr>
        <w:spacing w:line="480" w:lineRule="auto"/>
        <w:rPr>
          <w:rFonts w:ascii="Times New Roman" w:hAnsi="Times New Roman" w:cs="Times New Roman"/>
          <w:sz w:val="24"/>
        </w:rPr>
      </w:pPr>
      <w:r w:rsidRPr="001976E3">
        <w:rPr>
          <w:rFonts w:ascii="Times New Roman" w:hAnsi="Times New Roman" w:cs="Times New Roman"/>
          <w:i/>
          <w:iCs/>
          <w:sz w:val="24"/>
        </w:rPr>
        <w:t>The Null Effect of Biological Threat</w:t>
      </w:r>
    </w:p>
    <w:p w14:paraId="0CB2C54E" w14:textId="6DC9ABDC" w:rsidR="003D5C21" w:rsidRPr="003D5C21" w:rsidRDefault="003D5C21" w:rsidP="003D5C21">
      <w:pPr>
        <w:spacing w:line="480" w:lineRule="auto"/>
        <w:rPr>
          <w:rFonts w:ascii="Times New Roman" w:hAnsi="Times New Roman" w:cs="Times New Roman"/>
          <w:sz w:val="24"/>
        </w:rPr>
      </w:pPr>
      <w:r w:rsidRPr="003D5C21">
        <w:rPr>
          <w:rFonts w:ascii="Times New Roman" w:hAnsi="Times New Roman" w:cs="Times New Roman"/>
          <w:sz w:val="24"/>
        </w:rPr>
        <w:t>We begin with the prediction derived from Parasite-Stress Theory: that COVID-19 mortality — the direct biological threat — should predict democratic erosion or increased polarization. Table 1 (Model 1) reports the TWFE first-difference estimate of log COVID-19 mortality on changes in social polarization across all 38 OECD countries. The estimated coefficient is substantively small and statistically indistinguishable from zero (</w:t>
      </w:r>
      <m:oMath>
        <m:acc>
          <m:accPr>
            <m:ctrlPr>
              <w:rPr>
                <w:rFonts w:ascii="Cambria Math" w:hAnsi="Cambria Math" w:cs="Times New Roman"/>
                <w:i/>
                <w:sz w:val="24"/>
              </w:rPr>
            </m:ctrlPr>
          </m:accPr>
          <m:e>
            <m:r>
              <w:rPr>
                <w:rFonts w:ascii="Cambria Math" w:hAnsi="Cambria Math" w:cs="Times New Roman"/>
                <w:sz w:val="24"/>
              </w:rPr>
              <m:t>β</m:t>
            </m:r>
          </m:e>
        </m:acc>
      </m:oMath>
      <w:r w:rsidRPr="003D5C21">
        <w:rPr>
          <w:rFonts w:ascii="Times New Roman" w:hAnsi="Times New Roman" w:cs="Times New Roman"/>
          <w:sz w:val="24"/>
        </w:rPr>
        <w:t xml:space="preserve"> = +0.023, p = 0.41). In the horse-race specification that includes both mortality and stringency (Model 3), the mortality estimate remains null (</w:t>
      </w:r>
      <m:oMath>
        <m:acc>
          <m:accPr>
            <m:ctrlPr>
              <w:rPr>
                <w:rFonts w:ascii="Cambria Math" w:hAnsi="Cambria Math" w:cs="Times New Roman"/>
                <w:i/>
                <w:sz w:val="24"/>
              </w:rPr>
            </m:ctrlPr>
          </m:accPr>
          <m:e>
            <m:r>
              <w:rPr>
                <w:rFonts w:ascii="Cambria Math" w:hAnsi="Cambria Math" w:cs="Times New Roman"/>
                <w:sz w:val="24"/>
              </w:rPr>
              <m:t>β</m:t>
            </m:r>
          </m:e>
        </m:acc>
      </m:oMath>
      <w:r w:rsidRPr="003D5C21">
        <w:rPr>
          <w:rFonts w:ascii="Times New Roman" w:hAnsi="Times New Roman" w:cs="Times New Roman"/>
          <w:sz w:val="24"/>
        </w:rPr>
        <w:t xml:space="preserve"> = +0.032, p = 0.25). No specification — including models with lagged exposure — yields a significant association at conventional thresholds.</w:t>
      </w:r>
    </w:p>
    <w:p w14:paraId="40EA9089" w14:textId="0B835FCA" w:rsidR="00F44841" w:rsidRDefault="003D5C21" w:rsidP="003D5C21">
      <w:pPr>
        <w:spacing w:line="480" w:lineRule="auto"/>
        <w:rPr>
          <w:rFonts w:ascii="Times New Roman" w:hAnsi="Times New Roman" w:cs="Times New Roman"/>
          <w:sz w:val="24"/>
        </w:rPr>
      </w:pPr>
      <w:r>
        <w:rPr>
          <w:rFonts w:ascii="Times New Roman" w:hAnsi="Times New Roman" w:cs="Times New Roman"/>
          <w:sz w:val="24"/>
        </w:rPr>
        <w:tab/>
      </w:r>
      <w:r w:rsidRPr="003D5C21">
        <w:rPr>
          <w:rFonts w:ascii="Times New Roman" w:hAnsi="Times New Roman" w:cs="Times New Roman"/>
          <w:sz w:val="24"/>
        </w:rPr>
        <w:t xml:space="preserve">We interpret this result as inconsistent with the proximate application of Parasite-Stress Theory to contemporary OECD democracies. Whatever evolutionary mechanisms link pathogen exposure to authoritarian preferences, they do not appear to operate through pandemic mortality in societies with robust healthcare systems and established </w:t>
      </w:r>
      <w:r w:rsidRPr="003D5C21">
        <w:rPr>
          <w:rFonts w:ascii="Times New Roman" w:hAnsi="Times New Roman" w:cs="Times New Roman"/>
          <w:sz w:val="24"/>
        </w:rPr>
        <w:lastRenderedPageBreak/>
        <w:t>democratic institutions.</w:t>
      </w:r>
    </w:p>
    <w:p w14:paraId="79920656" w14:textId="01B79FB4" w:rsidR="001976E3" w:rsidRPr="001976E3" w:rsidRDefault="001976E3" w:rsidP="001976E3">
      <w:pPr>
        <w:spacing w:line="480" w:lineRule="auto"/>
        <w:rPr>
          <w:rFonts w:ascii="Times New Roman" w:hAnsi="Times New Roman" w:cs="Times New Roman"/>
          <w:sz w:val="24"/>
        </w:rPr>
      </w:pPr>
      <w:r w:rsidRPr="001976E3">
        <w:rPr>
          <w:rFonts w:ascii="Times New Roman" w:hAnsi="Times New Roman" w:cs="Times New Roman"/>
          <w:i/>
          <w:iCs/>
          <w:sz w:val="24"/>
        </w:rPr>
        <w:t>The Null Effect of Policy Stringency</w:t>
      </w:r>
    </w:p>
    <w:p w14:paraId="49DB6215" w14:textId="7777777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If the virus itself did not drive political change, did the policy response? Table 1 (Models 2 and 3) reports estimates substituting lockdown stringency for COVID-19 mortality as the exposure variable.</w:t>
      </w:r>
    </w:p>
    <w:p w14:paraId="627C411A" w14:textId="286ADFBB"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results do not support the hypothesis that lockdowns caused polarization. In the TWFE first-difference panel, the stringency coefficient is negative — the opposite of the predicted direction — and statistically non-significant (Model 2: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 xml:space="preserve">0.785, p = 0.22; Model 3: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0.944, p = 0.13). If taken at face value, the negative sign would imply that years with higher stringency saw smaller increases in polarization, not larger ones. However, given the wide confidence intervals — which comfortably span zero in both specifications — the most parsimonious interpretation is that lockdown stringency had no detectable effect on the trajectory of social polarization within OECD countries.</w:t>
      </w:r>
    </w:p>
    <w:p w14:paraId="7B32DB27" w14:textId="2715BEA9"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null result is noteworthy in light of the prominent public discourse linking lockdowns to social division. While lockdowns may have generated salient political conflicts in individual countries — mask mandates in the United States, vaccine pass protests in France, freedom convoys in Canada — these episodic disruptions do not appear to have moved the aggregate polarization index at the country-year level. The </w:t>
      </w:r>
      <w:r w:rsidRPr="00FE0B4E">
        <w:rPr>
          <w:rFonts w:ascii="Times New Roman" w:hAnsi="Times New Roman" w:cs="Times New Roman"/>
          <w:sz w:val="24"/>
        </w:rPr>
        <w:lastRenderedPageBreak/>
        <w:t>within-country variation in stringency over time does not predict within-country changes in social cohesion.</w:t>
      </w:r>
    </w:p>
    <w:p w14:paraId="66CBEE43" w14:textId="084015F1"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Figure 1 provides important context for this null finding. Social cohesion across the OECD has been declining steadily since at least 2010, falling from a mean v2smpolsoc of +0.52 in 2010 to </w:t>
      </w:r>
      <w:r w:rsidRPr="00FE0B4E">
        <w:rPr>
          <w:rFonts w:ascii="Times New Roman" w:hAnsi="Times New Roman" w:cs="Times New Roman" w:hint="eastAsia"/>
          <w:sz w:val="24"/>
        </w:rPr>
        <w:t>−</w:t>
      </w:r>
      <w:r w:rsidRPr="00FE0B4E">
        <w:rPr>
          <w:rFonts w:ascii="Times New Roman" w:hAnsi="Times New Roman" w:cs="Times New Roman"/>
          <w:sz w:val="24"/>
        </w:rPr>
        <w:t>0.26 in 2024 — a cumulative decline of 0.79 units over fifteen years. The pandemic period (2020–2024) shows no visible inflection in this trend. The decline from 2019 (</w:t>
      </w:r>
      <w:r w:rsidRPr="00FE0B4E">
        <w:rPr>
          <w:rFonts w:ascii="Times New Roman" w:hAnsi="Times New Roman" w:cs="Times New Roman" w:hint="eastAsia"/>
          <w:sz w:val="24"/>
        </w:rPr>
        <w:t>−</w:t>
      </w:r>
      <w:r w:rsidRPr="00FE0B4E">
        <w:rPr>
          <w:rFonts w:ascii="Times New Roman" w:hAnsi="Times New Roman" w:cs="Times New Roman"/>
          <w:sz w:val="24"/>
        </w:rPr>
        <w:t>0.08) to 2024 (</w:t>
      </w:r>
      <w:r w:rsidRPr="00FE0B4E">
        <w:rPr>
          <w:rFonts w:ascii="Times New Roman" w:hAnsi="Times New Roman" w:cs="Times New Roman" w:hint="eastAsia"/>
          <w:sz w:val="24"/>
        </w:rPr>
        <w:t>−</w:t>
      </w:r>
      <w:r w:rsidRPr="00FE0B4E">
        <w:rPr>
          <w:rFonts w:ascii="Times New Roman" w:hAnsi="Times New Roman" w:cs="Times New Roman"/>
          <w:sz w:val="24"/>
        </w:rPr>
        <w:t>0.26) is a continuation of the same slope observed in the pre-pandemic decade, not an acceleration. The pandemic, for all its disruption, did not bend the curve of polarization in OECD democracies.</w:t>
      </w:r>
    </w:p>
    <w:p w14:paraId="16E93BEB" w14:textId="21034323" w:rsidR="00353A14"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In the cross-sectional </w:t>
      </w:r>
      <w:proofErr w:type="spellStart"/>
      <w:r w:rsidRPr="00FE0B4E">
        <w:rPr>
          <w:rFonts w:ascii="Times New Roman" w:hAnsi="Times New Roman" w:cs="Times New Roman"/>
          <w:sz w:val="24"/>
        </w:rPr>
        <w:t>residualized</w:t>
      </w:r>
      <w:proofErr w:type="spellEnd"/>
      <w:r w:rsidRPr="00FE0B4E">
        <w:rPr>
          <w:rFonts w:ascii="Times New Roman" w:hAnsi="Times New Roman" w:cs="Times New Roman"/>
          <w:sz w:val="24"/>
        </w:rPr>
        <w:t xml:space="preserve"> specification (Model 4), which controls for 2019 baseline cohesion via the Frisch-Waugh-Lovell decomposition, the stringency coefficient is again negative and only marginally significant (</w:t>
      </w:r>
      <m:oMath>
        <m:acc>
          <m:accPr>
            <m:ctrlPr>
              <w:rPr>
                <w:rFonts w:ascii="Cambria Math" w:hAnsi="Cambria Math" w:cs="Times New Roman"/>
                <w:i/>
                <w:sz w:val="24"/>
              </w:rPr>
            </m:ctrlPr>
          </m:accPr>
          <m:e>
            <m:r>
              <w:rPr>
                <w:rFonts w:ascii="Cambria Math" w:hAnsi="Cambria Math" w:cs="Times New Roman"/>
                <w:sz w:val="24"/>
              </w:rPr>
              <m:t>β</m:t>
            </m:r>
          </m:e>
        </m:acc>
      </m:oMath>
      <w:r w:rsidRPr="00FE0B4E">
        <w:rPr>
          <w:rFonts w:ascii="Times New Roman" w:hAnsi="Times New Roman" w:cs="Times New Roman"/>
          <w:sz w:val="24"/>
        </w:rPr>
        <w:t xml:space="preserve"> = </w:t>
      </w:r>
      <w:r w:rsidRPr="00FE0B4E">
        <w:rPr>
          <w:rFonts w:ascii="Times New Roman" w:hAnsi="Times New Roman" w:cs="Times New Roman" w:hint="eastAsia"/>
          <w:sz w:val="24"/>
        </w:rPr>
        <w:t>−</w:t>
      </w:r>
      <w:r w:rsidRPr="00FE0B4E">
        <w:rPr>
          <w:rFonts w:ascii="Times New Roman" w:hAnsi="Times New Roman" w:cs="Times New Roman"/>
          <w:sz w:val="24"/>
        </w:rPr>
        <w:t>0.031, p = 0.10). This marginal result is more plausibly interpreted as residual mean reversion — countries that were more polarized in 2019 (which also adopted stricter lockdowns) regressed partially toward the mean — than as evidence that lockdowns improved social cohesion.</w:t>
      </w:r>
    </w:p>
    <w:p w14:paraId="358E18E2" w14:textId="00DACA1E" w:rsidR="00353A14" w:rsidRPr="00353A14" w:rsidRDefault="001976E3" w:rsidP="00353A14">
      <w:pPr>
        <w:spacing w:line="480" w:lineRule="auto"/>
        <w:rPr>
          <w:rFonts w:ascii="Times New Roman" w:hAnsi="Times New Roman" w:cs="Times New Roman"/>
          <w:i/>
          <w:iCs/>
          <w:sz w:val="24"/>
        </w:rPr>
      </w:pPr>
      <w:r w:rsidRPr="00353A14">
        <w:rPr>
          <w:rFonts w:ascii="Times New Roman" w:hAnsi="Times New Roman" w:cs="Times New Roman"/>
          <w:i/>
          <w:iCs/>
          <w:sz w:val="24"/>
        </w:rPr>
        <w:t>The Selection Effect: Social Cohesion Determined the Policy Response</w:t>
      </w:r>
    </w:p>
    <w:p w14:paraId="0E28BB2D" w14:textId="1C204304"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Having established that neither the virus nor the lockdowns drove polarization, we turn to the question of what determined the policy response itself. Figure 3 plots pre-pandemic </w:t>
      </w:r>
      <w:r w:rsidRPr="00FE0B4E">
        <w:rPr>
          <w:rFonts w:ascii="Times New Roman" w:hAnsi="Times New Roman" w:cs="Times New Roman"/>
          <w:sz w:val="24"/>
        </w:rPr>
        <w:lastRenderedPageBreak/>
        <w:t xml:space="preserve">social cohesion (V-Dem v2smpolsoc, 2019) against mean lockdown stringency (2020–2021) for all 38 OECD countries. The correlation is strongly negative (r = </w:t>
      </w:r>
      <w:r w:rsidRPr="00FE0B4E">
        <w:rPr>
          <w:rFonts w:ascii="Times New Roman" w:hAnsi="Times New Roman" w:cs="Times New Roman" w:hint="eastAsia"/>
          <w:sz w:val="24"/>
        </w:rPr>
        <w:t>−</w:t>
      </w:r>
      <w:r w:rsidRPr="00FE0B4E">
        <w:rPr>
          <w:rFonts w:ascii="Times New Roman" w:hAnsi="Times New Roman" w:cs="Times New Roman"/>
          <w:sz w:val="24"/>
        </w:rPr>
        <w:t>0.510, p = 0.001): countries that entered the pandemic with greater social cohesion subsequently adopted less stringent lockdown policies.</w:t>
      </w:r>
    </w:p>
    <w:p w14:paraId="071B06B4" w14:textId="1CB7B2C4"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This finding reframes the entire analytical question. The relationship between lockdown stringency and political outcomes is not a story of policy causing polarization; it is a story of polarization shaping policy. Pre-pandemic social conditions selected countries into distinct governance regimes, and this selection explains the cross-sectional association between stringency and polarization that a naive analysis might interpret as causal.</w:t>
      </w:r>
    </w:p>
    <w:p w14:paraId="5B4FC4A4" w14:textId="4E51D987"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The selection partitions the OECD into two governance archetypes. In the "voluntary compliance" quadrant — high cohesion, low stringency — we find Japan, Finland, Denmark, Iceland, New Zealand, Norway, and Sweden. These societies possessed the social capital to coordinate behavioral change without recourse to legal mandates. Citizens voluntarily adopted protective behaviors — masking, distancing, self-isolation — not because of government orders but because of shared norms of collective responsibility. Stringency indices remained low not because these governments were indifferent to public health, but because formal coercion was unnecessary.</w:t>
      </w:r>
    </w:p>
    <w:p w14:paraId="5A2C5587" w14:textId="3512DF18"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lastRenderedPageBreak/>
        <w:tab/>
      </w:r>
      <w:r w:rsidRPr="00FE0B4E">
        <w:rPr>
          <w:rFonts w:ascii="Times New Roman" w:hAnsi="Times New Roman" w:cs="Times New Roman"/>
          <w:sz w:val="24"/>
        </w:rPr>
        <w:t>In the "coercive response" quadrant — low cohesion, high stringency — we find Chile, Italy, Greece, Colombia, the United Kingdom, the United States, Spain, and Turkey. In these societies, the absence of sufficient social trust meant that voluntary compliance could not be assumed. Governments faced a constrained choice set: either tolerate non-compliance and its epidemiological consequences, or impose mandates backed by legal authority. Most chose the latter. The stringency index in these countries reflects not greater governmental ambition but the structural necessity of substituting formal rules for absent informal norms.</w:t>
      </w:r>
    </w:p>
    <w:p w14:paraId="55F66004" w14:textId="30056766"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Off-diagonal cases enrich the pattern. Canada, Australia, and Ireland (high cohesion, high stringency) adopted strict measures despite adequate social capital — plausibly driven by geographic isolation, early-wave severity, or precautionary governance cultures. Hungary and Poland (low cohesion, low stringency) avoided strict lockdowns despite deep polarization, consistent with populist governments that instrumentalized pandemic skepticism for political gain. South Korea (low cohesion, moderate stringency) achieved containment through technological surveillance rather than either trust or coercion, representing a distinct governance pathway.</w:t>
      </w:r>
    </w:p>
    <w:p w14:paraId="6FE9736C" w14:textId="17716914" w:rsidR="008C5A01"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selection effect also explains the marginal negative coefficient observed in the </w:t>
      </w:r>
      <w:proofErr w:type="spellStart"/>
      <w:r w:rsidRPr="00FE0B4E">
        <w:rPr>
          <w:rFonts w:ascii="Times New Roman" w:hAnsi="Times New Roman" w:cs="Times New Roman"/>
          <w:sz w:val="24"/>
        </w:rPr>
        <w:t>residualized</w:t>
      </w:r>
      <w:proofErr w:type="spellEnd"/>
      <w:r w:rsidRPr="00FE0B4E">
        <w:rPr>
          <w:rFonts w:ascii="Times New Roman" w:hAnsi="Times New Roman" w:cs="Times New Roman"/>
          <w:sz w:val="24"/>
        </w:rPr>
        <w:t xml:space="preserve"> specification (Model 4, p = 0.10). After </w:t>
      </w:r>
      <w:proofErr w:type="spellStart"/>
      <w:r w:rsidRPr="00FE0B4E">
        <w:rPr>
          <w:rFonts w:ascii="Times New Roman" w:hAnsi="Times New Roman" w:cs="Times New Roman"/>
          <w:sz w:val="24"/>
        </w:rPr>
        <w:t>partialling</w:t>
      </w:r>
      <w:proofErr w:type="spellEnd"/>
      <w:r w:rsidRPr="00FE0B4E">
        <w:rPr>
          <w:rFonts w:ascii="Times New Roman" w:hAnsi="Times New Roman" w:cs="Times New Roman"/>
          <w:sz w:val="24"/>
        </w:rPr>
        <w:t xml:space="preserve"> out 2019 baseline </w:t>
      </w:r>
      <w:r w:rsidRPr="00FE0B4E">
        <w:rPr>
          <w:rFonts w:ascii="Times New Roman" w:hAnsi="Times New Roman" w:cs="Times New Roman"/>
          <w:sz w:val="24"/>
        </w:rPr>
        <w:lastRenderedPageBreak/>
        <w:t>cohesion, the residual association between stringency and polarization change is slightly negative — meaning that countries with unexpectedly high stringency (given their baseline) saw slightly less polarization growth. This pattern is consistent with mean reversion rather than a causal protective effect of lockdowns: countries far from the mean in 2019 tended to move back toward it by 2024, regardless of their lockdown strategy.</w:t>
      </w:r>
    </w:p>
    <w:p w14:paraId="5F6F9F11" w14:textId="77777777" w:rsidR="00F21D42" w:rsidRDefault="00F21D42" w:rsidP="00CF516B">
      <w:pPr>
        <w:spacing w:line="480" w:lineRule="auto"/>
        <w:rPr>
          <w:rFonts w:ascii="Times New Roman" w:hAnsi="Times New Roman" w:cs="Times New Roman"/>
          <w:sz w:val="24"/>
        </w:rPr>
      </w:pPr>
    </w:p>
    <w:p w14:paraId="7F70CE6C" w14:textId="77777777" w:rsidR="001976E3" w:rsidRDefault="00F21D42" w:rsidP="001976E3">
      <w:pPr>
        <w:spacing w:line="480" w:lineRule="auto"/>
        <w:rPr>
          <w:rFonts w:ascii="Times New Roman" w:hAnsi="Times New Roman" w:cs="Times New Roman"/>
          <w:b/>
          <w:bCs/>
          <w:sz w:val="24"/>
        </w:rPr>
      </w:pPr>
      <w:r w:rsidRPr="00DE693E">
        <w:rPr>
          <w:rFonts w:ascii="Times New Roman" w:hAnsi="Times New Roman" w:cs="Times New Roman"/>
          <w:b/>
          <w:bCs/>
          <w:sz w:val="24"/>
        </w:rPr>
        <w:t>D</w:t>
      </w:r>
      <w:r w:rsidR="001976E3">
        <w:rPr>
          <w:rFonts w:ascii="Times New Roman" w:hAnsi="Times New Roman" w:cs="Times New Roman"/>
          <w:b/>
          <w:bCs/>
          <w:sz w:val="24"/>
        </w:rPr>
        <w:t>iscussion</w:t>
      </w:r>
    </w:p>
    <w:p w14:paraId="67E14829" w14:textId="35F6A514" w:rsidR="00353A14" w:rsidRDefault="001976E3" w:rsidP="001976E3">
      <w:pPr>
        <w:spacing w:line="480" w:lineRule="auto"/>
        <w:rPr>
          <w:rFonts w:ascii="Times New Roman" w:hAnsi="Times New Roman" w:cs="Times New Roman"/>
          <w:i/>
          <w:iCs/>
          <w:sz w:val="24"/>
        </w:rPr>
      </w:pPr>
      <w:r w:rsidRPr="00353A14">
        <w:rPr>
          <w:rFonts w:ascii="Times New Roman" w:hAnsi="Times New Roman" w:cs="Times New Roman"/>
          <w:i/>
          <w:iCs/>
          <w:sz w:val="24"/>
        </w:rPr>
        <w:t>Parasite-Stress Theory Revisited</w:t>
      </w:r>
    </w:p>
    <w:p w14:paraId="745AF51B" w14:textId="65955D7B"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The Parasite-Stress Theory of Values predicts that infectious disease threats drive societies toward authoritarianism, in-group conformity, and reduced tolerance for dissent </w:t>
      </w:r>
      <w:r w:rsidR="00A64F3D">
        <w:rPr>
          <w:rFonts w:ascii="Times New Roman" w:hAnsi="Times New Roman" w:cs="Times New Roman"/>
          <w:sz w:val="24"/>
        </w:rPr>
        <w:fldChar w:fldCharType="begin">
          <w:fldData xml:space="preserve">PEVuZE5vdGU+PENpdGU+PEF1dGhvcj5UaG9ybmhpbGw8L0F1dGhvcj48WWVhcj4yMDE0PC9ZZWFy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w:t>
      </w:r>
      <w:r w:rsidR="00A64F3D">
        <w:rPr>
          <w:rFonts w:ascii="Times New Roman" w:hAnsi="Times New Roman" w:cs="Times New Roman"/>
          <w:sz w:val="24"/>
        </w:rPr>
        <w:fldChar w:fldCharType="end"/>
      </w:r>
      <w:r w:rsidRPr="00FE0B4E">
        <w:rPr>
          <w:rFonts w:ascii="Times New Roman" w:hAnsi="Times New Roman" w:cs="Times New Roman"/>
          <w:sz w:val="24"/>
        </w:rPr>
        <w:t>. Our findings challenge the applicability of this framework to contemporary high-income democracies on two fronts. First, COVID-19 mortality bore no detectable relationship to changes in social polarization — the biological threat channel is null. This is consistent with Pasin et al. (2024)</w:t>
      </w:r>
      <w:r w:rsidR="00E35562">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PEVuZE5vdGU+PENpdGU+PEF1dGhvcj5QYXNpbjwvQXV0aG9yPjxZZWFyPjIwMjQ8L1llYXI+PFJl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20</w:t>
      </w:r>
      <w:r w:rsidR="00A64F3D">
        <w:rPr>
          <w:rFonts w:ascii="Times New Roman" w:hAnsi="Times New Roman" w:cs="Times New Roman"/>
          <w:sz w:val="24"/>
        </w:rPr>
        <w:fldChar w:fldCharType="end"/>
      </w:r>
      <w:r w:rsidRPr="00FE0B4E">
        <w:rPr>
          <w:rFonts w:ascii="Times New Roman" w:hAnsi="Times New Roman" w:cs="Times New Roman"/>
          <w:sz w:val="24"/>
        </w:rPr>
        <w:t xml:space="preserve">, who examined survey data from 29,761 individuals across 43 countries before and after the onset of COVID-19, finding that macro-cultural dimensions — collectivism, conformity, outgroup prejudice — remained unchanged despite the most severe global pathogen shock in a century. Second, the coercive policy instruments deployed in response to the pandemic — instruments that </w:t>
      </w:r>
      <w:r w:rsidRPr="00FE0B4E">
        <w:rPr>
          <w:rFonts w:ascii="Times New Roman" w:hAnsi="Times New Roman" w:cs="Times New Roman"/>
          <w:sz w:val="24"/>
        </w:rPr>
        <w:lastRenderedPageBreak/>
        <w:t xml:space="preserve">might plausibly function as a proxy for the "authoritarian shift" the theory predicts — also failed to move the needle. As Hackman and Hruschka (2013) </w:t>
      </w:r>
      <w:r w:rsidR="00A64F3D">
        <w:rPr>
          <w:rFonts w:ascii="Times New Roman" w:hAnsi="Times New Roman" w:cs="Times New Roman"/>
          <w:sz w:val="24"/>
        </w:rPr>
        <w:fldChar w:fldCharType="begin">
          <w:fldData xml:space="preserve">PEVuZE5vdGU+PENpdGU+PEF1dGhvcj5DdXJyaWU8L0F1dGhvcj48WWVhcj4yMDEyPC9ZZWFyPjxS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3</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and Pollet et al. (2014)</w:t>
      </w:r>
      <w:r w:rsidR="00E35562">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PEVuZE5vdGU+PENpdGU+PEF1dGhvcj5Qb2xsZXQ8L0F1dGhvcj48WWVhcj4yMDE0PC9ZZWFyPjxS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4</w:t>
      </w:r>
      <w:r w:rsidR="00A64F3D">
        <w:rPr>
          <w:rFonts w:ascii="Times New Roman" w:hAnsi="Times New Roman" w:cs="Times New Roman"/>
          <w:sz w:val="24"/>
        </w:rPr>
        <w:fldChar w:fldCharType="end"/>
      </w:r>
      <w:r w:rsidRPr="00FE0B4E">
        <w:rPr>
          <w:rFonts w:ascii="Times New Roman" w:hAnsi="Times New Roman" w:cs="Times New Roman"/>
          <w:sz w:val="24"/>
        </w:rPr>
        <w:t xml:space="preserve"> have argued on methodological grounds, the parasite-stress framework may describe long-run ecological correlations without identifying a causal mechanism that operates in real time. Our results provide a direct empirical confirmation of this critique.</w:t>
      </w:r>
    </w:p>
    <w:p w14:paraId="3A4094F5" w14:textId="7DDA19FE" w:rsidR="001976E3"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This double null result does not invalidate the evolutionary logic of the theory. It does, however, establish a clear boundary condition: in societies with robust democratic institutions, independent judiciaries, free media, and high baseline life expectancy, neither pathogen fear nor the emergency powers it occasions appear sufficient to reshape the social fabric. Modern institutions absorb both the psychological shock of disease and the political shock of emergency governance without transmitting either into lasting structural change.</w:t>
      </w:r>
    </w:p>
    <w:p w14:paraId="5A9F4183" w14:textId="462E6683" w:rsidR="00353A14" w:rsidRPr="001976E3" w:rsidRDefault="001976E3" w:rsidP="00353A14">
      <w:pPr>
        <w:spacing w:line="480" w:lineRule="auto"/>
        <w:rPr>
          <w:rFonts w:ascii="Times New Roman" w:hAnsi="Times New Roman" w:cs="Times New Roman"/>
          <w:sz w:val="24"/>
        </w:rPr>
      </w:pPr>
      <w:r w:rsidRPr="00353A14">
        <w:rPr>
          <w:rFonts w:ascii="Times New Roman" w:hAnsi="Times New Roman" w:cs="Times New Roman"/>
          <w:i/>
          <w:iCs/>
          <w:sz w:val="24"/>
        </w:rPr>
        <w:t>The Pandemic as Stress Test</w:t>
      </w:r>
    </w:p>
    <w:p w14:paraId="56F3254A" w14:textId="2A55C595"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If the pandemic did not cause polarization, what did it do? Our findings suggest it functioned as a diagnostic — a stress test that revealed the load-bearing capacity of each democracy's social infrastructure, without itself adding to the structural load.</w:t>
      </w:r>
    </w:p>
    <w:p w14:paraId="61FBD027" w14:textId="1A8576EE"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selection effect documented in Figure 3 (r = </w:t>
      </w:r>
      <w:r w:rsidRPr="00FE0B4E">
        <w:rPr>
          <w:rFonts w:ascii="Times New Roman" w:hAnsi="Times New Roman" w:cs="Times New Roman" w:hint="eastAsia"/>
          <w:sz w:val="24"/>
        </w:rPr>
        <w:t>−</w:t>
      </w:r>
      <w:r w:rsidRPr="00FE0B4E">
        <w:rPr>
          <w:rFonts w:ascii="Times New Roman" w:hAnsi="Times New Roman" w:cs="Times New Roman"/>
          <w:sz w:val="24"/>
        </w:rPr>
        <w:t xml:space="preserve">0.51, p = 0.001) is the central evidence for this interpretation. The single strongest predictor of a country's lockdown </w:t>
      </w:r>
      <w:r w:rsidRPr="00FE0B4E">
        <w:rPr>
          <w:rFonts w:ascii="Times New Roman" w:hAnsi="Times New Roman" w:cs="Times New Roman"/>
          <w:sz w:val="24"/>
        </w:rPr>
        <w:lastRenderedPageBreak/>
        <w:t>strategy was not its epidemiological situation, its government's ideology, or its healthcare capacity — it was the level of social trust its citizens held toward one another before the crisis began. This finding reframes lockdown stringency from a policy choice to a structural revelation. Countries did not choose high stringency; their social conditions chose it for them.</w:t>
      </w:r>
    </w:p>
    <w:p w14:paraId="43809F3D" w14:textId="0B994C76"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For high-trust nations — Japan, Finland, Denmark, New Zealand, and Sweden — low lockdown stringency should not be interpreted as policy laxity or governmental indifference. Rather, it reflected what </w:t>
      </w:r>
      <w:r w:rsidRPr="0015521E">
        <w:rPr>
          <w:rFonts w:ascii="Times New Roman" w:hAnsi="Times New Roman" w:cs="Times New Roman"/>
          <w:sz w:val="24"/>
        </w:rPr>
        <w:t>Fukuyama</w:t>
      </w:r>
      <w:r w:rsidRPr="00FE0B4E">
        <w:rPr>
          <w:rFonts w:ascii="Times New Roman" w:hAnsi="Times New Roman" w:cs="Times New Roman"/>
          <w:sz w:val="24"/>
        </w:rPr>
        <w:t xml:space="preserve"> (1995)</w:t>
      </w:r>
      <w:r w:rsidR="00E35562">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PEVuZE5vdGU+PENpdGU+PEF1dGhvcj5GdWt1eWFtYTwvQXV0aG9yPjxZZWFyPjE5OTU8L1llYXI+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21</w:t>
      </w:r>
      <w:r w:rsidR="00A64F3D">
        <w:rPr>
          <w:rFonts w:ascii="Times New Roman" w:hAnsi="Times New Roman" w:cs="Times New Roman"/>
          <w:sz w:val="24"/>
        </w:rPr>
        <w:fldChar w:fldCharType="end"/>
      </w:r>
      <w:r w:rsidRPr="00FE0B4E">
        <w:rPr>
          <w:rFonts w:ascii="Times New Roman" w:hAnsi="Times New Roman" w:cs="Times New Roman"/>
          <w:sz w:val="24"/>
        </w:rPr>
        <w:t xml:space="preserve"> termed the capacity of high-trust societies to achieve collective outcomes at lower transaction costs — a principle he applied directly to the pandemic context, arguing that social trust, not regime type, was the critical variable separating successful from unsuccessful responses </w:t>
      </w:r>
      <w:r w:rsidR="00A64F3D">
        <w:rPr>
          <w:rFonts w:ascii="Times New Roman" w:hAnsi="Times New Roman" w:cs="Times New Roman"/>
          <w:sz w:val="24"/>
        </w:rPr>
        <w:fldChar w:fldCharType="begin">
          <w:fldData xml:space="preserve">PEVuZE5vdGU+PENpdGU+PEF1dGhvcj5KYW5rdWxvdnNraTwvQXV0aG9yPjxZZWFyPjIwMjU8L1ll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22</w:t>
      </w:r>
      <w:r w:rsidR="00A64F3D">
        <w:rPr>
          <w:rFonts w:ascii="Times New Roman" w:hAnsi="Times New Roman" w:cs="Times New Roman"/>
          <w:sz w:val="24"/>
        </w:rPr>
        <w:fldChar w:fldCharType="end"/>
      </w:r>
      <w:r w:rsidRPr="00FE0B4E">
        <w:rPr>
          <w:rFonts w:ascii="Times New Roman" w:hAnsi="Times New Roman" w:cs="Times New Roman"/>
          <w:sz w:val="24"/>
        </w:rPr>
        <w:t xml:space="preserve">. This mechanism is now empirically well-documented. Bargain and </w:t>
      </w:r>
      <w:proofErr w:type="spellStart"/>
      <w:r w:rsidRPr="00FE0B4E">
        <w:rPr>
          <w:rFonts w:ascii="Times New Roman" w:hAnsi="Times New Roman" w:cs="Times New Roman"/>
          <w:sz w:val="24"/>
        </w:rPr>
        <w:t>Aminjonov</w:t>
      </w:r>
      <w:proofErr w:type="spellEnd"/>
      <w:r w:rsidRPr="00FE0B4E">
        <w:rPr>
          <w:rFonts w:ascii="Times New Roman" w:hAnsi="Times New Roman" w:cs="Times New Roman"/>
          <w:sz w:val="24"/>
        </w:rPr>
        <w:t xml:space="preserve"> (2020) </w:t>
      </w:r>
      <w:r w:rsidR="00A64F3D">
        <w:rPr>
          <w:rFonts w:ascii="Times New Roman" w:hAnsi="Times New Roman" w:cs="Times New Roman"/>
          <w:sz w:val="24"/>
        </w:rPr>
        <w:fldChar w:fldCharType="begin">
          <w:fldData xml:space="preserve">PEVuZE5vdGU+PENpdGU+PEF1dGhvcj5CYXJnYWluPC9BdXRob3I+PFllYXI+MjAyMDwvWWVhcj48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=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23</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show that European regions with higher institutional trust exhibited significantly greater voluntary reductions in mobility during the pandemic, independent of the stringency of formal mandates. Durante, Guiso, and Gulino (2021) </w:t>
      </w:r>
      <w:r w:rsidR="00A64F3D">
        <w:rPr>
          <w:rFonts w:ascii="Times New Roman" w:hAnsi="Times New Roman" w:cs="Times New Roman"/>
          <w:sz w:val="24"/>
        </w:rPr>
        <w:fldChar w:fldCharType="begin">
          <w:fldData xml:space="preserve">PEVuZE5vdGU+PENpdGU+PEF1dGhvcj5EdXJhbnRlPC9BdXRob3I+PFllYXI+MjAyMTwvWWVhcj48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24</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find that Italian municipalities with stronger civic traditions practiced social distancing before government orders were issued — trust preceded coercion rather than following it. At the aggregate level, Bartscher, Seitz, </w:t>
      </w:r>
      <w:proofErr w:type="spellStart"/>
      <w:r w:rsidRPr="00FE0B4E">
        <w:rPr>
          <w:rFonts w:ascii="Times New Roman" w:hAnsi="Times New Roman" w:cs="Times New Roman"/>
          <w:sz w:val="24"/>
        </w:rPr>
        <w:t>Siegloch</w:t>
      </w:r>
      <w:proofErr w:type="spellEnd"/>
      <w:r w:rsidRPr="00FE0B4E">
        <w:rPr>
          <w:rFonts w:ascii="Times New Roman" w:hAnsi="Times New Roman" w:cs="Times New Roman"/>
          <w:sz w:val="24"/>
        </w:rPr>
        <w:t xml:space="preserve">, Slotwinski, and </w:t>
      </w:r>
      <w:proofErr w:type="spellStart"/>
      <w:r w:rsidRPr="00FE0B4E">
        <w:rPr>
          <w:rFonts w:ascii="Times New Roman" w:hAnsi="Times New Roman" w:cs="Times New Roman"/>
          <w:sz w:val="24"/>
        </w:rPr>
        <w:t>Wehrhöfer</w:t>
      </w:r>
      <w:proofErr w:type="spellEnd"/>
      <w:r w:rsidRPr="00FE0B4E">
        <w:rPr>
          <w:rFonts w:ascii="Times New Roman" w:hAnsi="Times New Roman" w:cs="Times New Roman"/>
          <w:sz w:val="24"/>
        </w:rPr>
        <w:t xml:space="preserve"> (2021) </w:t>
      </w:r>
      <w:r w:rsidR="00A64F3D">
        <w:rPr>
          <w:rFonts w:ascii="Times New Roman" w:hAnsi="Times New Roman" w:cs="Times New Roman"/>
          <w:sz w:val="24"/>
        </w:rPr>
        <w:fldChar w:fldCharType="begin">
          <w:fldData xml:space="preserve">PEVuZE5vdGU+PENpdGU+PEF1dGhvcj5CYXJ0c2NoZXI8L0F1dGhvcj48WWVhcj4yMDIxPC9ZZWFy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==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25</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demonstrate that social </w:t>
      </w:r>
      <w:r w:rsidRPr="00FE0B4E">
        <w:rPr>
          <w:rFonts w:ascii="Times New Roman" w:hAnsi="Times New Roman" w:cs="Times New Roman"/>
          <w:sz w:val="24"/>
        </w:rPr>
        <w:lastRenderedPageBreak/>
        <w:t>capital predicted slower COVID-19 transmission across European countries through precisely this voluntary compliance channel. These findings operationalize the theoretical insight of Van Bavel et al. (2020)</w:t>
      </w:r>
      <w:r w:rsidR="00E35562">
        <w:rPr>
          <w:rFonts w:ascii="Times New Roman" w:hAnsi="Times New Roman" w:cs="Times New Roman"/>
          <w:sz w:val="24"/>
        </w:rPr>
        <w:t xml:space="preserve"> </w:t>
      </w:r>
      <w:r w:rsidR="00A64F3D">
        <w:rPr>
          <w:rFonts w:ascii="Times New Roman" w:hAnsi="Times New Roman" w:cs="Times New Roman"/>
          <w:sz w:val="24"/>
        </w:rPr>
        <w:fldChar w:fldCharType="begin">
          <w:fldData xml:space="preserve">PEVuZE5vdGU+PENpdGU+PEF1dGhvcj5CYXZlbDwvQXV0aG9yPjxZZWFyPjIwMjA8L1llYXI+PFJl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==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15</w:t>
      </w:r>
      <w:r w:rsidR="00A64F3D">
        <w:rPr>
          <w:rFonts w:ascii="Times New Roman" w:hAnsi="Times New Roman" w:cs="Times New Roman"/>
          <w:sz w:val="24"/>
        </w:rPr>
        <w:fldChar w:fldCharType="end"/>
      </w:r>
      <w:r w:rsidRPr="00FE0B4E">
        <w:rPr>
          <w:rFonts w:ascii="Times New Roman" w:hAnsi="Times New Roman" w:cs="Times New Roman"/>
          <w:sz w:val="24"/>
        </w:rPr>
        <w:t>, who argued in their landmark review that social norms and trust in institutions are among the most powerful determinants of health behavior during pandemics. The nations in our "voluntary compliance" quadrant possessed these resources in abundance. Their light-touch governance was not a failure of state capacity but its highest expression: the ability to coordinate a population-level behavioral response through shared norms and mutual obligation, without recourse to the blunt instrument of legal enforcement.</w:t>
      </w:r>
    </w:p>
    <w:p w14:paraId="49498F43" w14:textId="5A74532D"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For low-trust nations — the United States, Italy, Chile, Turkey — the pandemic revealed a deficit that predated the crisis by years. These societies could not generate voluntary compliance because the prerequisite — mutual trust across social and political lines — was already depleted. Coercion was not a policy failure; it was a structural necessity. The mandates, curfews, and enforcement actions that characterized these countries' pandemic responses were symptoms of low social capital, not causes of its further erosion. Crucially, these countries were not polarized because they locked down hard. They locked down hard because they were polarized.</w:t>
      </w:r>
    </w:p>
    <w:p w14:paraId="249CAA7B" w14:textId="602837C9" w:rsidR="00353A14"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distinction has implications for how we conceptualize state capacity. The </w:t>
      </w:r>
      <w:r w:rsidRPr="00FE0B4E">
        <w:rPr>
          <w:rFonts w:ascii="Times New Roman" w:hAnsi="Times New Roman" w:cs="Times New Roman"/>
          <w:sz w:val="24"/>
        </w:rPr>
        <w:lastRenderedPageBreak/>
        <w:t>conventional understanding of state capacity emphasizes the ability to enforce compliance — to tax, to regulate, to coerce. Our findings suggest a complementary dimension that might be termed relational capacity: the ability to elicit voluntary cooperation in the absence of formal enforcement. By this measure, the most capable states during the pandemic were not those with the strongest enforcement apparatus but those that never needed to deploy it.</w:t>
      </w:r>
    </w:p>
    <w:p w14:paraId="53144903" w14:textId="2E92D676" w:rsidR="00353A14" w:rsidRPr="001976E3" w:rsidRDefault="001976E3" w:rsidP="00353A14">
      <w:pPr>
        <w:spacing w:line="480" w:lineRule="auto"/>
        <w:rPr>
          <w:rFonts w:ascii="Times New Roman" w:hAnsi="Times New Roman" w:cs="Times New Roman"/>
          <w:sz w:val="24"/>
        </w:rPr>
      </w:pPr>
      <w:r w:rsidRPr="00353A14">
        <w:rPr>
          <w:rFonts w:ascii="Times New Roman" w:hAnsi="Times New Roman" w:cs="Times New Roman"/>
          <w:i/>
          <w:iCs/>
          <w:sz w:val="24"/>
        </w:rPr>
        <w:t>The Stubbornness of Structural Polarization</w:t>
      </w:r>
    </w:p>
    <w:p w14:paraId="1057E925" w14:textId="77777777" w:rsidR="00FE0B4E" w:rsidRPr="00FE0B4E" w:rsidRDefault="00FE0B4E" w:rsidP="00FE0B4E">
      <w:pPr>
        <w:spacing w:line="480" w:lineRule="auto"/>
        <w:rPr>
          <w:rFonts w:ascii="Times New Roman" w:hAnsi="Times New Roman" w:cs="Times New Roman"/>
          <w:sz w:val="24"/>
        </w:rPr>
      </w:pPr>
      <w:r w:rsidRPr="00FE0B4E">
        <w:rPr>
          <w:rFonts w:ascii="Times New Roman" w:hAnsi="Times New Roman" w:cs="Times New Roman"/>
          <w:sz w:val="24"/>
        </w:rPr>
        <w:t xml:space="preserve">Perhaps the most striking finding is not what the pandemic caused but what it failed to alter. Figure 1 documents a steady, monotonic decline in social cohesion across the OECD from 2010 to 2024 — a decline that the pandemic neither accelerated nor arrested. The mean v2smpolsoc dropped by 0.79 units over fifteen years, at a roughly constant rate, with no visible inflection </w:t>
      </w:r>
      <w:proofErr w:type="gramStart"/>
      <w:r w:rsidRPr="00FE0B4E">
        <w:rPr>
          <w:rFonts w:ascii="Times New Roman" w:hAnsi="Times New Roman" w:cs="Times New Roman"/>
          <w:sz w:val="24"/>
        </w:rPr>
        <w:t>at</w:t>
      </w:r>
      <w:proofErr w:type="gramEnd"/>
      <w:r w:rsidRPr="00FE0B4E">
        <w:rPr>
          <w:rFonts w:ascii="Times New Roman" w:hAnsi="Times New Roman" w:cs="Times New Roman"/>
          <w:sz w:val="24"/>
        </w:rPr>
        <w:t xml:space="preserve"> 2020.</w:t>
      </w:r>
    </w:p>
    <w:p w14:paraId="5E6617B3" w14:textId="0D46DDBA" w:rsidR="001976E3" w:rsidRPr="001976E3"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This finding speaks to the structural nature of polarization in advanced democracies. The forces driving social division — economic inequality, cultural sorting, media fragmentation, algorithmic amplification, declining institutional trust — operate on timescales and through mechanisms that a single exogenous shock, however severe, cannot easily override. Iyengar et al. </w:t>
      </w:r>
      <w:r w:rsidR="00A64F3D">
        <w:rPr>
          <w:rFonts w:ascii="Times New Roman" w:hAnsi="Times New Roman" w:cs="Times New Roman"/>
          <w:sz w:val="24"/>
        </w:rPr>
        <w:fldChar w:fldCharType="begin">
          <w:fldData xml:space="preserve">PEVuZE5vdGU+PENpdGU+PEF1dGhvcj5JeWVuZ2FyPC9BdXRob3I+PFllYXI+MjAxOTwvWWVhcj48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12</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trace the rise of affective polarization in the United States to partisan sorting processes unfolding over four decades, while McCarty, Poole, </w:t>
      </w:r>
      <w:r w:rsidRPr="00FE0B4E">
        <w:rPr>
          <w:rFonts w:ascii="Times New Roman" w:hAnsi="Times New Roman" w:cs="Times New Roman"/>
          <w:sz w:val="24"/>
        </w:rPr>
        <w:lastRenderedPageBreak/>
        <w:t xml:space="preserve">and Rosenthal </w:t>
      </w:r>
      <w:r w:rsidR="00A64F3D">
        <w:rPr>
          <w:rFonts w:ascii="Times New Roman" w:hAnsi="Times New Roman" w:cs="Times New Roman"/>
          <w:sz w:val="24"/>
        </w:rPr>
        <w:fldChar w:fldCharType="begin">
          <w:fldData xml:space="preserve">PEVuZE5vdGU+PENpdGU+PEF1dGhvcj5NY0NhcnR5PC9BdXRob3I+PFllYXI+MjAxNjwvWWVhcj48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26</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 xml:space="preserve">demonstrate that economic inequality and elite ideological divergence are its primary structural drivers. Boxell, Gentzkow, and Shapiro </w:t>
      </w:r>
      <w:r w:rsidR="00A64F3D">
        <w:rPr>
          <w:rFonts w:ascii="Times New Roman" w:hAnsi="Times New Roman" w:cs="Times New Roman"/>
          <w:sz w:val="24"/>
        </w:rPr>
        <w:fldChar w:fldCharType="begin">
          <w:fldData xml:space="preserve">PEVuZE5vdGU+PENpdGU+PEF1dGhvcj5Cb3hlbGw8L0F1dGhvcj48WWVhcj4yMDE3PC9ZZWFyPjxS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</w:fldData>
        </w:fldChar>
      </w:r>
      <w:r w:rsidR="00A64F3D">
        <w:rPr>
          <w:rFonts w:ascii="Times New Roman" w:hAnsi="Times New Roman" w:cs="Times New Roman"/>
          <w:sz w:val="24"/>
        </w:rPr>
        <w:instrText xml:space="preserve"> ADDIN EN.JS.CITE </w:instrText>
      </w:r>
      <w:r w:rsidR="00A64F3D">
        <w:rPr>
          <w:rFonts w:ascii="Times New Roman" w:hAnsi="Times New Roman" w:cs="Times New Roman"/>
          <w:sz w:val="24"/>
        </w:rPr>
      </w:r>
      <w:r w:rsidR="00A64F3D">
        <w:rPr>
          <w:rFonts w:ascii="Times New Roman" w:hAnsi="Times New Roman" w:cs="Times New Roman"/>
          <w:sz w:val="24"/>
        </w:rPr>
        <w:fldChar w:fldCharType="separate"/>
      </w:r>
      <w:r w:rsidR="00A64F3D" w:rsidRPr="00A64F3D">
        <w:rPr>
          <w:rFonts w:ascii="Times New Roman" w:hAnsi="Times New Roman" w:cs="Times New Roman"/>
          <w:noProof/>
          <w:sz w:val="24"/>
          <w:vertAlign w:val="superscript"/>
        </w:rPr>
        <w:t>27</w:t>
      </w:r>
      <w:r w:rsidR="00A64F3D">
        <w:rPr>
          <w:rFonts w:ascii="Times New Roman" w:hAnsi="Times New Roman" w:cs="Times New Roman"/>
          <w:sz w:val="24"/>
        </w:rPr>
        <w:fldChar w:fldCharType="end"/>
      </w:r>
      <w:r w:rsidR="00E35562">
        <w:rPr>
          <w:rFonts w:ascii="Times New Roman" w:hAnsi="Times New Roman" w:cs="Times New Roman"/>
          <w:sz w:val="24"/>
        </w:rPr>
        <w:t xml:space="preserve"> </w:t>
      </w:r>
      <w:r w:rsidRPr="00FE0B4E">
        <w:rPr>
          <w:rFonts w:ascii="Times New Roman" w:hAnsi="Times New Roman" w:cs="Times New Roman"/>
          <w:sz w:val="24"/>
        </w:rPr>
        <w:t>add the provocative finding that polarization in the United States grew fastest among demographic groups least likely to use the internet, challenging the intuition that social media is the proximate cause and reinforcing the primacy of deeper structural forces. If these slow-moving fundamentals are the true engines of polarization, it follows that a pandemic — however socially disruptive in the short term — would leave the trajectory largely undisturbed. This is precisely what Figure 1 documents.</w:t>
      </w:r>
    </w:p>
    <w:p w14:paraId="7E7C4998" w14:textId="22727208" w:rsidR="00353A14" w:rsidRDefault="001976E3" w:rsidP="00353A14">
      <w:pPr>
        <w:spacing w:line="480" w:lineRule="auto"/>
        <w:rPr>
          <w:rFonts w:ascii="Times New Roman" w:hAnsi="Times New Roman" w:cs="Times New Roman"/>
          <w:i/>
          <w:iCs/>
          <w:sz w:val="24"/>
        </w:rPr>
      </w:pPr>
      <w:r w:rsidRPr="00353A14">
        <w:rPr>
          <w:rFonts w:ascii="Times New Roman" w:hAnsi="Times New Roman" w:cs="Times New Roman"/>
          <w:i/>
          <w:iCs/>
          <w:sz w:val="24"/>
        </w:rPr>
        <w:t>Limitations</w:t>
      </w:r>
    </w:p>
    <w:p w14:paraId="1AF9021F" w14:textId="2AE4FA51" w:rsidR="001976E3" w:rsidRPr="001976E3" w:rsidRDefault="00FE0B4E" w:rsidP="001976E3">
      <w:pPr>
        <w:spacing w:line="480" w:lineRule="auto"/>
        <w:rPr>
          <w:rFonts w:ascii="Times New Roman" w:hAnsi="Times New Roman" w:cs="Times New Roman"/>
          <w:sz w:val="24"/>
        </w:rPr>
      </w:pPr>
      <w:r w:rsidRPr="00FE0B4E">
        <w:rPr>
          <w:rFonts w:ascii="Times New Roman" w:hAnsi="Times New Roman" w:cs="Times New Roman"/>
          <w:sz w:val="24"/>
        </w:rPr>
        <w:t xml:space="preserve">Several limitations warrant acknowledgment. First, our sample is restricted to 38 OECD member states. While this provides a coherent set of high-income democracies, it limits generalizability to developing nations and autocracies, where both the biological impact and the political dynamics of the pandemic may differ substantially. Second, the analysis remains observational. The selection effect is compelling but correlational; we cannot exclude the possibility that unobserved variables drive both pre-pandemic cohesion and lockdown strategy simultaneously. Third, V-Dem indicators are expert-coded annual assessments that may not capture rapid, within-year fluctuations in social sentiment. Survey-based measures of interpersonal trust and political attitudes might reveal </w:t>
      </w:r>
      <w:r w:rsidRPr="00FE0B4E">
        <w:rPr>
          <w:rFonts w:ascii="Times New Roman" w:hAnsi="Times New Roman" w:cs="Times New Roman"/>
          <w:sz w:val="24"/>
        </w:rPr>
        <w:lastRenderedPageBreak/>
        <w:t>dynamics invisible at the annual institutional level. Fourth, the Stringency Index is a composite measure that aggregates diverse policy instruments — school closures, workplace restrictions, travel bans — which may have heterogeneous effects. Finally, the negative within-R-squared values in some TWFE specifications indicate that the fixed effects absorb most meaningful variation, leaving limited identifying variation for the exposure variables — a common challenge in short panels with slow-moving outcomes.</w:t>
      </w:r>
    </w:p>
    <w:p w14:paraId="08369EE1" w14:textId="4FC8A74C" w:rsidR="00FE0B4E" w:rsidRPr="00FE0B4E" w:rsidRDefault="00983B06" w:rsidP="00FE0B4E">
      <w:pPr>
        <w:spacing w:line="480" w:lineRule="auto"/>
        <w:rPr>
          <w:rFonts w:ascii="Times New Roman" w:hAnsi="Times New Roman" w:cs="Times New Roman"/>
          <w:sz w:val="24"/>
        </w:rPr>
      </w:pPr>
      <w:r>
        <w:rPr>
          <w:rFonts w:ascii="Times New Roman" w:hAnsi="Times New Roman" w:cs="Times New Roman"/>
          <w:b/>
          <w:bCs/>
          <w:sz w:val="24"/>
        </w:rPr>
        <w:tab/>
      </w:r>
      <w:r w:rsidR="00FE0B4E" w:rsidRPr="00FE0B4E">
        <w:rPr>
          <w:rFonts w:ascii="Times New Roman" w:hAnsi="Times New Roman" w:cs="Times New Roman"/>
          <w:sz w:val="24"/>
        </w:rPr>
        <w:t>This paper set out to test whether the COVID-19 pandemic drove social polarization in the developed world, and if so, through what mechanism — the virus or the lockdowns. The answer is neither.</w:t>
      </w:r>
    </w:p>
    <w:p w14:paraId="07C90C3B" w14:textId="28937A3C"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Across 38 OECD countries over the period 2019–2024, we find no evidence that COVID-19 mortality predicted changes in social cohesion. Nor do we find evidence that lockdown stringency accelerated polarization; the coefficient is negative and non-significant, inconsistent with the claim that coercive pandemic governance deepened social divisions. The decline in social cohesion observed across the OECD is structural, pre-dating the pandemic by at least a decade, and continuing through it at an unaltered pace. The pandemic, for all its disruption, did not detectably change the political trajectory of these societies.</w:t>
      </w:r>
    </w:p>
    <w:p w14:paraId="2532136D" w14:textId="2CB5AC77" w:rsidR="00FE0B4E" w:rsidRP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What the pandemic did reveal was the asymmetry of democratic governance </w:t>
      </w:r>
      <w:r w:rsidRPr="00FE0B4E">
        <w:rPr>
          <w:rFonts w:ascii="Times New Roman" w:hAnsi="Times New Roman" w:cs="Times New Roman"/>
          <w:sz w:val="24"/>
        </w:rPr>
        <w:lastRenderedPageBreak/>
        <w:t xml:space="preserve">under crisis. The single strongest predictor of lockdown stringency was not the severity of the outbreak but the level of pre-existing social cohesion (r = </w:t>
      </w:r>
      <w:r w:rsidRPr="00FE0B4E">
        <w:rPr>
          <w:rFonts w:ascii="Times New Roman" w:hAnsi="Times New Roman" w:cs="Times New Roman" w:hint="eastAsia"/>
          <w:sz w:val="24"/>
        </w:rPr>
        <w:t>−</w:t>
      </w:r>
      <w:r w:rsidRPr="00FE0B4E">
        <w:rPr>
          <w:rFonts w:ascii="Times New Roman" w:hAnsi="Times New Roman" w:cs="Times New Roman"/>
          <w:sz w:val="24"/>
        </w:rPr>
        <w:t>0.51, p = 0.001). Societies rich in social capital — Japan, the Nordic countries, New Zealand — could afford to govern lightly, achieving public health objectives through voluntary compliance. Societies poor in social capital — the United States, Southern Europe, Latin America — were compelled to govern heavily, not because their leaders chose authoritarianism but because their social conditions left no alternative. Coercion was not the cause of distrust; it was its consequence.</w:t>
      </w:r>
    </w:p>
    <w:p w14:paraId="1F9E2111" w14:textId="77777777" w:rsidR="00FE0B4E" w:rsidRDefault="00FE0B4E" w:rsidP="00FE0B4E">
      <w:pPr>
        <w:spacing w:line="480" w:lineRule="auto"/>
        <w:rPr>
          <w:rFonts w:ascii="Times New Roman" w:hAnsi="Times New Roman" w:cs="Times New Roman"/>
          <w:sz w:val="24"/>
        </w:rPr>
      </w:pPr>
      <w:r>
        <w:rPr>
          <w:rFonts w:ascii="Times New Roman" w:hAnsi="Times New Roman" w:cs="Times New Roman"/>
          <w:sz w:val="24"/>
        </w:rPr>
        <w:tab/>
      </w:r>
      <w:r w:rsidRPr="00FE0B4E">
        <w:rPr>
          <w:rFonts w:ascii="Times New Roman" w:hAnsi="Times New Roman" w:cs="Times New Roman"/>
          <w:sz w:val="24"/>
        </w:rPr>
        <w:t xml:space="preserve">The implication for future crisis preparedness is sobering. Pandemic planning has overwhelmingly focused on medical infrastructure: surveillance systems, vaccine pipelines, hospital surge capacity, stockpiles of personal protective equipment. Our findings suggest that the binding constraint on effective democratic crisis response is not medical but social. The countries that navigated the pandemic with the least friction were not those with the best epidemiological preparedness but those with the deepest reserves of mutual trust. Social capital, unlike ventilators, cannot be manufactured in an emergency. It is accumulated slowly, through decades of institutional performance, equitable governance, and civic participation — and once depleted, it is not easily restored. If the next global crisis arrives in a society already fractured by distrust, the same constrained </w:t>
      </w:r>
      <w:r w:rsidRPr="00FE0B4E">
        <w:rPr>
          <w:rFonts w:ascii="Times New Roman" w:hAnsi="Times New Roman" w:cs="Times New Roman"/>
          <w:sz w:val="24"/>
        </w:rPr>
        <w:lastRenderedPageBreak/>
        <w:t xml:space="preserve">choice will </w:t>
      </w:r>
      <w:proofErr w:type="gramStart"/>
      <w:r w:rsidRPr="00FE0B4E">
        <w:rPr>
          <w:rFonts w:ascii="Times New Roman" w:hAnsi="Times New Roman" w:cs="Times New Roman"/>
          <w:sz w:val="24"/>
        </w:rPr>
        <w:t>recur:</w:t>
      </w:r>
      <w:proofErr w:type="gramEnd"/>
      <w:r w:rsidRPr="00FE0B4E">
        <w:rPr>
          <w:rFonts w:ascii="Times New Roman" w:hAnsi="Times New Roman" w:cs="Times New Roman"/>
          <w:sz w:val="24"/>
        </w:rPr>
        <w:t xml:space="preserve"> tolerate the consequences of </w:t>
      </w:r>
      <w:proofErr w:type="gramStart"/>
      <w:r w:rsidRPr="00FE0B4E">
        <w:rPr>
          <w:rFonts w:ascii="Times New Roman" w:hAnsi="Times New Roman" w:cs="Times New Roman"/>
          <w:sz w:val="24"/>
        </w:rPr>
        <w:t>non-compliance, or</w:t>
      </w:r>
      <w:proofErr w:type="gramEnd"/>
      <w:r w:rsidRPr="00FE0B4E">
        <w:rPr>
          <w:rFonts w:ascii="Times New Roman" w:hAnsi="Times New Roman" w:cs="Times New Roman"/>
          <w:sz w:val="24"/>
        </w:rPr>
        <w:t xml:space="preserve"> impose mandates that confirm and deepen the very alienation they seek to overcome. The pandemic changed nothing — and that is precisely the problem.</w:t>
      </w:r>
    </w:p>
    <w:p w14:paraId="185028A6" w14:textId="77777777" w:rsidR="00983B06" w:rsidRDefault="00983B06" w:rsidP="00FE0B4E">
      <w:pPr>
        <w:spacing w:line="480" w:lineRule="auto"/>
        <w:rPr>
          <w:rFonts w:ascii="Times New Roman" w:hAnsi="Times New Roman" w:cs="Times New Roman"/>
          <w:sz w:val="24"/>
        </w:rPr>
      </w:pPr>
    </w:p>
    <w:p w14:paraId="7EB96AD5" w14:textId="77777777" w:rsidR="00983B06" w:rsidRDefault="00983B06" w:rsidP="00983B06">
      <w:pPr>
        <w:spacing w:line="480" w:lineRule="auto"/>
        <w:rPr>
          <w:rFonts w:ascii="Times New Roman" w:hAnsi="Times New Roman" w:cs="Times New Roman"/>
          <w:b/>
          <w:bCs/>
          <w:sz w:val="24"/>
        </w:rPr>
      </w:pPr>
      <w:r w:rsidRPr="008C5A01">
        <w:rPr>
          <w:rFonts w:ascii="Times New Roman" w:hAnsi="Times New Roman" w:cs="Times New Roman"/>
          <w:b/>
          <w:bCs/>
          <w:sz w:val="24"/>
        </w:rPr>
        <w:t>Data and Methods</w:t>
      </w:r>
    </w:p>
    <w:p w14:paraId="2A44565B" w14:textId="77777777" w:rsidR="00983B06" w:rsidRDefault="00983B06" w:rsidP="00983B06">
      <w:pPr>
        <w:spacing w:line="480" w:lineRule="auto"/>
        <w:rPr>
          <w:rFonts w:ascii="Times New Roman" w:hAnsi="Times New Roman" w:cs="Times New Roman"/>
          <w:sz w:val="24"/>
        </w:rPr>
      </w:pPr>
      <w:r w:rsidRPr="008C5A01">
        <w:rPr>
          <w:rFonts w:ascii="Times New Roman" w:hAnsi="Times New Roman" w:cs="Times New Roman"/>
          <w:i/>
          <w:iCs/>
          <w:sz w:val="24"/>
        </w:rPr>
        <w:t>Data Sources</w:t>
      </w:r>
    </w:p>
    <w:p w14:paraId="1AB1A6F8" w14:textId="77777777" w:rsidR="00983B06" w:rsidRDefault="00983B06" w:rsidP="00983B06">
      <w:pPr>
        <w:spacing w:line="480" w:lineRule="auto"/>
        <w:rPr>
          <w:rFonts w:ascii="Times New Roman" w:hAnsi="Times New Roman" w:cs="Times New Roman"/>
          <w:sz w:val="24"/>
        </w:rPr>
      </w:pPr>
      <w:r w:rsidRPr="00A62377">
        <w:rPr>
          <w:rFonts w:ascii="Times New Roman" w:hAnsi="Times New Roman" w:cs="Times New Roman"/>
          <w:sz w:val="24"/>
        </w:rPr>
        <w:t>This study integrates three publicly available datasets to construct a country-year panel of 38 OECD member states over the period 2019–2024.</w:t>
      </w:r>
    </w:p>
    <w:p w14:paraId="2C5F3DA1" w14:textId="77777777" w:rsidR="00983B06" w:rsidRDefault="00983B06" w:rsidP="00983B06">
      <w:pPr>
        <w:spacing w:line="480" w:lineRule="auto"/>
        <w:rPr>
          <w:rFonts w:ascii="Times New Roman" w:hAnsi="Times New Roman" w:cs="Times New Roman"/>
          <w:i/>
          <w:iCs/>
          <w:sz w:val="24"/>
        </w:rPr>
      </w:pPr>
      <w:r w:rsidRPr="008C5A01">
        <w:rPr>
          <w:rFonts w:ascii="Times New Roman" w:hAnsi="Times New Roman" w:cs="Times New Roman"/>
          <w:i/>
          <w:iCs/>
          <w:sz w:val="24"/>
        </w:rPr>
        <w:t>Outcome variables.</w:t>
      </w:r>
    </w:p>
    <w:p w14:paraId="5CCC128B" w14:textId="13C833F3" w:rsidR="00983B06" w:rsidRDefault="00983B06" w:rsidP="00983B06">
      <w:pPr>
        <w:spacing w:line="480" w:lineRule="auto"/>
        <w:rPr>
          <w:rFonts w:ascii="Times New Roman" w:hAnsi="Times New Roman" w:cs="Times New Roman"/>
          <w:sz w:val="24"/>
        </w:rPr>
      </w:pPr>
      <w:r w:rsidRPr="00A62377">
        <w:rPr>
          <w:rFonts w:ascii="Times New Roman" w:hAnsi="Times New Roman" w:cs="Times New Roman"/>
          <w:sz w:val="24"/>
        </w:rPr>
        <w:t>Democratic governance and social polarization indicators are drawn from the Varieties of Democracy Project, version 15 (V-Dem v15;</w:t>
      </w:r>
      <w:r>
        <w:rPr>
          <w:rFonts w:ascii="Times New Roman" w:hAnsi="Times New Roman" w:cs="Times New Roman"/>
          <w:sz w:val="24"/>
        </w:rPr>
        <w:t xml:space="preserve"> </w:t>
      </w:r>
      <w:r>
        <w:rPr>
          <w:rFonts w:ascii="Times New Roman" w:hAnsi="Times New Roman" w:cs="Times New Roman"/>
          <w:sz w:val="24"/>
        </w:rPr>
        <w:fldChar w:fldCharType="begin"/>
      </w:r>
      <w:r>
        <w:rPr>
          <w:rFonts w:ascii="Times New Roman" w:hAnsi="Times New Roman" w:cs="Times New Roman"/>
          <w:sz w:val="24"/>
        </w:rPr>
        <w:instrText xml:space="preserve"> ADDIN EN.CITE &lt;EndNote&gt;&lt;Cite&gt;&lt;Author&gt;Coppedge&lt;/Author&gt;&lt;Year&gt;2025&lt;/Year&gt;&lt;RecNum&gt;1095&lt;/RecNum&gt;&lt;DisplayText&gt;(1)&lt;/DisplayText&gt;&lt;record&gt;&lt;rec-number&gt;1095&lt;/rec-number&gt;&lt;foreign-keys&gt;&lt;key app="EN" db-id="05x9axpzsz5twaew5s0500tr90zzfepxexte" timestamp="1771129741"&gt;1095&lt;/key&gt;&lt;/foreign-keys&gt;&lt;ref-type name="Dataset"&gt;59&lt;/ref-type&gt;&lt;contributors&gt;&lt;authors&gt;&lt;author&gt;Coppedge, Michael&lt;/author&gt;&lt;author&gt;Gerring, John&lt;/author&gt;&lt;author&gt;Knutsen, Carl Henrik&lt;/author&gt;&lt;author&gt;Lindberg, Staffan I.&lt;/author&gt;&lt;author&gt;Teorell, Jan&lt;/author&gt;&lt;author&gt;Altman, David&lt;/author&gt;&lt;author&gt;Bernhard, Michael&lt;/author&gt;&lt;author&gt;Cornell, Agnes&lt;/author&gt;&lt;author&gt;Fish, M. Steven&lt;/author&gt;&lt;author&gt;Gastaldi, Lisa&lt;/author&gt;&lt;author&gt;Gjerløw, Haakon&lt;/author&gt;&lt;author&gt;Glynn, Adam&lt;/author&gt;&lt;author&gt;Hicken, Allen&lt;/author&gt;&lt;author&gt;Lührmann, Anna&lt;/author&gt;&lt;author&gt;Maerz, Seraphine F.&lt;/author&gt;&lt;author&gt;Marquardt, Kyle L.&lt;/author&gt;&lt;author&gt;McMann, Kelly&lt;/author&gt;&lt;author&gt;Paxton, Pamela&lt;/author&gt;&lt;author&gt;Pemstein, Daniel&lt;/author&gt;&lt;author&gt;von Römer, Johannes&lt;/author&gt;&lt;author&gt;Seim, Brigitte&lt;/author&gt;&lt;author&gt;Sigman, Rachel&lt;/author&gt;&lt;author&gt;Skaaning, Svend-Erik&lt;/author&gt;&lt;author&gt;Staton, Jeffrey&lt;/author&gt;&lt;author&gt;Tzelgov, Eitan&lt;/author&gt;&lt;author&gt;Wang, Yi-ting&lt;/author&gt;&lt;author&gt;Wig, Tore&lt;/author&gt;&lt;author&gt;Ziblatt, Daniel&lt;/author&gt;&lt;/authors&gt;&lt;/contributors&gt;&lt;titles&gt;&lt;title&gt;V-Dem [Country-Year/Country-Date] Dataset v15&lt;/title&gt;&lt;/titles&gt;&lt;dates&gt;&lt;year&gt;2025&lt;/year&gt;&lt;/dates&gt;&lt;publisher&gt;Varieties of Democracy (V-Dem) Institute&lt;/publisher&gt;&lt;urls&gt;&lt;related-urls&gt;&lt;url&gt;https://www.v-dem.net/data/the-v-dem-dataset/&lt;/url&gt;&lt;/related-urls&gt;&lt;/urls&gt;&lt;/record&gt;&lt;/Cite&gt;&lt;/EndNote&gt;</w:instrText>
      </w:r>
      <w:r>
        <w:rPr>
          <w:rFonts w:ascii="Times New Roman" w:hAnsi="Times New Roman" w:cs="Times New Roman"/>
          <w:sz w:val="24"/>
        </w:rPr>
        <w:fldChar w:fldCharType="separate"/>
      </w:r>
      <w:r>
        <w:rPr>
          <w:rFonts w:ascii="Times New Roman" w:hAnsi="Times New Roman" w:cs="Times New Roman"/>
          <w:noProof/>
          <w:sz w:val="24"/>
        </w:rPr>
        <w:t>(1)</w:t>
      </w:r>
      <w:r>
        <w:rPr>
          <w:rFonts w:ascii="Times New Roman" w:hAnsi="Times New Roman" w:cs="Times New Roman"/>
          <w:sz w:val="24"/>
        </w:rPr>
        <w:fldChar w:fldCharType="end"/>
      </w:r>
      <w:r w:rsidRPr="00A62377">
        <w:rPr>
          <w:rFonts w:ascii="Times New Roman" w:hAnsi="Times New Roman" w:cs="Times New Roman"/>
          <w:sz w:val="24"/>
        </w:rPr>
        <w:t>). Our primary outcome is social polarization (`v2smpolsoc`), which captures the degree to which society is divided along major political and social cleavages, with higher values indicating greater cohesion and lower values indicating deeper polarization. We additionally tested liberal democracy (`v2x_libdem`) and political polarization (`v2cacamps`) as alternative outcomes; both yielded null results and are reported for completeness.</w:t>
      </w:r>
    </w:p>
    <w:p w14:paraId="1BF03C29" w14:textId="77777777" w:rsidR="00983B06" w:rsidRDefault="00983B06" w:rsidP="00983B06">
      <w:pPr>
        <w:spacing w:line="480" w:lineRule="auto"/>
        <w:rPr>
          <w:rFonts w:ascii="Times New Roman" w:hAnsi="Times New Roman" w:cs="Times New Roman"/>
          <w:sz w:val="24"/>
        </w:rPr>
      </w:pPr>
      <w:r w:rsidRPr="008C5A01">
        <w:rPr>
          <w:rFonts w:ascii="Times New Roman" w:hAnsi="Times New Roman" w:cs="Times New Roman"/>
          <w:i/>
          <w:iCs/>
          <w:sz w:val="24"/>
        </w:rPr>
        <w:t>Exposure variables.</w:t>
      </w:r>
      <w:r w:rsidRPr="008C5A01">
        <w:rPr>
          <w:rFonts w:ascii="Times New Roman" w:hAnsi="Times New Roman" w:cs="Times New Roman"/>
          <w:sz w:val="24"/>
        </w:rPr>
        <w:t xml:space="preserve"> </w:t>
      </w:r>
    </w:p>
    <w:p w14:paraId="6A40A651" w14:textId="77777777" w:rsidR="00983B06" w:rsidRDefault="00983B06" w:rsidP="00983B06">
      <w:pPr>
        <w:spacing w:line="480" w:lineRule="auto"/>
        <w:rPr>
          <w:rFonts w:ascii="Times New Roman" w:hAnsi="Times New Roman" w:cs="Times New Roman"/>
          <w:sz w:val="24"/>
        </w:rPr>
      </w:pPr>
      <w:r w:rsidRPr="00A62377">
        <w:rPr>
          <w:rFonts w:ascii="Times New Roman" w:hAnsi="Times New Roman" w:cs="Times New Roman"/>
          <w:sz w:val="24"/>
        </w:rPr>
        <w:t xml:space="preserve">We operationalize two distinct dimensions of pandemic impact. The biological threat is </w:t>
      </w:r>
      <w:r w:rsidRPr="00A62377">
        <w:rPr>
          <w:rFonts w:ascii="Times New Roman" w:hAnsi="Times New Roman" w:cs="Times New Roman"/>
          <w:sz w:val="24"/>
        </w:rPr>
        <w:lastRenderedPageBreak/>
        <w:t xml:space="preserve">measured as cumulative COVID-19 deaths per million population, log-transformed as </w:t>
      </w:r>
      <w:proofErr w:type="gramStart"/>
      <w:r w:rsidRPr="00A62377">
        <w:rPr>
          <w:rFonts w:ascii="Times New Roman" w:hAnsi="Times New Roman" w:cs="Times New Roman"/>
          <w:sz w:val="24"/>
        </w:rPr>
        <w:t>ln(</w:t>
      </w:r>
      <w:proofErr w:type="gramEnd"/>
      <w:r w:rsidRPr="00A62377">
        <w:rPr>
          <w:rFonts w:ascii="Times New Roman" w:hAnsi="Times New Roman" w:cs="Times New Roman"/>
          <w:sz w:val="24"/>
        </w:rPr>
        <w:t xml:space="preserve">1 + deaths per million), sourced from Our World in Data </w:t>
      </w:r>
      <w:r>
        <w:rPr>
          <w:rFonts w:ascii="Times New Roman" w:hAnsi="Times New Roman" w:cs="Times New Roman"/>
          <w:sz w:val="24"/>
        </w:rPr>
        <w:fldChar w:fldCharType="begin">
          <w:fldData xml:space="preserve">PEVuZE5vdGU+PENpdGU+PEF1dGhvcj5NYXRoaWV1PC9BdXRob3I+PFllYXI+MjAyMTwvWWVhcj48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</w:fldData>
        </w:fldChar>
      </w:r>
      <w:r>
        <w:rPr>
          <w:rFonts w:ascii="Times New Roman" w:hAnsi="Times New Roman" w:cs="Times New Roman"/>
          <w:sz w:val="24"/>
        </w:rPr>
        <w:instrText xml:space="preserve"> ADDIN EN.JS.CITE </w:instrText>
      </w:r>
      <w:r>
        <w:rPr>
          <w:rFonts w:ascii="Times New Roman" w:hAnsi="Times New Roman" w:cs="Times New Roman"/>
          <w:sz w:val="24"/>
        </w:rPr>
      </w:r>
      <w:r>
        <w:rPr>
          <w:rFonts w:ascii="Times New Roman" w:hAnsi="Times New Roman" w:cs="Times New Roman"/>
          <w:sz w:val="24"/>
        </w:rPr>
        <w:fldChar w:fldCharType="separate"/>
      </w:r>
      <w:r w:rsidRPr="00A64F3D">
        <w:rPr>
          <w:rFonts w:ascii="Times New Roman" w:hAnsi="Times New Roman" w:cs="Times New Roman"/>
          <w:noProof/>
          <w:sz w:val="24"/>
          <w:vertAlign w:val="superscript"/>
        </w:rPr>
        <w:t>19</w:t>
      </w:r>
      <w:r>
        <w:rPr>
          <w:rFonts w:ascii="Times New Roman" w:hAnsi="Times New Roman" w:cs="Times New Roman"/>
          <w:sz w:val="24"/>
        </w:rPr>
        <w:fldChar w:fldCharType="end"/>
      </w:r>
      <w:r w:rsidRPr="00A62377">
        <w:rPr>
          <w:rFonts w:ascii="Times New Roman" w:hAnsi="Times New Roman" w:cs="Times New Roman"/>
          <w:sz w:val="24"/>
        </w:rPr>
        <w:t xml:space="preserve">, which aggregates data from the Johns Hopkins CSSE and national health agencies. The policy response is measured using the Stringency Index (0–100) from the Oxford COVID-19 Government Response Tracker </w:t>
      </w:r>
      <w:r>
        <w:rPr>
          <w:rFonts w:ascii="Times New Roman" w:hAnsi="Times New Roman" w:cs="Times New Roman"/>
          <w:sz w:val="24"/>
        </w:rPr>
        <w:fldChar w:fldCharType="begin">
          <w:fldData xml:space="preserve">PEVuZE5vdGU+PENpdGU+PEF1dGhvcj5IYWxlPC9BdXRob3I+PFllYXI+MjAyMTwvWWVhcj48UmVj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</w:fldData>
        </w:fldChar>
      </w:r>
      <w:r>
        <w:rPr>
          <w:rFonts w:ascii="Times New Roman" w:hAnsi="Times New Roman" w:cs="Times New Roman"/>
          <w:sz w:val="24"/>
        </w:rPr>
        <w:instrText xml:space="preserve"> ADDIN EN.JS.CITE </w:instrText>
      </w:r>
      <w:r>
        <w:rPr>
          <w:rFonts w:ascii="Times New Roman" w:hAnsi="Times New Roman" w:cs="Times New Roman"/>
          <w:sz w:val="24"/>
        </w:rPr>
      </w:r>
      <w:r>
        <w:rPr>
          <w:rFonts w:ascii="Times New Roman" w:hAnsi="Times New Roman" w:cs="Times New Roman"/>
          <w:sz w:val="24"/>
        </w:rPr>
        <w:fldChar w:fldCharType="separate"/>
      </w:r>
      <w:r w:rsidRPr="00A64F3D">
        <w:rPr>
          <w:rFonts w:ascii="Times New Roman" w:hAnsi="Times New Roman" w:cs="Times New Roman"/>
          <w:noProof/>
          <w:sz w:val="24"/>
          <w:vertAlign w:val="superscript"/>
        </w:rPr>
        <w:t>18</w:t>
      </w:r>
      <w:r>
        <w:rPr>
          <w:rFonts w:ascii="Times New Roman" w:hAnsi="Times New Roman" w:cs="Times New Roman"/>
          <w:sz w:val="24"/>
        </w:rPr>
        <w:fldChar w:fldCharType="end"/>
      </w:r>
      <w:r w:rsidRPr="00A62377">
        <w:rPr>
          <w:rFonts w:ascii="Times New Roman" w:hAnsi="Times New Roman" w:cs="Times New Roman"/>
          <w:sz w:val="24"/>
        </w:rPr>
        <w:t>, a composite of nine containment and closure indicators including school closures, workplace closures, stay-at-home requirements, and restrictions on gatherings. We compute the country-level mean of the Stringency Index over 2020–2021, the period of maximum policy variation across OECD nations.</w:t>
      </w:r>
    </w:p>
    <w:p w14:paraId="4D395ED2" w14:textId="77777777" w:rsidR="00983B06" w:rsidRDefault="00983B06" w:rsidP="00983B06">
      <w:pPr>
        <w:spacing w:line="480" w:lineRule="auto"/>
        <w:rPr>
          <w:rFonts w:ascii="Times New Roman" w:hAnsi="Times New Roman" w:cs="Times New Roman"/>
          <w:sz w:val="24"/>
        </w:rPr>
      </w:pPr>
      <w:r w:rsidRPr="008C5A01">
        <w:rPr>
          <w:rFonts w:ascii="Times New Roman" w:hAnsi="Times New Roman" w:cs="Times New Roman"/>
          <w:i/>
          <w:iCs/>
          <w:sz w:val="24"/>
        </w:rPr>
        <w:t>Historical epidemic exposure.</w:t>
      </w:r>
      <w:r w:rsidRPr="008C5A01">
        <w:rPr>
          <w:rFonts w:ascii="Times New Roman" w:hAnsi="Times New Roman" w:cs="Times New Roman"/>
          <w:sz w:val="24"/>
        </w:rPr>
        <w:t xml:space="preserve"> </w:t>
      </w:r>
    </w:p>
    <w:p w14:paraId="2CF77F9F" w14:textId="77777777" w:rsidR="00983B06" w:rsidRPr="008C5A01" w:rsidRDefault="00983B06" w:rsidP="00983B06">
      <w:pPr>
        <w:spacing w:line="480" w:lineRule="auto"/>
        <w:rPr>
          <w:rFonts w:ascii="Times New Roman" w:hAnsi="Times New Roman" w:cs="Times New Roman"/>
          <w:sz w:val="24"/>
        </w:rPr>
      </w:pPr>
      <w:r w:rsidRPr="00A62377">
        <w:rPr>
          <w:rFonts w:ascii="Times New Roman" w:hAnsi="Times New Roman" w:cs="Times New Roman"/>
          <w:sz w:val="24"/>
        </w:rPr>
        <w:t xml:space="preserve">To situate the COVID-19 analysis within a broader epidemiological context, we draw on the EM-DAT International Disaster Database </w:t>
      </w:r>
      <w:r>
        <w:rPr>
          <w:rFonts w:ascii="Times New Roman" w:hAnsi="Times New Roman" w:cs="Times New Roman"/>
          <w:sz w:val="24"/>
        </w:rPr>
        <w:fldChar w:fldCharType="begin">
          <w:fldData xml:space="preserve">PEVuZE5vdGU+PENpdGU+PEF1dGhvcj5HdWhhLVNhcGlyPC9BdXRob3I+PFllYXI+MjAyNTwvWWVh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</w:fldData>
        </w:fldChar>
      </w:r>
      <w:r>
        <w:rPr>
          <w:rFonts w:ascii="Times New Roman" w:hAnsi="Times New Roman" w:cs="Times New Roman"/>
          <w:sz w:val="24"/>
        </w:rPr>
        <w:instrText xml:space="preserve"> ADDIN EN.JS.CITE </w:instrText>
      </w:r>
      <w:r>
        <w:rPr>
          <w:rFonts w:ascii="Times New Roman" w:hAnsi="Times New Roman" w:cs="Times New Roman"/>
          <w:sz w:val="24"/>
        </w:rPr>
      </w:r>
      <w:r>
        <w:rPr>
          <w:rFonts w:ascii="Times New Roman" w:hAnsi="Times New Roman" w:cs="Times New Roman"/>
          <w:sz w:val="24"/>
        </w:rPr>
        <w:fldChar w:fldCharType="separate"/>
      </w:r>
      <w:r w:rsidRPr="00A64F3D">
        <w:rPr>
          <w:rFonts w:ascii="Times New Roman" w:hAnsi="Times New Roman" w:cs="Times New Roman"/>
          <w:noProof/>
          <w:sz w:val="24"/>
          <w:vertAlign w:val="superscript"/>
        </w:rPr>
        <w:t>17</w:t>
      </w:r>
      <w:r>
        <w:rPr>
          <w:rFonts w:ascii="Times New Roman" w:hAnsi="Times New Roman" w:cs="Times New Roman"/>
          <w:sz w:val="24"/>
        </w:rPr>
        <w:fldChar w:fldCharType="end"/>
      </w:r>
      <w:r w:rsidRPr="00A62377">
        <w:rPr>
          <w:rFonts w:ascii="Times New Roman" w:hAnsi="Times New Roman" w:cs="Times New Roman"/>
          <w:sz w:val="24"/>
        </w:rPr>
        <w:t>, which records 888 epidemic events across 604 country-years in the period 2000–2025. This dataset is used in preliminary models to test whether historical epidemic exposure — independent of COVID-19 — predicts political outcomes.</w:t>
      </w:r>
    </w:p>
    <w:p w14:paraId="2DE7CEBB" w14:textId="77777777" w:rsidR="00983B06" w:rsidRDefault="00983B06" w:rsidP="00983B06">
      <w:pPr>
        <w:spacing w:line="480" w:lineRule="auto"/>
        <w:rPr>
          <w:rFonts w:ascii="Times New Roman" w:hAnsi="Times New Roman" w:cs="Times New Roman"/>
          <w:i/>
          <w:iCs/>
          <w:sz w:val="24"/>
        </w:rPr>
      </w:pPr>
      <w:r w:rsidRPr="008C5A01">
        <w:rPr>
          <w:rFonts w:ascii="Times New Roman" w:hAnsi="Times New Roman" w:cs="Times New Roman"/>
          <w:i/>
          <w:iCs/>
          <w:sz w:val="24"/>
        </w:rPr>
        <w:t>Pre-pandemic baseline.</w:t>
      </w:r>
    </w:p>
    <w:p w14:paraId="30F298DA" w14:textId="77777777" w:rsidR="00983B06" w:rsidRPr="008C5A01" w:rsidRDefault="00983B06" w:rsidP="00983B06">
      <w:pPr>
        <w:spacing w:line="480" w:lineRule="auto"/>
        <w:rPr>
          <w:rFonts w:ascii="Times New Roman" w:hAnsi="Times New Roman" w:cs="Times New Roman"/>
          <w:sz w:val="24"/>
        </w:rPr>
      </w:pPr>
      <w:r w:rsidRPr="00A62377">
        <w:rPr>
          <w:rFonts w:ascii="Times New Roman" w:hAnsi="Times New Roman" w:cs="Times New Roman"/>
          <w:sz w:val="24"/>
        </w:rPr>
        <w:t>Pre-pandemic social cohesion is measured as the 2019 value of `v2smpolsoc`, providing a pre-treatment benchmark uncontaminated by pandemic dynamics. This variable serves both as a control for baseline conditions and as the key predictor in our selection analysis.</w:t>
      </w:r>
    </w:p>
    <w:p w14:paraId="65DEB085" w14:textId="77777777" w:rsidR="00983B06" w:rsidRPr="008C5A01" w:rsidRDefault="00983B06" w:rsidP="00983B06">
      <w:pPr>
        <w:spacing w:line="480" w:lineRule="auto"/>
        <w:rPr>
          <w:rFonts w:ascii="Times New Roman" w:hAnsi="Times New Roman" w:cs="Times New Roman"/>
          <w:i/>
          <w:iCs/>
          <w:sz w:val="24"/>
        </w:rPr>
      </w:pPr>
      <w:r w:rsidRPr="008C5A01">
        <w:rPr>
          <w:rFonts w:ascii="Times New Roman" w:hAnsi="Times New Roman" w:cs="Times New Roman"/>
          <w:i/>
          <w:iCs/>
          <w:sz w:val="24"/>
        </w:rPr>
        <w:lastRenderedPageBreak/>
        <w:t>Sample</w:t>
      </w:r>
    </w:p>
    <w:p w14:paraId="2B26C98A" w14:textId="77777777" w:rsidR="00983B06" w:rsidRDefault="00983B06" w:rsidP="00983B06">
      <w:pPr>
        <w:spacing w:line="480" w:lineRule="auto"/>
        <w:rPr>
          <w:rFonts w:ascii="Times New Roman" w:hAnsi="Times New Roman" w:cs="Times New Roman"/>
          <w:sz w:val="24"/>
        </w:rPr>
      </w:pPr>
      <w:r w:rsidRPr="00A62377">
        <w:rPr>
          <w:rFonts w:ascii="Times New Roman" w:hAnsi="Times New Roman" w:cs="Times New Roman"/>
          <w:sz w:val="24"/>
        </w:rPr>
        <w:t>The sample comprises all 38 current OECD member states, providing a relatively homogeneous set of high-income democracies that nonetheless exhibit substantial variation in both pandemic policy responses (Stringency Index range: 37.5–65.3) and social cohesion (v2smpolsoc range: −2.87 to +2.48 in 2019). All countries have complete V-Dem coverage through 2024 and OWID coverage through at least mid-2024.</w:t>
      </w:r>
    </w:p>
    <w:p w14:paraId="0A0E8A34" w14:textId="77777777" w:rsidR="00983B06" w:rsidRPr="00F44841" w:rsidRDefault="00983B06" w:rsidP="00983B06">
      <w:pPr>
        <w:spacing w:line="480" w:lineRule="auto"/>
        <w:rPr>
          <w:rFonts w:ascii="Times New Roman" w:hAnsi="Times New Roman" w:cs="Times New Roman"/>
          <w:sz w:val="24"/>
        </w:rPr>
      </w:pPr>
      <w:r w:rsidRPr="008C5A01">
        <w:rPr>
          <w:rFonts w:ascii="Times New Roman" w:hAnsi="Times New Roman" w:cs="Times New Roman"/>
          <w:i/>
          <w:iCs/>
          <w:sz w:val="24"/>
        </w:rPr>
        <w:t>Empirical Strategy</w:t>
      </w:r>
    </w:p>
    <w:p w14:paraId="6AD8A2E9" w14:textId="77777777" w:rsidR="00983B06" w:rsidRPr="008C5A01" w:rsidRDefault="00983B06" w:rsidP="00983B06">
      <w:pPr>
        <w:spacing w:line="480" w:lineRule="auto"/>
        <w:rPr>
          <w:rFonts w:ascii="Times New Roman" w:hAnsi="Times New Roman" w:cs="Times New Roman"/>
          <w:sz w:val="24"/>
        </w:rPr>
      </w:pPr>
      <w:r w:rsidRPr="008C5A01">
        <w:rPr>
          <w:rFonts w:ascii="Times New Roman" w:hAnsi="Times New Roman" w:cs="Times New Roman"/>
          <w:sz w:val="24"/>
        </w:rPr>
        <w:t>Our identification strategy rests on a Two-Way Fixed Effects (TWFE) model</w:t>
      </w:r>
      <w:r>
        <w:rPr>
          <w:rFonts w:ascii="Times New Roman" w:hAnsi="Times New Roman" w:cs="Times New Roman"/>
          <w:sz w:val="24"/>
        </w:rPr>
        <w:t xml:space="preserve"> </w:t>
      </w:r>
      <w:r w:rsidRPr="008C5A01">
        <w:rPr>
          <w:rFonts w:ascii="Times New Roman" w:hAnsi="Times New Roman" w:cs="Times New Roman"/>
          <w:sz w:val="24"/>
        </w:rPr>
        <w:t xml:space="preserve">estimated on first-differenced outcomes. For country </w:t>
      </w:r>
      <w:proofErr w:type="spellStart"/>
      <w:r w:rsidRPr="008C5A01">
        <w:rPr>
          <w:rFonts w:ascii="Times New Roman" w:hAnsi="Times New Roman" w:cs="Times New Roman"/>
          <w:sz w:val="24"/>
        </w:rPr>
        <w:t>i</w:t>
      </w:r>
      <w:proofErr w:type="spellEnd"/>
      <w:r w:rsidRPr="008C5A01">
        <w:rPr>
          <w:rFonts w:ascii="Times New Roman" w:hAnsi="Times New Roman" w:cs="Times New Roman"/>
          <w:sz w:val="24"/>
        </w:rPr>
        <w:t xml:space="preserve"> in year t, the</w:t>
      </w:r>
      <w:r>
        <w:rPr>
          <w:rFonts w:ascii="Times New Roman" w:hAnsi="Times New Roman" w:cs="Times New Roman"/>
          <w:sz w:val="24"/>
        </w:rPr>
        <w:t xml:space="preserve"> </w:t>
      </w:r>
      <w:r w:rsidRPr="008C5A01">
        <w:rPr>
          <w:rFonts w:ascii="Times New Roman" w:hAnsi="Times New Roman" w:cs="Times New Roman"/>
          <w:sz w:val="24"/>
        </w:rPr>
        <w:t>estimating equation is:</w:t>
      </w:r>
    </w:p>
    <w:p w14:paraId="13EEC36D" w14:textId="77777777" w:rsidR="00983B06" w:rsidRPr="008C5A01" w:rsidRDefault="00983B06" w:rsidP="00983B06">
      <w:pPr>
        <w:spacing w:line="480" w:lineRule="auto"/>
        <w:rPr>
          <w:rFonts w:ascii="Times New Roman" w:hAnsi="Times New Roman" w:cs="Times New Roman"/>
          <w:sz w:val="24"/>
        </w:rPr>
      </w:pPr>
      <m:oMathPara>
        <m:oMath>
          <m:r>
            <m:rPr>
              <m:sty m:val="p"/>
            </m:rPr>
            <w:rPr>
              <w:rFonts w:ascii="Cambria Math" w:hAnsi="Cambria Math" w:cs="Times New Roman"/>
              <w:sz w:val="24"/>
            </w:rPr>
            <m:t>Δ</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=β</m:t>
          </m:r>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ε</m:t>
              </m:r>
            </m:e>
            <m:sub>
              <m:r>
                <w:rPr>
                  <w:rFonts w:ascii="Cambria Math" w:hAnsi="Cambria Math" w:cs="Times New Roman"/>
                  <w:sz w:val="24"/>
                </w:rPr>
                <m:t>it</m:t>
              </m:r>
            </m:sub>
          </m:sSub>
        </m:oMath>
      </m:oMathPara>
    </w:p>
    <w:p w14:paraId="49CBECF6" w14:textId="77777777" w:rsidR="00983B06" w:rsidRDefault="00983B06" w:rsidP="00983B06">
      <w:pPr>
        <w:spacing w:line="480" w:lineRule="auto"/>
        <w:rPr>
          <w:rFonts w:ascii="Times New Roman" w:hAnsi="Times New Roman" w:cs="Times New Roman"/>
          <w:sz w:val="24"/>
        </w:rPr>
      </w:pPr>
      <w:r w:rsidRPr="008C5A01">
        <w:rPr>
          <w:rFonts w:ascii="Times New Roman" w:hAnsi="Times New Roman" w:cs="Times New Roman"/>
          <w:sz w:val="24"/>
        </w:rPr>
        <w:t xml:space="preserve">where </w:t>
      </w:r>
      <m:oMath>
        <m:r>
          <m:rPr>
            <m:sty m:val="p"/>
          </m:rPr>
          <w:rPr>
            <w:rFonts w:ascii="Cambria Math" w:hAnsi="Cambria Math" w:cs="Times New Roman"/>
            <w:sz w:val="24"/>
          </w:rPr>
          <m:t>Δ</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m:t>
            </m:r>
          </m:sub>
        </m:sSub>
        <m:r>
          <w:rPr>
            <w:rFonts w:ascii="Cambria Math" w:hAnsi="Cambria Math" w:cs="Times New Roman"/>
            <w:sz w:val="24"/>
          </w:rPr>
          <m:t>-</m:t>
        </m:r>
        <m:sSub>
          <m:sSubPr>
            <m:ctrlPr>
              <w:rPr>
                <w:rFonts w:ascii="Cambria Math" w:hAnsi="Cambria Math" w:cs="Times New Roman"/>
                <w:i/>
                <w:sz w:val="24"/>
              </w:rPr>
            </m:ctrlPr>
          </m:sSubPr>
          <m:e>
            <m:r>
              <w:rPr>
                <w:rFonts w:ascii="Cambria Math" w:hAnsi="Cambria Math" w:cs="Times New Roman"/>
                <w:sz w:val="24"/>
              </w:rPr>
              <m:t>Y</m:t>
            </m:r>
          </m:e>
          <m:sub>
            <m:r>
              <w:rPr>
                <w:rFonts w:ascii="Cambria Math" w:hAnsi="Cambria Math" w:cs="Times New Roman"/>
                <w:sz w:val="24"/>
              </w:rPr>
              <m:t>it-1</m:t>
            </m:r>
          </m:sub>
        </m:sSub>
      </m:oMath>
      <w:r w:rsidRPr="008C5A01">
        <w:rPr>
          <w:rFonts w:ascii="Times New Roman" w:hAnsi="Times New Roman" w:cs="Times New Roman"/>
          <w:sz w:val="24"/>
        </w:rPr>
        <w:t xml:space="preserve"> is the annual change in social</w:t>
      </w:r>
      <w:r>
        <w:rPr>
          <w:rFonts w:ascii="Times New Roman" w:hAnsi="Times New Roman" w:cs="Times New Roman"/>
          <w:sz w:val="24"/>
        </w:rPr>
        <w:t xml:space="preserve"> </w:t>
      </w:r>
      <w:r w:rsidRPr="008C5A01">
        <w:rPr>
          <w:rFonts w:ascii="Times New Roman" w:hAnsi="Times New Roman" w:cs="Times New Roman"/>
          <w:sz w:val="24"/>
        </w:rPr>
        <w:t xml:space="preserve">polarization, </w:t>
      </w:r>
      <m:oMath>
        <m:sSub>
          <m:sSubPr>
            <m:ctrlPr>
              <w:rPr>
                <w:rFonts w:ascii="Cambria Math" w:hAnsi="Cambria Math" w:cs="Times New Roman"/>
                <w:i/>
                <w:sz w:val="24"/>
              </w:rPr>
            </m:ctrlPr>
          </m:sSubPr>
          <m:e>
            <m:r>
              <w:rPr>
                <w:rFonts w:ascii="Cambria Math" w:hAnsi="Cambria Math" w:cs="Times New Roman"/>
                <w:sz w:val="24"/>
              </w:rPr>
              <m:t>X</m:t>
            </m:r>
          </m:e>
          <m:sub>
            <m:r>
              <w:rPr>
                <w:rFonts w:ascii="Cambria Math" w:hAnsi="Cambria Math" w:cs="Times New Roman"/>
                <w:sz w:val="24"/>
              </w:rPr>
              <m:t>it</m:t>
            </m:r>
          </m:sub>
        </m:sSub>
      </m:oMath>
      <w:r w:rsidRPr="008C5A01">
        <w:rPr>
          <w:rFonts w:ascii="Times New Roman" w:hAnsi="Times New Roman" w:cs="Times New Roman"/>
          <w:sz w:val="24"/>
        </w:rPr>
        <w:t xml:space="preserve"> is the exposure variable (log COVID-19 mortality or</w:t>
      </w:r>
      <w:r>
        <w:rPr>
          <w:rFonts w:ascii="Times New Roman" w:hAnsi="Times New Roman" w:cs="Times New Roman"/>
          <w:sz w:val="24"/>
        </w:rPr>
        <w:t xml:space="preserve"> </w:t>
      </w:r>
      <w:r w:rsidRPr="008C5A01">
        <w:rPr>
          <w:rFonts w:ascii="Times New Roman" w:hAnsi="Times New Roman" w:cs="Times New Roman"/>
          <w:sz w:val="24"/>
        </w:rPr>
        <w:t xml:space="preserve">lockdown stringency), </w:t>
      </w:r>
      <m:oMath>
        <m:sSub>
          <m:sSubPr>
            <m:ctrlPr>
              <w:rPr>
                <w:rFonts w:ascii="Cambria Math" w:hAnsi="Cambria Math" w:cs="Times New Roman"/>
                <w:i/>
                <w:sz w:val="24"/>
              </w:rPr>
            </m:ctrlPr>
          </m:sSubPr>
          <m:e>
            <m:r>
              <w:rPr>
                <w:rFonts w:ascii="Cambria Math" w:hAnsi="Cambria Math" w:cs="Times New Roman"/>
                <w:sz w:val="24"/>
              </w:rPr>
              <m:t>α</m:t>
            </m:r>
          </m:e>
          <m:sub>
            <m:r>
              <w:rPr>
                <w:rFonts w:ascii="Cambria Math" w:hAnsi="Cambria Math" w:cs="Times New Roman"/>
                <w:sz w:val="24"/>
              </w:rPr>
              <m:t>i</m:t>
            </m:r>
          </m:sub>
        </m:sSub>
      </m:oMath>
      <w:r w:rsidRPr="008C5A01">
        <w:rPr>
          <w:rFonts w:ascii="Times New Roman" w:hAnsi="Times New Roman" w:cs="Times New Roman"/>
          <w:sz w:val="24"/>
        </w:rPr>
        <w:t xml:space="preserve"> denotes country fixed effects absorbing</w:t>
      </w:r>
      <w:r>
        <w:rPr>
          <w:rFonts w:ascii="Times New Roman" w:hAnsi="Times New Roman" w:cs="Times New Roman"/>
          <w:sz w:val="24"/>
        </w:rPr>
        <w:t xml:space="preserve"> </w:t>
      </w:r>
      <w:r w:rsidRPr="008C5A01">
        <w:rPr>
          <w:rFonts w:ascii="Times New Roman" w:hAnsi="Times New Roman" w:cs="Times New Roman"/>
          <w:sz w:val="24"/>
        </w:rPr>
        <w:t>time-invariant confounders (political culture, institutional heritage,</w:t>
      </w:r>
      <w:r>
        <w:rPr>
          <w:rFonts w:ascii="Times New Roman" w:hAnsi="Times New Roman" w:cs="Times New Roman"/>
          <w:sz w:val="24"/>
        </w:rPr>
        <w:t xml:space="preserve"> </w:t>
      </w:r>
      <w:r w:rsidRPr="008C5A01">
        <w:rPr>
          <w:rFonts w:ascii="Times New Roman" w:hAnsi="Times New Roman" w:cs="Times New Roman"/>
          <w:sz w:val="24"/>
        </w:rPr>
        <w:t xml:space="preserve">geography), and </w:t>
      </w:r>
      <m:oMath>
        <m:sSub>
          <m:sSubPr>
            <m:ctrlPr>
              <w:rPr>
                <w:rFonts w:ascii="Cambria Math" w:hAnsi="Cambria Math" w:cs="Times New Roman"/>
                <w:i/>
                <w:sz w:val="24"/>
              </w:rPr>
            </m:ctrlPr>
          </m:sSubPr>
          <m:e>
            <m:r>
              <w:rPr>
                <w:rFonts w:ascii="Cambria Math" w:hAnsi="Cambria Math" w:cs="Times New Roman"/>
                <w:sz w:val="24"/>
              </w:rPr>
              <m:t>γ</m:t>
            </m:r>
          </m:e>
          <m:sub>
            <m:r>
              <w:rPr>
                <w:rFonts w:ascii="Cambria Math" w:hAnsi="Cambria Math" w:cs="Times New Roman"/>
                <w:sz w:val="24"/>
              </w:rPr>
              <m:t>t</m:t>
            </m:r>
          </m:sub>
        </m:sSub>
      </m:oMath>
      <w:r w:rsidRPr="008C5A01">
        <w:rPr>
          <w:rFonts w:ascii="Times New Roman" w:hAnsi="Times New Roman" w:cs="Times New Roman"/>
          <w:sz w:val="24"/>
        </w:rPr>
        <w:t xml:space="preserve"> denotes year fixed effects absorbing common</w:t>
      </w:r>
      <w:r>
        <w:rPr>
          <w:rFonts w:ascii="Times New Roman" w:hAnsi="Times New Roman" w:cs="Times New Roman"/>
          <w:sz w:val="24"/>
        </w:rPr>
        <w:t xml:space="preserve"> </w:t>
      </w:r>
      <w:r w:rsidRPr="008C5A01">
        <w:rPr>
          <w:rFonts w:ascii="Times New Roman" w:hAnsi="Times New Roman" w:cs="Times New Roman"/>
          <w:sz w:val="24"/>
        </w:rPr>
        <w:t>temporal shocks (global pandemic waves, economic cycles, information</w:t>
      </w:r>
      <w:r>
        <w:rPr>
          <w:rFonts w:ascii="Times New Roman" w:hAnsi="Times New Roman" w:cs="Times New Roman"/>
          <w:sz w:val="24"/>
        </w:rPr>
        <w:t xml:space="preserve"> </w:t>
      </w:r>
      <w:r w:rsidRPr="008C5A01">
        <w:rPr>
          <w:rFonts w:ascii="Times New Roman" w:hAnsi="Times New Roman" w:cs="Times New Roman"/>
          <w:sz w:val="24"/>
        </w:rPr>
        <w:t>environment shifts). Standard errors are clustered at the country level to</w:t>
      </w:r>
      <w:r>
        <w:rPr>
          <w:rFonts w:ascii="Times New Roman" w:hAnsi="Times New Roman" w:cs="Times New Roman"/>
          <w:sz w:val="24"/>
        </w:rPr>
        <w:t xml:space="preserve"> </w:t>
      </w:r>
      <w:r w:rsidRPr="008C5A01">
        <w:rPr>
          <w:rFonts w:ascii="Times New Roman" w:hAnsi="Times New Roman" w:cs="Times New Roman"/>
          <w:sz w:val="24"/>
        </w:rPr>
        <w:t>account for serial correlation within panels.</w:t>
      </w:r>
    </w:p>
    <w:p w14:paraId="2F4E7455" w14:textId="77777777" w:rsidR="00983B06" w:rsidRDefault="00983B06" w:rsidP="00983B06">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 xml:space="preserve">The </w:t>
      </w:r>
      <w:proofErr w:type="gramStart"/>
      <w:r w:rsidRPr="008C5A01">
        <w:rPr>
          <w:rFonts w:ascii="Times New Roman" w:hAnsi="Times New Roman" w:cs="Times New Roman"/>
          <w:sz w:val="24"/>
        </w:rPr>
        <w:t>first-differencing</w:t>
      </w:r>
      <w:proofErr w:type="gramEnd"/>
      <w:r w:rsidRPr="008C5A01">
        <w:rPr>
          <w:rFonts w:ascii="Times New Roman" w:hAnsi="Times New Roman" w:cs="Times New Roman"/>
          <w:sz w:val="24"/>
        </w:rPr>
        <w:t xml:space="preserve"> of the outcome serves a specific purpose: it shifts the</w:t>
      </w:r>
      <w:r>
        <w:rPr>
          <w:rFonts w:ascii="Times New Roman" w:hAnsi="Times New Roman" w:cs="Times New Roman"/>
          <w:sz w:val="24"/>
        </w:rPr>
        <w:t xml:space="preserve"> </w:t>
      </w:r>
      <w:proofErr w:type="spellStart"/>
      <w:r w:rsidRPr="008C5A01">
        <w:rPr>
          <w:rFonts w:ascii="Times New Roman" w:hAnsi="Times New Roman" w:cs="Times New Roman"/>
          <w:sz w:val="24"/>
        </w:rPr>
        <w:t>estimand</w:t>
      </w:r>
      <w:proofErr w:type="spellEnd"/>
      <w:r w:rsidRPr="008C5A01">
        <w:rPr>
          <w:rFonts w:ascii="Times New Roman" w:hAnsi="Times New Roman" w:cs="Times New Roman"/>
          <w:sz w:val="24"/>
        </w:rPr>
        <w:t xml:space="preserve"> from levels of polarization — which are dominated by slow-moving,</w:t>
      </w:r>
      <w:r>
        <w:rPr>
          <w:rFonts w:ascii="Times New Roman" w:hAnsi="Times New Roman" w:cs="Times New Roman"/>
          <w:sz w:val="24"/>
        </w:rPr>
        <w:t xml:space="preserve"> </w:t>
      </w:r>
      <w:r w:rsidRPr="008C5A01">
        <w:rPr>
          <w:rFonts w:ascii="Times New Roman" w:hAnsi="Times New Roman" w:cs="Times New Roman"/>
          <w:sz w:val="24"/>
        </w:rPr>
        <w:t>path-</w:t>
      </w:r>
      <w:r w:rsidRPr="008C5A01">
        <w:rPr>
          <w:rFonts w:ascii="Times New Roman" w:hAnsi="Times New Roman" w:cs="Times New Roman"/>
          <w:sz w:val="24"/>
        </w:rPr>
        <w:lastRenderedPageBreak/>
        <w:t>dependent processes — to changes in polarization, isolating year-on-year</w:t>
      </w:r>
      <w:r>
        <w:rPr>
          <w:rFonts w:ascii="Times New Roman" w:hAnsi="Times New Roman" w:cs="Times New Roman"/>
          <w:sz w:val="24"/>
        </w:rPr>
        <w:t xml:space="preserve"> </w:t>
      </w:r>
      <w:r w:rsidRPr="008C5A01">
        <w:rPr>
          <w:rFonts w:ascii="Times New Roman" w:hAnsi="Times New Roman" w:cs="Times New Roman"/>
          <w:sz w:val="24"/>
        </w:rPr>
        <w:t>acceleration that might plausibly respond to pandemic-era variation. This is a conservative specification; it asks not whether more-exposed countries are</w:t>
      </w:r>
      <w:r>
        <w:rPr>
          <w:rFonts w:ascii="Times New Roman" w:hAnsi="Times New Roman" w:cs="Times New Roman"/>
          <w:sz w:val="24"/>
        </w:rPr>
        <w:t xml:space="preserve"> </w:t>
      </w:r>
      <w:r w:rsidRPr="008C5A01">
        <w:rPr>
          <w:rFonts w:ascii="Times New Roman" w:hAnsi="Times New Roman" w:cs="Times New Roman"/>
          <w:sz w:val="24"/>
        </w:rPr>
        <w:t>more polarized, but whether they became more polarized faster during the</w:t>
      </w:r>
      <w:r>
        <w:rPr>
          <w:rFonts w:ascii="Times New Roman" w:hAnsi="Times New Roman" w:cs="Times New Roman"/>
          <w:sz w:val="24"/>
        </w:rPr>
        <w:t xml:space="preserve"> </w:t>
      </w:r>
      <w:r w:rsidRPr="008C5A01">
        <w:rPr>
          <w:rFonts w:ascii="Times New Roman" w:hAnsi="Times New Roman" w:cs="Times New Roman"/>
          <w:sz w:val="24"/>
        </w:rPr>
        <w:t>period of exposure.</w:t>
      </w:r>
      <w:r>
        <w:rPr>
          <w:rFonts w:ascii="Times New Roman" w:hAnsi="Times New Roman" w:cs="Times New Roman"/>
          <w:sz w:val="24"/>
        </w:rPr>
        <w:t xml:space="preserve"> </w:t>
      </w:r>
    </w:p>
    <w:p w14:paraId="6FD1A7FC" w14:textId="77777777" w:rsidR="00983B06" w:rsidRDefault="00983B06" w:rsidP="00983B06">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We supplement the panel analysis with cross-sectional OLS regressions</w:t>
      </w:r>
      <w:r>
        <w:rPr>
          <w:rFonts w:ascii="Times New Roman" w:hAnsi="Times New Roman" w:cs="Times New Roman"/>
          <w:sz w:val="24"/>
        </w:rPr>
        <w:t xml:space="preserve"> </w:t>
      </w:r>
      <w:r w:rsidRPr="008C5A01">
        <w:rPr>
          <w:rFonts w:ascii="Times New Roman" w:hAnsi="Times New Roman" w:cs="Times New Roman"/>
          <w:sz w:val="24"/>
        </w:rPr>
        <w:t>estimated on the 38-country sample, regressing the total change in social</w:t>
      </w:r>
      <w:r>
        <w:rPr>
          <w:rFonts w:ascii="Times New Roman" w:hAnsi="Times New Roman" w:cs="Times New Roman"/>
          <w:sz w:val="24"/>
        </w:rPr>
        <w:t xml:space="preserve"> </w:t>
      </w:r>
      <w:r w:rsidRPr="008C5A01">
        <w:rPr>
          <w:rFonts w:ascii="Times New Roman" w:hAnsi="Times New Roman" w:cs="Times New Roman"/>
          <w:sz w:val="24"/>
        </w:rPr>
        <w:t>polarization (2019 to 2024) on mean lockdown stringency (2020–2021). These</w:t>
      </w:r>
      <w:r>
        <w:rPr>
          <w:rFonts w:ascii="Times New Roman" w:hAnsi="Times New Roman" w:cs="Times New Roman"/>
          <w:sz w:val="24"/>
        </w:rPr>
        <w:t xml:space="preserve"> </w:t>
      </w:r>
      <w:r w:rsidRPr="008C5A01">
        <w:rPr>
          <w:rFonts w:ascii="Times New Roman" w:hAnsi="Times New Roman" w:cs="Times New Roman"/>
          <w:sz w:val="24"/>
        </w:rPr>
        <w:t>cross-sectional models sacrifice the temporal variation exploited by the panel but offer transparency and direct interpretability. Robust standard errors</w:t>
      </w:r>
      <w:r>
        <w:rPr>
          <w:rFonts w:ascii="Times New Roman" w:hAnsi="Times New Roman" w:cs="Times New Roman"/>
          <w:sz w:val="24"/>
        </w:rPr>
        <w:t xml:space="preserve"> </w:t>
      </w:r>
      <w:r w:rsidRPr="008C5A01">
        <w:rPr>
          <w:rFonts w:ascii="Times New Roman" w:hAnsi="Times New Roman" w:cs="Times New Roman"/>
          <w:sz w:val="24"/>
        </w:rPr>
        <w:t>(HC1) are employed throughout.</w:t>
      </w:r>
    </w:p>
    <w:p w14:paraId="592656D9" w14:textId="77777777" w:rsidR="00983B06" w:rsidRDefault="00983B06" w:rsidP="00983B06">
      <w:pPr>
        <w:spacing w:line="480" w:lineRule="auto"/>
        <w:rPr>
          <w:rFonts w:ascii="Times New Roman" w:hAnsi="Times New Roman" w:cs="Times New Roman"/>
          <w:sz w:val="24"/>
        </w:rPr>
      </w:pPr>
      <w:r>
        <w:rPr>
          <w:rFonts w:ascii="Times New Roman" w:hAnsi="Times New Roman" w:cs="Times New Roman"/>
          <w:sz w:val="24"/>
        </w:rPr>
        <w:tab/>
      </w:r>
      <w:r w:rsidRPr="008C5A01">
        <w:rPr>
          <w:rFonts w:ascii="Times New Roman" w:hAnsi="Times New Roman" w:cs="Times New Roman"/>
          <w:sz w:val="24"/>
        </w:rPr>
        <w:t>To address the threat of reverse causality — the possibility that pre-existing</w:t>
      </w:r>
      <w:r>
        <w:rPr>
          <w:rFonts w:ascii="Times New Roman" w:hAnsi="Times New Roman" w:cs="Times New Roman"/>
          <w:sz w:val="24"/>
        </w:rPr>
        <w:t xml:space="preserve"> </w:t>
      </w:r>
      <w:r w:rsidRPr="008C5A01">
        <w:rPr>
          <w:rFonts w:ascii="Times New Roman" w:hAnsi="Times New Roman" w:cs="Times New Roman"/>
          <w:sz w:val="24"/>
        </w:rPr>
        <w:t>polarization determined lockdown stringency rather than the reverse — we</w:t>
      </w:r>
      <w:r>
        <w:rPr>
          <w:rFonts w:ascii="Times New Roman" w:hAnsi="Times New Roman" w:cs="Times New Roman"/>
          <w:sz w:val="24"/>
        </w:rPr>
        <w:t xml:space="preserve"> </w:t>
      </w:r>
      <w:r w:rsidRPr="008C5A01">
        <w:rPr>
          <w:rFonts w:ascii="Times New Roman" w:hAnsi="Times New Roman" w:cs="Times New Roman"/>
          <w:sz w:val="24"/>
        </w:rPr>
        <w:t>conduct a partial regression analysis, residualizing both the exposure and the outcome on 2019 baseline polarization. This Frisch-Waugh-Lovell decomposition</w:t>
      </w:r>
      <w:r>
        <w:rPr>
          <w:rFonts w:ascii="Times New Roman" w:hAnsi="Times New Roman" w:cs="Times New Roman"/>
          <w:sz w:val="24"/>
        </w:rPr>
        <w:t xml:space="preserve"> </w:t>
      </w:r>
      <w:r w:rsidRPr="008C5A01">
        <w:rPr>
          <w:rFonts w:ascii="Times New Roman" w:hAnsi="Times New Roman" w:cs="Times New Roman"/>
          <w:sz w:val="24"/>
        </w:rPr>
        <w:t>isolates the component of the stringency–polarization association that is</w:t>
      </w:r>
      <w:r>
        <w:rPr>
          <w:rFonts w:ascii="Times New Roman" w:hAnsi="Times New Roman" w:cs="Times New Roman"/>
          <w:sz w:val="24"/>
        </w:rPr>
        <w:t xml:space="preserve"> </w:t>
      </w:r>
      <w:r w:rsidRPr="008C5A01">
        <w:rPr>
          <w:rFonts w:ascii="Times New Roman" w:hAnsi="Times New Roman" w:cs="Times New Roman"/>
          <w:sz w:val="24"/>
        </w:rPr>
        <w:t>orthogonal to pre-pandemic conditions.</w:t>
      </w:r>
    </w:p>
    <w:p w14:paraId="2EDE96AE" w14:textId="77777777" w:rsidR="00983B06" w:rsidRPr="005758DA" w:rsidRDefault="00983B06" w:rsidP="00983B06">
      <w:pPr>
        <w:spacing w:line="480" w:lineRule="auto"/>
        <w:rPr>
          <w:rFonts w:ascii="Times New Roman" w:hAnsi="Times New Roman" w:cs="Times New Roman"/>
          <w:i/>
          <w:iCs/>
          <w:sz w:val="24"/>
        </w:rPr>
      </w:pPr>
      <w:r w:rsidRPr="005758DA">
        <w:rPr>
          <w:rFonts w:ascii="Times New Roman" w:hAnsi="Times New Roman" w:cs="Times New Roman"/>
          <w:i/>
          <w:iCs/>
          <w:sz w:val="24"/>
        </w:rPr>
        <w:t xml:space="preserve">Ethical </w:t>
      </w:r>
      <w:r>
        <w:rPr>
          <w:rFonts w:ascii="Times New Roman" w:hAnsi="Times New Roman" w:cs="Times New Roman"/>
          <w:i/>
          <w:iCs/>
          <w:sz w:val="24"/>
        </w:rPr>
        <w:t>oversight</w:t>
      </w:r>
    </w:p>
    <w:p w14:paraId="298F76DD" w14:textId="2C474E81" w:rsidR="00983B06" w:rsidRDefault="00983B06" w:rsidP="00983B06">
      <w:pPr>
        <w:spacing w:line="480" w:lineRule="auto"/>
        <w:rPr>
          <w:rFonts w:ascii="Times New Roman" w:hAnsi="Times New Roman" w:cs="Times New Roman"/>
          <w:sz w:val="24"/>
        </w:rPr>
      </w:pPr>
      <w:r w:rsidRPr="00F66B99">
        <w:rPr>
          <w:rFonts w:ascii="Times New Roman" w:hAnsi="Times New Roman" w:cs="Times New Roman"/>
          <w:sz w:val="24"/>
        </w:rPr>
        <w:t>Ethical approval was not required for this study as it relies exclusively on publicly available, aggregate-level data.</w:t>
      </w:r>
    </w:p>
    <w:p w14:paraId="648E78D4" w14:textId="77777777" w:rsidR="00FE0B4E" w:rsidRDefault="00FE0B4E" w:rsidP="00FE0B4E">
      <w:pPr>
        <w:spacing w:line="480" w:lineRule="auto"/>
        <w:rPr>
          <w:rFonts w:ascii="Times New Roman" w:hAnsi="Times New Roman" w:cs="Times New Roman"/>
          <w:sz w:val="24"/>
        </w:rPr>
      </w:pPr>
    </w:p>
    <w:p w14:paraId="4D817F69" w14:textId="77777777" w:rsidR="00453286" w:rsidRPr="00453286" w:rsidRDefault="00453286" w:rsidP="00453286">
      <w:pPr>
        <w:spacing w:line="480" w:lineRule="auto"/>
        <w:rPr>
          <w:rFonts w:ascii="Times New Roman" w:hAnsi="Times New Roman" w:cs="Times New Roman"/>
          <w:b/>
          <w:bCs/>
          <w:sz w:val="24"/>
        </w:rPr>
      </w:pPr>
      <w:r w:rsidRPr="00453286">
        <w:rPr>
          <w:rFonts w:ascii="Times New Roman" w:hAnsi="Times New Roman" w:cs="Times New Roman"/>
          <w:b/>
          <w:bCs/>
          <w:sz w:val="24"/>
        </w:rPr>
        <w:lastRenderedPageBreak/>
        <w:t>Data availability</w:t>
      </w:r>
    </w:p>
    <w:p w14:paraId="69EE8409" w14:textId="085BA79C" w:rsidR="00453286" w:rsidRPr="00453286" w:rsidRDefault="00453286" w:rsidP="00453286">
      <w:pPr>
        <w:spacing w:line="480" w:lineRule="auto"/>
        <w:rPr>
          <w:rFonts w:ascii="Times New Roman" w:hAnsi="Times New Roman" w:cs="Times New Roman"/>
          <w:sz w:val="24"/>
        </w:rPr>
      </w:pPr>
      <w:r w:rsidRPr="00453286">
        <w:rPr>
          <w:rFonts w:ascii="Times New Roman" w:hAnsi="Times New Roman" w:cs="Times New Roman"/>
          <w:sz w:val="24"/>
        </w:rPr>
        <w:t xml:space="preserve">The datasets generated and/or </w:t>
      </w:r>
      <w:proofErr w:type="spellStart"/>
      <w:r w:rsidRPr="00453286">
        <w:rPr>
          <w:rFonts w:ascii="Times New Roman" w:hAnsi="Times New Roman" w:cs="Times New Roman"/>
          <w:sz w:val="24"/>
        </w:rPr>
        <w:t>analysed</w:t>
      </w:r>
      <w:proofErr w:type="spellEnd"/>
      <w:r w:rsidRPr="00453286">
        <w:rPr>
          <w:rFonts w:ascii="Times New Roman" w:hAnsi="Times New Roman" w:cs="Times New Roman"/>
          <w:sz w:val="24"/>
        </w:rPr>
        <w:t xml:space="preserve"> during the current study are available in the GitHub repository: </w:t>
      </w:r>
      <w:hyperlink r:id="rId9" w:history="1">
        <w:r w:rsidRPr="00453286">
          <w:rPr>
            <w:rStyle w:val="aa"/>
            <w:rFonts w:ascii="Times New Roman" w:hAnsi="Times New Roman" w:cs="Times New Roman"/>
            <w:sz w:val="24"/>
          </w:rPr>
          <w:t>https://github.com/denovo2021/EIPSA.</w:t>
        </w:r>
      </w:hyperlink>
      <w:r>
        <w:rPr>
          <w:rFonts w:ascii="Times New Roman" w:hAnsi="Times New Roman" w:cs="Times New Roman"/>
          <w:sz w:val="24"/>
        </w:rPr>
        <w:t xml:space="preserve"> </w:t>
      </w:r>
      <w:r w:rsidRPr="00453286">
        <w:rPr>
          <w:rFonts w:ascii="Times New Roman" w:hAnsi="Times New Roman" w:cs="Times New Roman"/>
          <w:sz w:val="24"/>
        </w:rPr>
        <w:t>The raw data supporting the findings of this study are publicly available from the following sources:</w:t>
      </w:r>
    </w:p>
    <w:p w14:paraId="118BDD86" w14:textId="59E784CC"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Varieties of Democracy (V-Dem) Project (v15): </w:t>
      </w:r>
      <w:hyperlink r:id="rId10" w:history="1">
        <w:r w:rsidRPr="00453286">
          <w:rPr>
            <w:rStyle w:val="aa"/>
            <w:rFonts w:ascii="Times New Roman" w:hAnsi="Times New Roman" w:cs="Times New Roman"/>
            <w:sz w:val="24"/>
          </w:rPr>
          <w:t>https://www.v-dem.net/data/the-v-dem-dataset/</w:t>
        </w:r>
      </w:hyperlink>
      <w:r w:rsidRPr="00453286">
        <w:rPr>
          <w:rFonts w:ascii="Times New Roman" w:hAnsi="Times New Roman" w:cs="Times New Roman"/>
          <w:sz w:val="24"/>
        </w:rPr>
        <w:t xml:space="preserve"> </w:t>
      </w:r>
    </w:p>
    <w:p w14:paraId="49A4AA67" w14:textId="5C4CF31A"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Oxford COVID-19 Government Response Tracker (</w:t>
      </w:r>
      <w:proofErr w:type="spellStart"/>
      <w:r w:rsidRPr="00453286">
        <w:rPr>
          <w:rFonts w:ascii="Times New Roman" w:hAnsi="Times New Roman" w:cs="Times New Roman"/>
          <w:sz w:val="24"/>
        </w:rPr>
        <w:t>OxCGRT</w:t>
      </w:r>
      <w:proofErr w:type="spellEnd"/>
      <w:r w:rsidRPr="00453286">
        <w:rPr>
          <w:rFonts w:ascii="Times New Roman" w:hAnsi="Times New Roman" w:cs="Times New Roman"/>
          <w:sz w:val="24"/>
        </w:rPr>
        <w:t xml:space="preserve">): </w:t>
      </w:r>
      <w:hyperlink r:id="rId11" w:history="1">
        <w:r w:rsidRPr="00453286">
          <w:rPr>
            <w:rStyle w:val="aa"/>
            <w:rFonts w:ascii="Times New Roman" w:hAnsi="Times New Roman" w:cs="Times New Roman"/>
            <w:sz w:val="24"/>
          </w:rPr>
          <w:t>https://github.com/OxCGRT/covid-policy-tracker</w:t>
        </w:r>
      </w:hyperlink>
      <w:r w:rsidRPr="00453286">
        <w:rPr>
          <w:rFonts w:ascii="Times New Roman" w:hAnsi="Times New Roman" w:cs="Times New Roman"/>
          <w:sz w:val="24"/>
        </w:rPr>
        <w:t xml:space="preserve"> </w:t>
      </w:r>
    </w:p>
    <w:p w14:paraId="7B182701" w14:textId="3FCB1F13"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Our World in Data (COVID-19 dataset): </w:t>
      </w:r>
      <w:hyperlink r:id="rId12" w:history="1">
        <w:r w:rsidRPr="00453286">
          <w:rPr>
            <w:rStyle w:val="aa"/>
            <w:rFonts w:ascii="Times New Roman" w:hAnsi="Times New Roman" w:cs="Times New Roman"/>
            <w:sz w:val="24"/>
          </w:rPr>
          <w:t>https://github.com/owid/covid-19-data</w:t>
        </w:r>
      </w:hyperlink>
      <w:r w:rsidRPr="00453286">
        <w:rPr>
          <w:rFonts w:ascii="Times New Roman" w:hAnsi="Times New Roman" w:cs="Times New Roman"/>
          <w:sz w:val="24"/>
        </w:rPr>
        <w:t xml:space="preserve"> </w:t>
      </w:r>
    </w:p>
    <w:p w14:paraId="689D4174" w14:textId="32BA2B0F" w:rsidR="00453286" w:rsidRPr="00453286" w:rsidRDefault="00453286" w:rsidP="00453286">
      <w:pPr>
        <w:spacing w:line="480" w:lineRule="auto"/>
        <w:rPr>
          <w:rFonts w:ascii="Times New Roman" w:hAnsi="Times New Roman" w:cs="Times New Roman"/>
          <w:sz w:val="24"/>
        </w:rPr>
      </w:pPr>
      <w:r>
        <w:rPr>
          <w:rFonts w:ascii="Times New Roman" w:hAnsi="Times New Roman" w:cs="Times New Roman"/>
          <w:sz w:val="24"/>
        </w:rPr>
        <w:t xml:space="preserve">• </w:t>
      </w:r>
      <w:r w:rsidRPr="00453286">
        <w:rPr>
          <w:rFonts w:ascii="Times New Roman" w:hAnsi="Times New Roman" w:cs="Times New Roman"/>
          <w:sz w:val="24"/>
        </w:rPr>
        <w:t xml:space="preserve">EM-DAT International Disaster Database: </w:t>
      </w:r>
      <w:hyperlink r:id="rId13" w:history="1">
        <w:r w:rsidRPr="00453286">
          <w:rPr>
            <w:rStyle w:val="aa"/>
            <w:rFonts w:ascii="Times New Roman" w:hAnsi="Times New Roman" w:cs="Times New Roman"/>
            <w:sz w:val="24"/>
          </w:rPr>
          <w:t>https://www.emdat.be/</w:t>
        </w:r>
      </w:hyperlink>
      <w:r w:rsidRPr="00453286">
        <w:rPr>
          <w:rFonts w:ascii="Times New Roman" w:hAnsi="Times New Roman" w:cs="Times New Roman"/>
          <w:sz w:val="24"/>
        </w:rPr>
        <w:t xml:space="preserve"> </w:t>
      </w:r>
    </w:p>
    <w:p w14:paraId="73E4F526" w14:textId="77777777" w:rsidR="00453286" w:rsidRPr="00453286" w:rsidRDefault="00453286" w:rsidP="00453286">
      <w:pPr>
        <w:spacing w:line="480" w:lineRule="auto"/>
        <w:rPr>
          <w:rFonts w:ascii="Times New Roman" w:hAnsi="Times New Roman" w:cs="Times New Roman"/>
          <w:sz w:val="24"/>
        </w:rPr>
      </w:pPr>
    </w:p>
    <w:p w14:paraId="319DB63B" w14:textId="77777777" w:rsidR="00453286" w:rsidRPr="00453286" w:rsidRDefault="00453286" w:rsidP="00453286">
      <w:pPr>
        <w:spacing w:line="480" w:lineRule="auto"/>
        <w:rPr>
          <w:rFonts w:ascii="Times New Roman" w:hAnsi="Times New Roman" w:cs="Times New Roman"/>
          <w:b/>
          <w:bCs/>
          <w:sz w:val="24"/>
        </w:rPr>
      </w:pPr>
      <w:r w:rsidRPr="00453286">
        <w:rPr>
          <w:rFonts w:ascii="Times New Roman" w:hAnsi="Times New Roman" w:cs="Times New Roman"/>
          <w:b/>
          <w:bCs/>
          <w:sz w:val="24"/>
        </w:rPr>
        <w:t>Code availability</w:t>
      </w:r>
    </w:p>
    <w:p w14:paraId="0940CAA6" w14:textId="0971F834" w:rsidR="00453286" w:rsidRDefault="00453286" w:rsidP="00453286">
      <w:pPr>
        <w:spacing w:line="480" w:lineRule="auto"/>
        <w:rPr>
          <w:rFonts w:ascii="Times New Roman" w:hAnsi="Times New Roman" w:cs="Times New Roman"/>
          <w:sz w:val="24"/>
        </w:rPr>
      </w:pPr>
      <w:r w:rsidRPr="00453286">
        <w:rPr>
          <w:rFonts w:ascii="Times New Roman" w:hAnsi="Times New Roman" w:cs="Times New Roman"/>
          <w:sz w:val="24"/>
        </w:rPr>
        <w:t xml:space="preserve">All computer code used for data cleaning, statistical analysis, and figure generation is available in the GitHub repository: </w:t>
      </w:r>
      <w:hyperlink r:id="rId14" w:history="1">
        <w:r w:rsidRPr="00453286">
          <w:rPr>
            <w:rStyle w:val="aa"/>
            <w:rFonts w:ascii="Times New Roman" w:hAnsi="Times New Roman" w:cs="Times New Roman"/>
            <w:sz w:val="24"/>
          </w:rPr>
          <w:t>https://github.com/denovo2021/EIPSA</w:t>
        </w:r>
      </w:hyperlink>
      <w:r w:rsidRPr="00453286">
        <w:rPr>
          <w:rFonts w:ascii="Times New Roman" w:hAnsi="Times New Roman" w:cs="Times New Roman"/>
          <w:sz w:val="24"/>
        </w:rPr>
        <w:t>. The analysis was performed using Python (v3.</w:t>
      </w:r>
      <w:r>
        <w:rPr>
          <w:rFonts w:ascii="Times New Roman" w:hAnsi="Times New Roman" w:cs="Times New Roman"/>
          <w:sz w:val="24"/>
        </w:rPr>
        <w:t>12</w:t>
      </w:r>
      <w:r w:rsidRPr="00453286">
        <w:rPr>
          <w:rFonts w:ascii="Times New Roman" w:hAnsi="Times New Roman" w:cs="Times New Roman"/>
          <w:sz w:val="24"/>
        </w:rPr>
        <w:t xml:space="preserve">) with the pandas, </w:t>
      </w:r>
      <w:proofErr w:type="spellStart"/>
      <w:r w:rsidRPr="00453286">
        <w:rPr>
          <w:rFonts w:ascii="Times New Roman" w:hAnsi="Times New Roman" w:cs="Times New Roman"/>
          <w:sz w:val="24"/>
        </w:rPr>
        <w:t>statsmodels</w:t>
      </w:r>
      <w:proofErr w:type="spellEnd"/>
      <w:r w:rsidRPr="00453286">
        <w:rPr>
          <w:rFonts w:ascii="Times New Roman" w:hAnsi="Times New Roman" w:cs="Times New Roman"/>
          <w:sz w:val="24"/>
        </w:rPr>
        <w:t xml:space="preserve">, </w:t>
      </w:r>
      <w:proofErr w:type="spellStart"/>
      <w:r w:rsidRPr="00453286">
        <w:rPr>
          <w:rFonts w:ascii="Times New Roman" w:hAnsi="Times New Roman" w:cs="Times New Roman"/>
          <w:sz w:val="24"/>
        </w:rPr>
        <w:t>linearmodels</w:t>
      </w:r>
      <w:proofErr w:type="spellEnd"/>
      <w:r w:rsidRPr="00453286">
        <w:rPr>
          <w:rFonts w:ascii="Times New Roman" w:hAnsi="Times New Roman" w:cs="Times New Roman"/>
          <w:sz w:val="24"/>
        </w:rPr>
        <w:t>, and seaborn libraries.</w:t>
      </w:r>
    </w:p>
    <w:p w14:paraId="2584C5A0" w14:textId="77777777" w:rsidR="00E36F17" w:rsidRDefault="00E36F17" w:rsidP="00453286">
      <w:pPr>
        <w:spacing w:line="480" w:lineRule="auto"/>
        <w:rPr>
          <w:rFonts w:ascii="Times New Roman" w:hAnsi="Times New Roman" w:cs="Times New Roman"/>
          <w:sz w:val="24"/>
        </w:rPr>
      </w:pPr>
    </w:p>
    <w:p w14:paraId="7A6E65D6" w14:textId="025D22BE" w:rsidR="00E36F17" w:rsidRDefault="00E36F17" w:rsidP="00453286">
      <w:pPr>
        <w:spacing w:line="480" w:lineRule="auto"/>
        <w:rPr>
          <w:rFonts w:ascii="Times New Roman" w:hAnsi="Times New Roman" w:cs="Times New Roman"/>
          <w:sz w:val="24"/>
        </w:rPr>
      </w:pPr>
      <w:r w:rsidRPr="00E36F17">
        <w:rPr>
          <w:rFonts w:ascii="Times New Roman" w:hAnsi="Times New Roman" w:cs="Times New Roman"/>
          <w:b/>
          <w:bCs/>
          <w:sz w:val="24"/>
        </w:rPr>
        <w:t>Author contributions:</w:t>
      </w:r>
      <w:r w:rsidRPr="00E36F17">
        <w:rPr>
          <w:rFonts w:ascii="Times New Roman" w:hAnsi="Times New Roman" w:cs="Times New Roman"/>
          <w:sz w:val="24"/>
        </w:rPr>
        <w:t xml:space="preserve"> T.K. and T.F. designed research; T.K. performed research and </w:t>
      </w:r>
      <w:r w:rsidRPr="00E36F17">
        <w:rPr>
          <w:rFonts w:ascii="Times New Roman" w:hAnsi="Times New Roman" w:cs="Times New Roman"/>
          <w:sz w:val="24"/>
        </w:rPr>
        <w:lastRenderedPageBreak/>
        <w:t>analyzed data; T.K. and T.F. wrote the paper.</w:t>
      </w:r>
    </w:p>
    <w:p w14:paraId="379227B0" w14:textId="77777777" w:rsidR="00E36F17" w:rsidRDefault="00E36F17" w:rsidP="00453286">
      <w:pPr>
        <w:spacing w:line="480" w:lineRule="auto"/>
        <w:rPr>
          <w:rFonts w:ascii="Times New Roman" w:hAnsi="Times New Roman" w:cs="Times New Roman"/>
          <w:sz w:val="24"/>
        </w:rPr>
      </w:pPr>
    </w:p>
    <w:p w14:paraId="1063B277" w14:textId="1A5B7DB2" w:rsidR="00E36F17" w:rsidRDefault="00E36F17" w:rsidP="00453286">
      <w:pPr>
        <w:spacing w:line="480" w:lineRule="auto"/>
        <w:rPr>
          <w:rFonts w:ascii="Times New Roman" w:hAnsi="Times New Roman" w:cs="Times New Roman"/>
          <w:sz w:val="24"/>
        </w:rPr>
      </w:pPr>
      <w:r w:rsidRPr="00E36F17">
        <w:rPr>
          <w:rFonts w:ascii="Times New Roman" w:hAnsi="Times New Roman" w:cs="Times New Roman"/>
          <w:b/>
          <w:bCs/>
          <w:sz w:val="24"/>
        </w:rPr>
        <w:t>Competing interests:</w:t>
      </w:r>
      <w:r w:rsidRPr="00E36F17">
        <w:rPr>
          <w:rFonts w:ascii="Times New Roman" w:hAnsi="Times New Roman" w:cs="Times New Roman"/>
          <w:sz w:val="24"/>
        </w:rPr>
        <w:t xml:space="preserve"> The authors declare no competing interests.</w:t>
      </w:r>
    </w:p>
    <w:p w14:paraId="2A274065" w14:textId="77777777" w:rsidR="00E36F17" w:rsidRDefault="00E36F17" w:rsidP="00453286">
      <w:pPr>
        <w:spacing w:line="480" w:lineRule="auto"/>
        <w:rPr>
          <w:rFonts w:ascii="Times New Roman" w:hAnsi="Times New Roman" w:cs="Times New Roman"/>
          <w:sz w:val="24"/>
        </w:rPr>
      </w:pPr>
    </w:p>
    <w:p w14:paraId="2E8451D1" w14:textId="18A69027" w:rsidR="00E36F17" w:rsidRDefault="00E36F17" w:rsidP="00453286">
      <w:pPr>
        <w:spacing w:line="480" w:lineRule="auto"/>
        <w:rPr>
          <w:rFonts w:ascii="Times New Roman" w:hAnsi="Times New Roman" w:cs="Times New Roman"/>
          <w:sz w:val="24"/>
        </w:rPr>
      </w:pPr>
      <w:r w:rsidRPr="00E36F17">
        <w:rPr>
          <w:rFonts w:ascii="Times New Roman" w:hAnsi="Times New Roman" w:cs="Times New Roman"/>
          <w:b/>
          <w:bCs/>
          <w:sz w:val="24"/>
        </w:rPr>
        <w:t>Acknowledgments and Funding:</w:t>
      </w:r>
      <w:r>
        <w:rPr>
          <w:rFonts w:ascii="Times New Roman" w:hAnsi="Times New Roman" w:cs="Times New Roman"/>
          <w:sz w:val="24"/>
        </w:rPr>
        <w:t xml:space="preserve"> None</w:t>
      </w:r>
    </w:p>
    <w:p w14:paraId="13E7E9A7" w14:textId="77777777" w:rsidR="00453286" w:rsidRDefault="00453286" w:rsidP="00FE0B4E">
      <w:pPr>
        <w:spacing w:line="480" w:lineRule="auto"/>
        <w:rPr>
          <w:rFonts w:ascii="Times New Roman" w:hAnsi="Times New Roman" w:cs="Times New Roman"/>
          <w:sz w:val="24"/>
        </w:rPr>
      </w:pPr>
    </w:p>
    <w:p w14:paraId="2B05BD2B" w14:textId="10674353" w:rsidR="007903A6" w:rsidRPr="00656CB4" w:rsidRDefault="007903A6" w:rsidP="00FE0B4E">
      <w:pPr>
        <w:spacing w:line="480" w:lineRule="auto"/>
        <w:rPr>
          <w:rFonts w:ascii="Times New Roman" w:hAnsi="Times New Roman" w:cs="Times New Roman"/>
          <w:b/>
          <w:bCs/>
          <w:sz w:val="24"/>
        </w:rPr>
      </w:pPr>
      <w:r w:rsidRPr="00656CB4">
        <w:rPr>
          <w:rFonts w:ascii="Times New Roman" w:hAnsi="Times New Roman" w:cs="Times New Roman"/>
          <w:b/>
          <w:bCs/>
          <w:sz w:val="24"/>
        </w:rPr>
        <w:t>References</w:t>
      </w:r>
    </w:p>
    <w:sdt>
      <w:sdtPr>
        <w:tag w:val="EndNote.ReferenceList"/>
        <w:id w:val="1725868791"/>
        <w:placeholder>
          <w:docPart w:val="DefaultPlaceholder_-1854013440"/>
        </w:placeholder>
      </w:sdtPr>
      <w:sdtContent>
        <w:p w14:paraId="688A2718" w14:textId="7D13CBEC" w:rsidR="00A64F3D" w:rsidRPr="00A64F3D" w:rsidRDefault="00A64F3D" w:rsidP="00A64F3D">
          <w:pPr>
            <w:pStyle w:val="EndNoteBibliography"/>
            <w:ind w:left="720" w:hanging="720"/>
            <w:rPr>
              <w:noProof/>
            </w:rPr>
          </w:pPr>
          <w:r w:rsidRPr="00A64F3D">
            <w:rPr>
              <w:noProof/>
            </w:rPr>
            <w:t>1</w:t>
          </w:r>
          <w:r w:rsidRPr="00A64F3D">
            <w:rPr>
              <w:noProof/>
            </w:rPr>
            <w:tab/>
            <w:t xml:space="preserve">Thornhill, R. &amp; Fincher, C. L. </w:t>
          </w:r>
          <w:r w:rsidRPr="00A64F3D">
            <w:rPr>
              <w:i/>
              <w:noProof/>
            </w:rPr>
            <w:t>The Parasite-Stress Theory of Values and Sociality</w:t>
          </w:r>
          <w:r w:rsidRPr="00A64F3D">
            <w:rPr>
              <w:noProof/>
            </w:rPr>
            <w:t>.  (2014).</w:t>
          </w:r>
        </w:p>
        <w:p w14:paraId="76958AA7" w14:textId="41CA1425" w:rsidR="00A64F3D" w:rsidRPr="00A64F3D" w:rsidRDefault="00A64F3D" w:rsidP="00A64F3D">
          <w:pPr>
            <w:pStyle w:val="EndNoteBibliography"/>
            <w:ind w:left="720" w:hanging="720"/>
            <w:rPr>
              <w:noProof/>
            </w:rPr>
          </w:pPr>
          <w:r w:rsidRPr="00A64F3D">
            <w:rPr>
              <w:noProof/>
            </w:rPr>
            <w:t>2</w:t>
          </w:r>
          <w:r w:rsidRPr="00A64F3D">
            <w:rPr>
              <w:noProof/>
            </w:rPr>
            <w:tab/>
            <w:t xml:space="preserve">Murray, D. R. &amp; Schaller, M. Historical Prevalence of Infectious Diseases Within 230 Geopolitical Regions: A Tool for Investigating Origins of Culture. </w:t>
          </w:r>
          <w:r w:rsidRPr="00A64F3D">
            <w:rPr>
              <w:i/>
              <w:noProof/>
            </w:rPr>
            <w:t>Journal of Cross-Cultural Psychology</w:t>
          </w:r>
          <w:r w:rsidRPr="00A64F3D">
            <w:rPr>
              <w:noProof/>
            </w:rPr>
            <w:t xml:space="preserve"> </w:t>
          </w:r>
          <w:r w:rsidRPr="00A64F3D">
            <w:rPr>
              <w:b/>
              <w:noProof/>
            </w:rPr>
            <w:t>41</w:t>
          </w:r>
          <w:r w:rsidRPr="00A64F3D">
            <w:rPr>
              <w:noProof/>
            </w:rPr>
            <w:t xml:space="preserve">, 99-108 (2009). </w:t>
          </w:r>
          <w:hyperlink r:id="rId15" w:history="1">
            <w:r w:rsidRPr="00A64F3D">
              <w:rPr>
                <w:rStyle w:val="aa"/>
                <w:noProof/>
              </w:rPr>
              <w:t>https://doi.org/10.1177/0022022109349510</w:t>
            </w:r>
          </w:hyperlink>
        </w:p>
        <w:p w14:paraId="0A6FED6A" w14:textId="4128C5FD" w:rsidR="00A64F3D" w:rsidRPr="00A64F3D" w:rsidRDefault="00A64F3D" w:rsidP="00A64F3D">
          <w:pPr>
            <w:pStyle w:val="EndNoteBibliography"/>
            <w:ind w:left="720" w:hanging="720"/>
            <w:rPr>
              <w:noProof/>
            </w:rPr>
          </w:pPr>
          <w:r w:rsidRPr="00A64F3D">
            <w:rPr>
              <w:noProof/>
            </w:rPr>
            <w:t>3</w:t>
          </w:r>
          <w:r w:rsidRPr="00A64F3D">
            <w:rPr>
              <w:noProof/>
            </w:rPr>
            <w:tab/>
            <w:t xml:space="preserve">Currie, T. E. &amp; Mace, R. Analyses do not support the parasite-stress theory of human sociality. </w:t>
          </w:r>
          <w:r w:rsidRPr="00A64F3D">
            <w:rPr>
              <w:i/>
              <w:noProof/>
            </w:rPr>
            <w:t>Behav Brain Sci</w:t>
          </w:r>
          <w:r w:rsidRPr="00A64F3D">
            <w:rPr>
              <w:noProof/>
            </w:rPr>
            <w:t xml:space="preserve"> </w:t>
          </w:r>
          <w:r w:rsidRPr="00A64F3D">
            <w:rPr>
              <w:b/>
              <w:noProof/>
            </w:rPr>
            <w:t>35</w:t>
          </w:r>
          <w:r w:rsidRPr="00A64F3D">
            <w:rPr>
              <w:noProof/>
            </w:rPr>
            <w:t xml:space="preserve">, 83-85 (2012). </w:t>
          </w:r>
          <w:hyperlink r:id="rId16" w:history="1">
            <w:r w:rsidRPr="00A64F3D">
              <w:rPr>
                <w:rStyle w:val="aa"/>
                <w:noProof/>
              </w:rPr>
              <w:t>https://doi.org/10.1017/S0140525X11000963</w:t>
            </w:r>
          </w:hyperlink>
        </w:p>
        <w:p w14:paraId="58CF13C1" w14:textId="39A3C7A7" w:rsidR="00A64F3D" w:rsidRPr="00A64F3D" w:rsidRDefault="00A64F3D" w:rsidP="00A64F3D">
          <w:pPr>
            <w:pStyle w:val="EndNoteBibliography"/>
            <w:ind w:left="720" w:hanging="720"/>
            <w:rPr>
              <w:noProof/>
            </w:rPr>
          </w:pPr>
          <w:r w:rsidRPr="00A64F3D">
            <w:rPr>
              <w:noProof/>
            </w:rPr>
            <w:t>4</w:t>
          </w:r>
          <w:r w:rsidRPr="00A64F3D">
            <w:rPr>
              <w:noProof/>
            </w:rPr>
            <w:tab/>
            <w:t xml:space="preserve">Pollet, T. V., Tybur, J. M., Frankenhuis, W. E. &amp; Rickard, I. J. What Can Cross-Cultural Correlations Teach Us about Human Nature? </w:t>
          </w:r>
          <w:r w:rsidRPr="00A64F3D">
            <w:rPr>
              <w:i/>
              <w:noProof/>
            </w:rPr>
            <w:t>Human Nature</w:t>
          </w:r>
          <w:r w:rsidRPr="00A64F3D">
            <w:rPr>
              <w:noProof/>
            </w:rPr>
            <w:t xml:space="preserve"> </w:t>
          </w:r>
          <w:r w:rsidRPr="00A64F3D">
            <w:rPr>
              <w:b/>
              <w:noProof/>
            </w:rPr>
            <w:t>25</w:t>
          </w:r>
          <w:r w:rsidRPr="00A64F3D">
            <w:rPr>
              <w:noProof/>
            </w:rPr>
            <w:t xml:space="preserve">, 410-429 (2014). </w:t>
          </w:r>
          <w:hyperlink r:id="rId17" w:history="1">
            <w:r w:rsidRPr="00A64F3D">
              <w:rPr>
                <w:rStyle w:val="aa"/>
                <w:noProof/>
              </w:rPr>
              <w:t>https://doi.org/10.1007/s12110-014-9206-3</w:t>
            </w:r>
          </w:hyperlink>
        </w:p>
        <w:p w14:paraId="60288060" w14:textId="0BA182B1" w:rsidR="00A64F3D" w:rsidRPr="00A64F3D" w:rsidRDefault="00A64F3D" w:rsidP="00A64F3D">
          <w:pPr>
            <w:pStyle w:val="EndNoteBibliography"/>
            <w:ind w:left="720" w:hanging="720"/>
            <w:rPr>
              <w:noProof/>
            </w:rPr>
          </w:pPr>
          <w:r w:rsidRPr="00A64F3D">
            <w:rPr>
              <w:noProof/>
            </w:rPr>
            <w:t>5</w:t>
          </w:r>
          <w:r w:rsidRPr="00A64F3D">
            <w:rPr>
              <w:noProof/>
            </w:rPr>
            <w:tab/>
            <w:t>Tybur, J. M.</w:t>
          </w:r>
          <w:r w:rsidRPr="00A64F3D">
            <w:rPr>
              <w:i/>
              <w:noProof/>
            </w:rPr>
            <w:t xml:space="preserve"> et al.</w:t>
          </w:r>
          <w:r w:rsidRPr="00A64F3D">
            <w:rPr>
              <w:noProof/>
            </w:rPr>
            <w:t xml:space="preserve"> Parasite stress and pathogen avoidance relate to distinct dimensions of political ideology across 30 nations. </w:t>
          </w:r>
          <w:r w:rsidRPr="00A64F3D">
            <w:rPr>
              <w:i/>
              <w:noProof/>
            </w:rPr>
            <w:t>Proceedings of the National Academy of Sciences</w:t>
          </w:r>
          <w:r w:rsidRPr="00A64F3D">
            <w:rPr>
              <w:noProof/>
            </w:rPr>
            <w:t xml:space="preserve"> </w:t>
          </w:r>
          <w:r w:rsidRPr="00A64F3D">
            <w:rPr>
              <w:b/>
              <w:noProof/>
            </w:rPr>
            <w:t>113</w:t>
          </w:r>
          <w:r w:rsidRPr="00A64F3D">
            <w:rPr>
              <w:noProof/>
            </w:rPr>
            <w:t xml:space="preserve">, 12408-12413 (2016). </w:t>
          </w:r>
          <w:hyperlink r:id="rId18" w:history="1">
            <w:r w:rsidRPr="00A64F3D">
              <w:rPr>
                <w:rStyle w:val="aa"/>
                <w:noProof/>
              </w:rPr>
              <w:t>https://doi.org/10.1073/pnas.1607398113</w:t>
            </w:r>
          </w:hyperlink>
        </w:p>
        <w:p w14:paraId="3DC4FD6F" w14:textId="77777777" w:rsidR="00A64F3D" w:rsidRPr="00A64F3D" w:rsidRDefault="00A64F3D" w:rsidP="00A64F3D">
          <w:pPr>
            <w:pStyle w:val="EndNoteBibliography"/>
            <w:ind w:left="720" w:hanging="720"/>
            <w:rPr>
              <w:noProof/>
            </w:rPr>
          </w:pPr>
          <w:r w:rsidRPr="00A64F3D">
            <w:rPr>
              <w:noProof/>
            </w:rPr>
            <w:t>6</w:t>
          </w:r>
          <w:r w:rsidRPr="00A64F3D">
            <w:rPr>
              <w:noProof/>
            </w:rPr>
            <w:tab/>
            <w:t>Maerz, S. F., Lührmann, A., Lachapelle, J. &amp; Edgell, A. B. Worth the sacrifice? Illiberal and authoritarian practices during Covid-19. (2020).</w:t>
          </w:r>
        </w:p>
        <w:p w14:paraId="53DEB12F" w14:textId="69A30DC2" w:rsidR="00A64F3D" w:rsidRPr="00A64F3D" w:rsidRDefault="00A64F3D" w:rsidP="00A64F3D">
          <w:pPr>
            <w:pStyle w:val="EndNoteBibliography"/>
            <w:ind w:left="720" w:hanging="720"/>
            <w:rPr>
              <w:noProof/>
            </w:rPr>
          </w:pPr>
          <w:r w:rsidRPr="00A64F3D">
            <w:rPr>
              <w:noProof/>
            </w:rPr>
            <w:t>7</w:t>
          </w:r>
          <w:r w:rsidRPr="00A64F3D">
            <w:rPr>
              <w:noProof/>
            </w:rPr>
            <w:tab/>
            <w:t xml:space="preserve">Thomson, S. &amp; Ip, E. C. COVID-19 emergency measures and the impending authoritarian pandemic. </w:t>
          </w:r>
          <w:r w:rsidRPr="00A64F3D">
            <w:rPr>
              <w:i/>
              <w:noProof/>
            </w:rPr>
            <w:t>Journal of Law and the Biosciences</w:t>
          </w:r>
          <w:r w:rsidRPr="00A64F3D">
            <w:rPr>
              <w:noProof/>
            </w:rPr>
            <w:t xml:space="preserve"> </w:t>
          </w:r>
          <w:r w:rsidRPr="00A64F3D">
            <w:rPr>
              <w:b/>
              <w:noProof/>
            </w:rPr>
            <w:t>7</w:t>
          </w:r>
          <w:r w:rsidRPr="00A64F3D">
            <w:rPr>
              <w:noProof/>
            </w:rPr>
            <w:t xml:space="preserve"> (2020). </w:t>
          </w:r>
          <w:hyperlink r:id="rId19" w:history="1">
            <w:r w:rsidRPr="00A64F3D">
              <w:rPr>
                <w:rStyle w:val="aa"/>
                <w:noProof/>
              </w:rPr>
              <w:t>https://doi.org/10.1093/jlb/lsaa064</w:t>
            </w:r>
          </w:hyperlink>
        </w:p>
        <w:p w14:paraId="364EF51D" w14:textId="77777777" w:rsidR="00A64F3D" w:rsidRPr="00A64F3D" w:rsidRDefault="00A64F3D" w:rsidP="00A64F3D">
          <w:pPr>
            <w:pStyle w:val="EndNoteBibliography"/>
            <w:ind w:left="720" w:hanging="720"/>
            <w:rPr>
              <w:noProof/>
            </w:rPr>
          </w:pPr>
          <w:r w:rsidRPr="00A64F3D">
            <w:rPr>
              <w:noProof/>
            </w:rPr>
            <w:t>8</w:t>
          </w:r>
          <w:r w:rsidRPr="00A64F3D">
            <w:rPr>
              <w:noProof/>
            </w:rPr>
            <w:tab/>
            <w:t>Edgell, A. B., Grahn, S., Lachapelle, J., Lührmann, A. &amp; Maerz, S. F. An update on pandemic backsliding: Democracy four months after the beginning of the Covid-19 pandemic., (V-Dem Institute, University of Gothenburg., 2021).</w:t>
          </w:r>
        </w:p>
        <w:p w14:paraId="25AEDF3E" w14:textId="200D0003" w:rsidR="00A64F3D" w:rsidRPr="00A64F3D" w:rsidRDefault="00A64F3D" w:rsidP="00A64F3D">
          <w:pPr>
            <w:pStyle w:val="EndNoteBibliography"/>
            <w:ind w:left="720" w:hanging="720"/>
            <w:rPr>
              <w:noProof/>
            </w:rPr>
          </w:pPr>
          <w:r w:rsidRPr="00A64F3D">
            <w:rPr>
              <w:noProof/>
            </w:rPr>
            <w:lastRenderedPageBreak/>
            <w:t>9</w:t>
          </w:r>
          <w:r w:rsidRPr="00A64F3D">
            <w:rPr>
              <w:noProof/>
            </w:rPr>
            <w:tab/>
            <w:t>Repucci, S. &amp; Slipowitz, A.</w:t>
          </w:r>
          <w:r w:rsidRPr="00A64F3D">
            <w:rPr>
              <w:i/>
              <w:noProof/>
            </w:rPr>
            <w:t xml:space="preserve"> Freedom in the World 2021: Democracy under siege.</w:t>
          </w:r>
          <w:r w:rsidRPr="00A64F3D">
            <w:rPr>
              <w:noProof/>
            </w:rPr>
            <w:t>, &lt;</w:t>
          </w:r>
          <w:hyperlink r:id="rId20" w:history="1">
            <w:r w:rsidRPr="00A64F3D">
              <w:rPr>
                <w:rStyle w:val="aa"/>
                <w:noProof/>
              </w:rPr>
              <w:t>https://freedomhouse.org/report/freedom-world/2021/democracy-under-siege</w:t>
            </w:r>
          </w:hyperlink>
          <w:r w:rsidRPr="00A64F3D">
            <w:rPr>
              <w:noProof/>
            </w:rPr>
            <w:t>&gt; (2021).</w:t>
          </w:r>
        </w:p>
        <w:p w14:paraId="48D0819C" w14:textId="77777777" w:rsidR="00A64F3D" w:rsidRPr="00A64F3D" w:rsidRDefault="00A64F3D" w:rsidP="00A64F3D">
          <w:pPr>
            <w:pStyle w:val="EndNoteBibliography"/>
            <w:ind w:left="720" w:hanging="720"/>
            <w:rPr>
              <w:noProof/>
            </w:rPr>
          </w:pPr>
          <w:r w:rsidRPr="00A64F3D">
            <w:rPr>
              <w:noProof/>
            </w:rPr>
            <w:t>10</w:t>
          </w:r>
          <w:r w:rsidRPr="00A64F3D">
            <w:rPr>
              <w:noProof/>
            </w:rPr>
            <w:tab/>
            <w:t xml:space="preserve">Levitsky, S. &amp; Ziblatt, D. </w:t>
          </w:r>
          <w:r w:rsidRPr="00A64F3D">
            <w:rPr>
              <w:i/>
              <w:noProof/>
            </w:rPr>
            <w:t>How democracies die</w:t>
          </w:r>
          <w:r w:rsidRPr="00A64F3D">
            <w:rPr>
              <w:noProof/>
            </w:rPr>
            <w:t>. First edition. edn,  (Crown, 2018).</w:t>
          </w:r>
        </w:p>
        <w:p w14:paraId="549817F8" w14:textId="77777777" w:rsidR="00A64F3D" w:rsidRPr="00A64F3D" w:rsidRDefault="00A64F3D" w:rsidP="00A64F3D">
          <w:pPr>
            <w:pStyle w:val="EndNoteBibliography"/>
            <w:ind w:left="720" w:hanging="720"/>
            <w:rPr>
              <w:noProof/>
            </w:rPr>
          </w:pPr>
          <w:r w:rsidRPr="00A64F3D">
            <w:rPr>
              <w:noProof/>
            </w:rPr>
            <w:t>11</w:t>
          </w:r>
          <w:r w:rsidRPr="00A64F3D">
            <w:rPr>
              <w:noProof/>
            </w:rPr>
            <w:tab/>
            <w:t xml:space="preserve">Norris, P. &amp; Inglehart, R. </w:t>
          </w:r>
          <w:r w:rsidRPr="00A64F3D">
            <w:rPr>
              <w:i/>
              <w:noProof/>
            </w:rPr>
            <w:t>Cultural Backlash</w:t>
          </w:r>
          <w:r w:rsidRPr="00A64F3D">
            <w:rPr>
              <w:noProof/>
            </w:rPr>
            <w:t>.  (2019).</w:t>
          </w:r>
        </w:p>
        <w:p w14:paraId="7DE27812" w14:textId="0A557992" w:rsidR="00A64F3D" w:rsidRPr="00A64F3D" w:rsidRDefault="00A64F3D" w:rsidP="00A64F3D">
          <w:pPr>
            <w:pStyle w:val="EndNoteBibliography"/>
            <w:ind w:left="720" w:hanging="720"/>
            <w:rPr>
              <w:noProof/>
            </w:rPr>
          </w:pPr>
          <w:r w:rsidRPr="00A64F3D">
            <w:rPr>
              <w:noProof/>
            </w:rPr>
            <w:t>12</w:t>
          </w:r>
          <w:r w:rsidRPr="00A64F3D">
            <w:rPr>
              <w:noProof/>
            </w:rPr>
            <w:tab/>
            <w:t xml:space="preserve">Iyengar, S., Lelkes, Y., Levendusky, M., Malhotra, N. &amp; Westwood, S. J. The Origins and Consequences of Affective Polarization in the United States. </w:t>
          </w:r>
          <w:r w:rsidRPr="00A64F3D">
            <w:rPr>
              <w:i/>
              <w:noProof/>
            </w:rPr>
            <w:t>Annual Review of Political Science</w:t>
          </w:r>
          <w:r w:rsidRPr="00A64F3D">
            <w:rPr>
              <w:noProof/>
            </w:rPr>
            <w:t xml:space="preserve"> </w:t>
          </w:r>
          <w:r w:rsidRPr="00A64F3D">
            <w:rPr>
              <w:b/>
              <w:noProof/>
            </w:rPr>
            <w:t>22</w:t>
          </w:r>
          <w:r w:rsidRPr="00A64F3D">
            <w:rPr>
              <w:noProof/>
            </w:rPr>
            <w:t xml:space="preserve">, 129-146 (2019). </w:t>
          </w:r>
          <w:hyperlink r:id="rId21" w:history="1">
            <w:r w:rsidRPr="00A64F3D">
              <w:rPr>
                <w:rStyle w:val="aa"/>
                <w:noProof/>
              </w:rPr>
              <w:t>https://doi.org/10.1146/annurev-polisci-051117-073034</w:t>
            </w:r>
          </w:hyperlink>
        </w:p>
        <w:p w14:paraId="53ABC40C" w14:textId="01295E1B" w:rsidR="00A64F3D" w:rsidRPr="00A64F3D" w:rsidRDefault="00A64F3D" w:rsidP="00A64F3D">
          <w:pPr>
            <w:pStyle w:val="EndNoteBibliography"/>
            <w:ind w:left="720" w:hanging="720"/>
            <w:rPr>
              <w:noProof/>
            </w:rPr>
          </w:pPr>
          <w:r w:rsidRPr="00A64F3D">
            <w:rPr>
              <w:noProof/>
            </w:rPr>
            <w:t>13</w:t>
          </w:r>
          <w:r w:rsidRPr="00A64F3D">
            <w:rPr>
              <w:noProof/>
            </w:rPr>
            <w:tab/>
            <w:t xml:space="preserve">Boxell, L., Gentzkow, M. &amp; Shapiro, J. M. Cross-Country Trends in Affective Polarization. </w:t>
          </w:r>
          <w:r w:rsidRPr="00A64F3D">
            <w:rPr>
              <w:i/>
              <w:noProof/>
            </w:rPr>
            <w:t>Review of Economics and Statistics</w:t>
          </w:r>
          <w:r w:rsidRPr="00A64F3D">
            <w:rPr>
              <w:noProof/>
            </w:rPr>
            <w:t xml:space="preserve"> </w:t>
          </w:r>
          <w:r w:rsidRPr="00A64F3D">
            <w:rPr>
              <w:b/>
              <w:noProof/>
            </w:rPr>
            <w:t>106</w:t>
          </w:r>
          <w:r w:rsidRPr="00A64F3D">
            <w:rPr>
              <w:noProof/>
            </w:rPr>
            <w:t xml:space="preserve">, 557-565 (2024). </w:t>
          </w:r>
          <w:hyperlink r:id="rId22" w:history="1">
            <w:r w:rsidRPr="00A64F3D">
              <w:rPr>
                <w:rStyle w:val="aa"/>
                <w:noProof/>
              </w:rPr>
              <w:t>https://doi.org/10.1162/rest_a_01160</w:t>
            </w:r>
          </w:hyperlink>
        </w:p>
        <w:p w14:paraId="4314117D" w14:textId="6A35B465" w:rsidR="00A64F3D" w:rsidRPr="00A64F3D" w:rsidRDefault="00A64F3D" w:rsidP="00A64F3D">
          <w:pPr>
            <w:pStyle w:val="EndNoteBibliography"/>
            <w:ind w:left="720" w:hanging="720"/>
            <w:rPr>
              <w:noProof/>
            </w:rPr>
          </w:pPr>
          <w:r w:rsidRPr="00A64F3D">
            <w:rPr>
              <w:noProof/>
            </w:rPr>
            <w:t>14</w:t>
          </w:r>
          <w:r w:rsidRPr="00A64F3D">
            <w:rPr>
              <w:noProof/>
            </w:rPr>
            <w:tab/>
            <w:t xml:space="preserve">Lührmann, A. &amp; Lindberg, S. I. A third wave of autocratization is here: what is new about it? </w:t>
          </w:r>
          <w:r w:rsidRPr="00A64F3D">
            <w:rPr>
              <w:i/>
              <w:noProof/>
            </w:rPr>
            <w:t>Democratization</w:t>
          </w:r>
          <w:r w:rsidRPr="00A64F3D">
            <w:rPr>
              <w:noProof/>
            </w:rPr>
            <w:t xml:space="preserve"> </w:t>
          </w:r>
          <w:r w:rsidRPr="00A64F3D">
            <w:rPr>
              <w:b/>
              <w:noProof/>
            </w:rPr>
            <w:t>26</w:t>
          </w:r>
          <w:r w:rsidRPr="00A64F3D">
            <w:rPr>
              <w:noProof/>
            </w:rPr>
            <w:t xml:space="preserve">, 1095-1113 (2019). </w:t>
          </w:r>
          <w:hyperlink r:id="rId23" w:history="1">
            <w:r w:rsidRPr="00A64F3D">
              <w:rPr>
                <w:rStyle w:val="aa"/>
                <w:noProof/>
              </w:rPr>
              <w:t>https://doi.org/10.1080/13510347.2019.1582029</w:t>
            </w:r>
          </w:hyperlink>
        </w:p>
        <w:p w14:paraId="2C855DF8" w14:textId="7A578AD9" w:rsidR="00A64F3D" w:rsidRPr="00A64F3D" w:rsidRDefault="00A64F3D" w:rsidP="00A64F3D">
          <w:pPr>
            <w:pStyle w:val="EndNoteBibliography"/>
            <w:ind w:left="720" w:hanging="720"/>
            <w:rPr>
              <w:noProof/>
            </w:rPr>
          </w:pPr>
          <w:r w:rsidRPr="00A64F3D">
            <w:rPr>
              <w:noProof/>
            </w:rPr>
            <w:t>15</w:t>
          </w:r>
          <w:r w:rsidRPr="00A64F3D">
            <w:rPr>
              <w:noProof/>
            </w:rPr>
            <w:tab/>
            <w:t>Bavel, J. J. V.</w:t>
          </w:r>
          <w:r w:rsidRPr="00A64F3D">
            <w:rPr>
              <w:i/>
              <w:noProof/>
            </w:rPr>
            <w:t xml:space="preserve"> et al.</w:t>
          </w:r>
          <w:r w:rsidRPr="00A64F3D">
            <w:rPr>
              <w:noProof/>
            </w:rPr>
            <w:t xml:space="preserve"> Using social and behavioural science to support COVID-19 pandemic response. </w:t>
          </w:r>
          <w:r w:rsidRPr="00A64F3D">
            <w:rPr>
              <w:i/>
              <w:noProof/>
            </w:rPr>
            <w:t>Nat Hum Behav</w:t>
          </w:r>
          <w:r w:rsidRPr="00A64F3D">
            <w:rPr>
              <w:noProof/>
            </w:rPr>
            <w:t xml:space="preserve"> </w:t>
          </w:r>
          <w:r w:rsidRPr="00A64F3D">
            <w:rPr>
              <w:b/>
              <w:noProof/>
            </w:rPr>
            <w:t>4</w:t>
          </w:r>
          <w:r w:rsidRPr="00A64F3D">
            <w:rPr>
              <w:noProof/>
            </w:rPr>
            <w:t xml:space="preserve">, 460-471 (2020). </w:t>
          </w:r>
          <w:hyperlink r:id="rId24" w:history="1">
            <w:r w:rsidRPr="00A64F3D">
              <w:rPr>
                <w:rStyle w:val="aa"/>
                <w:noProof/>
              </w:rPr>
              <w:t>https://doi.org/10.1038/s41562-020-0884-z</w:t>
            </w:r>
          </w:hyperlink>
        </w:p>
        <w:p w14:paraId="3685DA7D" w14:textId="77777777" w:rsidR="00A64F3D" w:rsidRPr="00A64F3D" w:rsidRDefault="00A64F3D" w:rsidP="00A64F3D">
          <w:pPr>
            <w:pStyle w:val="EndNoteBibliography"/>
            <w:ind w:left="720" w:hanging="720"/>
            <w:rPr>
              <w:noProof/>
            </w:rPr>
          </w:pPr>
          <w:r w:rsidRPr="00A64F3D">
            <w:rPr>
              <w:noProof/>
            </w:rPr>
            <w:t>16</w:t>
          </w:r>
          <w:r w:rsidRPr="00A64F3D">
            <w:rPr>
              <w:noProof/>
            </w:rPr>
            <w:tab/>
            <w:t>Coppedge, M.</w:t>
          </w:r>
          <w:r w:rsidRPr="00A64F3D">
            <w:rPr>
              <w:i/>
              <w:noProof/>
            </w:rPr>
            <w:t xml:space="preserve"> et al.</w:t>
          </w:r>
          <w:r w:rsidRPr="00A64F3D">
            <w:rPr>
              <w:noProof/>
            </w:rPr>
            <w:t xml:space="preserve">     (Varieties of Democracy (V-Dem) Institute, 2025).</w:t>
          </w:r>
        </w:p>
        <w:p w14:paraId="7C5BDB41" w14:textId="76D82DD1" w:rsidR="00A64F3D" w:rsidRPr="00A64F3D" w:rsidRDefault="00A64F3D" w:rsidP="00A64F3D">
          <w:pPr>
            <w:pStyle w:val="EndNoteBibliography"/>
            <w:ind w:left="720" w:hanging="720"/>
            <w:rPr>
              <w:noProof/>
            </w:rPr>
          </w:pPr>
          <w:r w:rsidRPr="00A64F3D">
            <w:rPr>
              <w:noProof/>
            </w:rPr>
            <w:t>17</w:t>
          </w:r>
          <w:r w:rsidRPr="00A64F3D">
            <w:rPr>
              <w:noProof/>
            </w:rPr>
            <w:tab/>
            <w:t xml:space="preserve">Guha-Sapir, D., Below, R. &amp; Hoyois, P. </w:t>
          </w:r>
          <w:r w:rsidRPr="00A64F3D">
            <w:rPr>
              <w:i/>
              <w:noProof/>
            </w:rPr>
            <w:t>EM-DAT: The CRED/OFDA International Disaster Database</w:t>
          </w:r>
          <w:r w:rsidRPr="00A64F3D">
            <w:rPr>
              <w:noProof/>
            </w:rPr>
            <w:t>, &lt;</w:t>
          </w:r>
          <w:hyperlink r:id="rId25" w:history="1">
            <w:r w:rsidRPr="00A64F3D">
              <w:rPr>
                <w:rStyle w:val="aa"/>
                <w:noProof/>
              </w:rPr>
              <w:t>https://www.emdat.be</w:t>
            </w:r>
          </w:hyperlink>
          <w:r w:rsidRPr="00A64F3D">
            <w:rPr>
              <w:noProof/>
            </w:rPr>
            <w:t>&gt; (2025).</w:t>
          </w:r>
        </w:p>
        <w:p w14:paraId="2C398073" w14:textId="162173D1" w:rsidR="00A64F3D" w:rsidRPr="00A64F3D" w:rsidRDefault="00A64F3D" w:rsidP="00A64F3D">
          <w:pPr>
            <w:pStyle w:val="EndNoteBibliography"/>
            <w:ind w:left="720" w:hanging="720"/>
            <w:rPr>
              <w:noProof/>
            </w:rPr>
          </w:pPr>
          <w:r w:rsidRPr="00A64F3D">
            <w:rPr>
              <w:noProof/>
            </w:rPr>
            <w:t>18</w:t>
          </w:r>
          <w:r w:rsidRPr="00A64F3D">
            <w:rPr>
              <w:noProof/>
            </w:rPr>
            <w:tab/>
            <w:t>Hale, T.</w:t>
          </w:r>
          <w:r w:rsidRPr="00A64F3D">
            <w:rPr>
              <w:i/>
              <w:noProof/>
            </w:rPr>
            <w:t xml:space="preserve"> et al.</w:t>
          </w:r>
          <w:r w:rsidRPr="00A64F3D">
            <w:rPr>
              <w:noProof/>
            </w:rPr>
            <w:t xml:space="preserve"> A global panel database of pandemic policies (Oxford COVID-19 Government Response Tracker). </w:t>
          </w:r>
          <w:r w:rsidRPr="00A64F3D">
            <w:rPr>
              <w:i/>
              <w:noProof/>
            </w:rPr>
            <w:t>Nat Hum Behav</w:t>
          </w:r>
          <w:r w:rsidRPr="00A64F3D">
            <w:rPr>
              <w:noProof/>
            </w:rPr>
            <w:t xml:space="preserve"> </w:t>
          </w:r>
          <w:r w:rsidRPr="00A64F3D">
            <w:rPr>
              <w:b/>
              <w:noProof/>
            </w:rPr>
            <w:t>5</w:t>
          </w:r>
          <w:r w:rsidRPr="00A64F3D">
            <w:rPr>
              <w:noProof/>
            </w:rPr>
            <w:t xml:space="preserve">, 529-538 (2021). </w:t>
          </w:r>
          <w:hyperlink r:id="rId26" w:history="1">
            <w:r w:rsidRPr="00A64F3D">
              <w:rPr>
                <w:rStyle w:val="aa"/>
                <w:noProof/>
              </w:rPr>
              <w:t>https://doi.org/10.1038/s41562-021-01079-8</w:t>
            </w:r>
          </w:hyperlink>
        </w:p>
        <w:p w14:paraId="588FCA34" w14:textId="3CBB6738" w:rsidR="00A64F3D" w:rsidRPr="00A64F3D" w:rsidRDefault="00A64F3D" w:rsidP="00A64F3D">
          <w:pPr>
            <w:pStyle w:val="EndNoteBibliography"/>
            <w:ind w:left="720" w:hanging="720"/>
            <w:rPr>
              <w:noProof/>
            </w:rPr>
          </w:pPr>
          <w:r w:rsidRPr="00A64F3D">
            <w:rPr>
              <w:noProof/>
            </w:rPr>
            <w:t>19</w:t>
          </w:r>
          <w:r w:rsidRPr="00A64F3D">
            <w:rPr>
              <w:noProof/>
            </w:rPr>
            <w:tab/>
            <w:t>Mathieu, E.</w:t>
          </w:r>
          <w:r w:rsidRPr="00A64F3D">
            <w:rPr>
              <w:i/>
              <w:noProof/>
            </w:rPr>
            <w:t xml:space="preserve"> et al.</w:t>
          </w:r>
          <w:r w:rsidRPr="00A64F3D">
            <w:rPr>
              <w:noProof/>
            </w:rPr>
            <w:t xml:space="preserve"> A global database of COVID-19 vaccinations. </w:t>
          </w:r>
          <w:r w:rsidRPr="00A64F3D">
            <w:rPr>
              <w:i/>
              <w:noProof/>
            </w:rPr>
            <w:t>Nat Hum Behav</w:t>
          </w:r>
          <w:r w:rsidRPr="00A64F3D">
            <w:rPr>
              <w:noProof/>
            </w:rPr>
            <w:t xml:space="preserve"> </w:t>
          </w:r>
          <w:r w:rsidRPr="00A64F3D">
            <w:rPr>
              <w:b/>
              <w:noProof/>
            </w:rPr>
            <w:t>5</w:t>
          </w:r>
          <w:r w:rsidRPr="00A64F3D">
            <w:rPr>
              <w:noProof/>
            </w:rPr>
            <w:t xml:space="preserve">, 947-953 (2021). </w:t>
          </w:r>
          <w:hyperlink r:id="rId27" w:history="1">
            <w:r w:rsidRPr="00A64F3D">
              <w:rPr>
                <w:rStyle w:val="aa"/>
                <w:noProof/>
              </w:rPr>
              <w:t>https://doi.org/10.1038/s41562-021-01122-8</w:t>
            </w:r>
          </w:hyperlink>
        </w:p>
        <w:p w14:paraId="538AEF12" w14:textId="2ED6D19F" w:rsidR="00A64F3D" w:rsidRPr="00A64F3D" w:rsidRDefault="00A64F3D" w:rsidP="00A64F3D">
          <w:pPr>
            <w:pStyle w:val="EndNoteBibliography"/>
            <w:ind w:left="720" w:hanging="720"/>
            <w:rPr>
              <w:noProof/>
            </w:rPr>
          </w:pPr>
          <w:r w:rsidRPr="00A64F3D">
            <w:rPr>
              <w:noProof/>
            </w:rPr>
            <w:t>20</w:t>
          </w:r>
          <w:r w:rsidRPr="00A64F3D">
            <w:rPr>
              <w:noProof/>
            </w:rPr>
            <w:tab/>
            <w:t>Pasin, G. L.</w:t>
          </w:r>
          <w:r w:rsidRPr="00A64F3D">
            <w:rPr>
              <w:i/>
              <w:noProof/>
            </w:rPr>
            <w:t xml:space="preserve"> et al.</w:t>
          </w:r>
          <w:r w:rsidRPr="00A64F3D">
            <w:rPr>
              <w:noProof/>
            </w:rPr>
            <w:t xml:space="preserve"> Evidence from 43 countries that disease leaves cultures unchanged in the short-term. </w:t>
          </w:r>
          <w:r w:rsidRPr="00A64F3D">
            <w:rPr>
              <w:i/>
              <w:noProof/>
            </w:rPr>
            <w:t>Sci Rep</w:t>
          </w:r>
          <w:r w:rsidRPr="00A64F3D">
            <w:rPr>
              <w:noProof/>
            </w:rPr>
            <w:t xml:space="preserve"> </w:t>
          </w:r>
          <w:r w:rsidRPr="00A64F3D">
            <w:rPr>
              <w:b/>
              <w:noProof/>
            </w:rPr>
            <w:t>14</w:t>
          </w:r>
          <w:r w:rsidRPr="00A64F3D">
            <w:rPr>
              <w:noProof/>
            </w:rPr>
            <w:t xml:space="preserve">, 6502 (2024). </w:t>
          </w:r>
          <w:hyperlink r:id="rId28" w:history="1">
            <w:r w:rsidRPr="00A64F3D">
              <w:rPr>
                <w:rStyle w:val="aa"/>
                <w:noProof/>
              </w:rPr>
              <w:t>https://doi.org/10.1038/s41598-023-33155-6</w:t>
            </w:r>
          </w:hyperlink>
        </w:p>
        <w:p w14:paraId="3D7BB698" w14:textId="77777777" w:rsidR="00A64F3D" w:rsidRPr="00A64F3D" w:rsidRDefault="00A64F3D" w:rsidP="00A64F3D">
          <w:pPr>
            <w:pStyle w:val="EndNoteBibliography"/>
            <w:ind w:left="720" w:hanging="720"/>
            <w:rPr>
              <w:noProof/>
            </w:rPr>
          </w:pPr>
          <w:r w:rsidRPr="00A64F3D">
            <w:rPr>
              <w:noProof/>
            </w:rPr>
            <w:t>21</w:t>
          </w:r>
          <w:r w:rsidRPr="00A64F3D">
            <w:rPr>
              <w:noProof/>
            </w:rPr>
            <w:tab/>
            <w:t xml:space="preserve">Fukuyama, F. </w:t>
          </w:r>
          <w:r w:rsidRPr="00A64F3D">
            <w:rPr>
              <w:i/>
              <w:noProof/>
            </w:rPr>
            <w:t>Trust : the social virtues and the creation of prosperity</w:t>
          </w:r>
          <w:r w:rsidRPr="00A64F3D">
            <w:rPr>
              <w:noProof/>
            </w:rPr>
            <w:t>.  (Free Press, 1995).</w:t>
          </w:r>
        </w:p>
        <w:p w14:paraId="7E43F40F" w14:textId="1109B0FE" w:rsidR="00A64F3D" w:rsidRPr="00A64F3D" w:rsidRDefault="00A64F3D" w:rsidP="00A64F3D">
          <w:pPr>
            <w:pStyle w:val="EndNoteBibliography"/>
            <w:ind w:left="720" w:hanging="720"/>
            <w:rPr>
              <w:noProof/>
            </w:rPr>
          </w:pPr>
          <w:r w:rsidRPr="00A64F3D">
            <w:rPr>
              <w:noProof/>
            </w:rPr>
            <w:t>22</w:t>
          </w:r>
          <w:r w:rsidRPr="00A64F3D">
            <w:rPr>
              <w:noProof/>
            </w:rPr>
            <w:tab/>
            <w:t xml:space="preserve">Jankulovski, S. The Challenges of International Relations in the Post-Covid Era. </w:t>
          </w:r>
          <w:r w:rsidRPr="00A64F3D">
            <w:rPr>
              <w:i/>
              <w:noProof/>
            </w:rPr>
            <w:t>International Journal of Economics, Management and Tourism</w:t>
          </w:r>
          <w:r w:rsidRPr="00A64F3D">
            <w:rPr>
              <w:noProof/>
            </w:rPr>
            <w:t xml:space="preserve"> </w:t>
          </w:r>
          <w:r w:rsidRPr="00A64F3D">
            <w:rPr>
              <w:b/>
              <w:noProof/>
            </w:rPr>
            <w:t>5</w:t>
          </w:r>
          <w:r w:rsidRPr="00A64F3D">
            <w:rPr>
              <w:noProof/>
            </w:rPr>
            <w:t xml:space="preserve">, 117-125 (2025). </w:t>
          </w:r>
          <w:hyperlink r:id="rId29" w:history="1">
            <w:r w:rsidRPr="00A64F3D">
              <w:rPr>
                <w:rStyle w:val="aa"/>
                <w:noProof/>
              </w:rPr>
              <w:t>https://doi.org/10.46763/IJEMT2551117j</w:t>
            </w:r>
          </w:hyperlink>
        </w:p>
        <w:p w14:paraId="15AE47FD" w14:textId="21F9CAFF" w:rsidR="00A64F3D" w:rsidRPr="00A64F3D" w:rsidRDefault="00A64F3D" w:rsidP="00A64F3D">
          <w:pPr>
            <w:pStyle w:val="EndNoteBibliography"/>
            <w:ind w:left="720" w:hanging="720"/>
            <w:rPr>
              <w:noProof/>
            </w:rPr>
          </w:pPr>
          <w:r w:rsidRPr="00A64F3D">
            <w:rPr>
              <w:noProof/>
            </w:rPr>
            <w:t>23</w:t>
          </w:r>
          <w:r w:rsidRPr="00A64F3D">
            <w:rPr>
              <w:noProof/>
            </w:rPr>
            <w:tab/>
            <w:t xml:space="preserve">Bargain, O. &amp; Aminjonov, U. Trust and compliance to public health policies in times of COVID-19. </w:t>
          </w:r>
          <w:r w:rsidRPr="00A64F3D">
            <w:rPr>
              <w:i/>
              <w:noProof/>
            </w:rPr>
            <w:t>Journal of Public Economics</w:t>
          </w:r>
          <w:r w:rsidRPr="00A64F3D">
            <w:rPr>
              <w:noProof/>
            </w:rPr>
            <w:t xml:space="preserve"> </w:t>
          </w:r>
          <w:r w:rsidRPr="00A64F3D">
            <w:rPr>
              <w:b/>
              <w:noProof/>
            </w:rPr>
            <w:t>192</w:t>
          </w:r>
          <w:r w:rsidRPr="00A64F3D">
            <w:rPr>
              <w:noProof/>
            </w:rPr>
            <w:t xml:space="preserve"> (2020). </w:t>
          </w:r>
          <w:hyperlink r:id="rId30" w:history="1">
            <w:r w:rsidRPr="00A64F3D">
              <w:rPr>
                <w:rStyle w:val="aa"/>
                <w:noProof/>
              </w:rPr>
              <w:t>https://doi.org/10.1016/j.jpubeco.2020.104316</w:t>
            </w:r>
          </w:hyperlink>
        </w:p>
        <w:p w14:paraId="2BD64F91" w14:textId="26B475E3" w:rsidR="00A64F3D" w:rsidRPr="00A64F3D" w:rsidRDefault="00A64F3D" w:rsidP="00A64F3D">
          <w:pPr>
            <w:pStyle w:val="EndNoteBibliography"/>
            <w:ind w:left="720" w:hanging="720"/>
            <w:rPr>
              <w:noProof/>
            </w:rPr>
          </w:pPr>
          <w:r w:rsidRPr="00A64F3D">
            <w:rPr>
              <w:noProof/>
            </w:rPr>
            <w:t>24</w:t>
          </w:r>
          <w:r w:rsidRPr="00A64F3D">
            <w:rPr>
              <w:noProof/>
            </w:rPr>
            <w:tab/>
            <w:t xml:space="preserve">Durante, R., Guiso, L. &amp; Gulino, G. Asocial capital: Civic culture and social distancing </w:t>
          </w:r>
          <w:r w:rsidRPr="00A64F3D">
            <w:rPr>
              <w:noProof/>
            </w:rPr>
            <w:lastRenderedPageBreak/>
            <w:t xml:space="preserve">during COVID-19. </w:t>
          </w:r>
          <w:r w:rsidRPr="00A64F3D">
            <w:rPr>
              <w:i/>
              <w:noProof/>
            </w:rPr>
            <w:t>Journal of Public Economics</w:t>
          </w:r>
          <w:r w:rsidRPr="00A64F3D">
            <w:rPr>
              <w:noProof/>
            </w:rPr>
            <w:t xml:space="preserve"> </w:t>
          </w:r>
          <w:r w:rsidRPr="00A64F3D">
            <w:rPr>
              <w:b/>
              <w:noProof/>
            </w:rPr>
            <w:t>194</w:t>
          </w:r>
          <w:r w:rsidRPr="00A64F3D">
            <w:rPr>
              <w:noProof/>
            </w:rPr>
            <w:t xml:space="preserve"> (2021). </w:t>
          </w:r>
          <w:hyperlink r:id="rId31" w:history="1">
            <w:r w:rsidRPr="00A64F3D">
              <w:rPr>
                <w:rStyle w:val="aa"/>
                <w:noProof/>
              </w:rPr>
              <w:t>https://doi.org/10.1016/j.jpubeco.2020.104342</w:t>
            </w:r>
          </w:hyperlink>
        </w:p>
        <w:p w14:paraId="14260009" w14:textId="2AF1FE2B" w:rsidR="00A64F3D" w:rsidRPr="00A64F3D" w:rsidRDefault="00A64F3D" w:rsidP="00A64F3D">
          <w:pPr>
            <w:pStyle w:val="EndNoteBibliography"/>
            <w:ind w:left="720" w:hanging="720"/>
            <w:rPr>
              <w:noProof/>
            </w:rPr>
          </w:pPr>
          <w:r w:rsidRPr="00A64F3D">
            <w:rPr>
              <w:noProof/>
            </w:rPr>
            <w:t>25</w:t>
          </w:r>
          <w:r w:rsidRPr="00A64F3D">
            <w:rPr>
              <w:noProof/>
            </w:rPr>
            <w:tab/>
            <w:t xml:space="preserve">Bartscher, A. K., Seitz, S., Siegloch, S., Slotwinski, M. &amp; Wehrhöfer, N. Social capital and the spread of covid-19: Insights from european countries. </w:t>
          </w:r>
          <w:r w:rsidRPr="00A64F3D">
            <w:rPr>
              <w:i/>
              <w:noProof/>
            </w:rPr>
            <w:t>Journal of Health Economics</w:t>
          </w:r>
          <w:r w:rsidRPr="00A64F3D">
            <w:rPr>
              <w:noProof/>
            </w:rPr>
            <w:t xml:space="preserve"> </w:t>
          </w:r>
          <w:r w:rsidRPr="00A64F3D">
            <w:rPr>
              <w:b/>
              <w:noProof/>
            </w:rPr>
            <w:t>80</w:t>
          </w:r>
          <w:r w:rsidRPr="00A64F3D">
            <w:rPr>
              <w:noProof/>
            </w:rPr>
            <w:t xml:space="preserve"> (2021). </w:t>
          </w:r>
          <w:hyperlink r:id="rId32" w:history="1">
            <w:r w:rsidRPr="00A64F3D">
              <w:rPr>
                <w:rStyle w:val="aa"/>
                <w:noProof/>
              </w:rPr>
              <w:t>https://doi.org/10.1016/j.jhealeco.2021.102531</w:t>
            </w:r>
          </w:hyperlink>
        </w:p>
        <w:p w14:paraId="54DACF75" w14:textId="77777777" w:rsidR="00A64F3D" w:rsidRPr="00A64F3D" w:rsidRDefault="00A64F3D" w:rsidP="00A64F3D">
          <w:pPr>
            <w:pStyle w:val="EndNoteBibliography"/>
            <w:ind w:left="720" w:hanging="720"/>
            <w:rPr>
              <w:noProof/>
            </w:rPr>
          </w:pPr>
          <w:r w:rsidRPr="00A64F3D">
            <w:rPr>
              <w:noProof/>
            </w:rPr>
            <w:t>26</w:t>
          </w:r>
          <w:r w:rsidRPr="00A64F3D">
            <w:rPr>
              <w:noProof/>
            </w:rPr>
            <w:tab/>
            <w:t xml:space="preserve">McCarty, N. M., Poole, K. T. &amp; Rosenthal, H. </w:t>
          </w:r>
          <w:r w:rsidRPr="00A64F3D">
            <w:rPr>
              <w:i/>
              <w:noProof/>
            </w:rPr>
            <w:t>Polarized America : the dance of ideology and unequal riches</w:t>
          </w:r>
          <w:r w:rsidRPr="00A64F3D">
            <w:rPr>
              <w:noProof/>
            </w:rPr>
            <w:t>. Second edition. edn,  (MIT Press, 2016).</w:t>
          </w:r>
        </w:p>
        <w:p w14:paraId="4C564DF7" w14:textId="743C2693" w:rsidR="00A64F3D" w:rsidRPr="00A64F3D" w:rsidRDefault="00A64F3D" w:rsidP="00A64F3D">
          <w:pPr>
            <w:pStyle w:val="EndNoteBibliography"/>
            <w:ind w:left="720" w:hanging="720"/>
          </w:pPr>
          <w:r w:rsidRPr="00A64F3D">
            <w:rPr>
              <w:noProof/>
            </w:rPr>
            <w:t>27</w:t>
          </w:r>
          <w:r w:rsidRPr="00A64F3D">
            <w:rPr>
              <w:noProof/>
            </w:rPr>
            <w:tab/>
            <w:t xml:space="preserve">Boxell, L., Gentzkow, M. &amp; Shapiro, J. M. Greater Internet use is not associated with faster growth in political polarization among US demographic groups. </w:t>
          </w:r>
          <w:r w:rsidRPr="00A64F3D">
            <w:rPr>
              <w:i/>
              <w:noProof/>
            </w:rPr>
            <w:t>Proceedings of the National Academy of Sciences</w:t>
          </w:r>
          <w:r w:rsidRPr="00A64F3D">
            <w:rPr>
              <w:noProof/>
            </w:rPr>
            <w:t xml:space="preserve"> </w:t>
          </w:r>
          <w:r w:rsidRPr="00A64F3D">
            <w:rPr>
              <w:b/>
              <w:noProof/>
            </w:rPr>
            <w:t>114</w:t>
          </w:r>
          <w:r w:rsidRPr="00A64F3D">
            <w:rPr>
              <w:noProof/>
            </w:rPr>
            <w:t xml:space="preserve">, 10612-10617 (2017). </w:t>
          </w:r>
          <w:hyperlink r:id="rId33" w:history="1">
            <w:r w:rsidRPr="00A64F3D">
              <w:rPr>
                <w:rStyle w:val="aa"/>
                <w:noProof/>
              </w:rPr>
              <w:t>https://doi.org/10.1073/pnas.1706588114</w:t>
            </w:r>
          </w:hyperlink>
        </w:p>
      </w:sdtContent>
    </w:sdt>
    <w:p w14:paraId="508A5B5F" w14:textId="12972AEC" w:rsidR="00581EDD" w:rsidRDefault="00581EDD" w:rsidP="00581EDD">
      <w:pPr>
        <w:spacing w:line="480" w:lineRule="auto"/>
        <w:rPr>
          <w:rFonts w:ascii="Times New Roman" w:hAnsi="Times New Roman" w:cs="Times New Roman"/>
          <w:sz w:val="24"/>
        </w:rPr>
      </w:pPr>
    </w:p>
    <w:p w14:paraId="508F191B" w14:textId="30C75236" w:rsidR="00581EDD" w:rsidRDefault="00581EDD" w:rsidP="00581EDD">
      <w:pPr>
        <w:spacing w:line="480" w:lineRule="auto"/>
        <w:rPr>
          <w:rFonts w:ascii="Times New Roman" w:hAnsi="Times New Roman" w:cs="Times New Roman"/>
          <w:sz w:val="24"/>
        </w:rPr>
        <w:sectPr w:rsidR="00581EDD" w:rsidSect="00765611">
          <w:pgSz w:w="11906" w:h="16838"/>
          <w:pgMar w:top="1985" w:right="1701" w:bottom="1701" w:left="1701" w:header="851" w:footer="992" w:gutter="0"/>
          <w:lnNumType w:countBy="1" w:restart="continuous"/>
          <w:cols w:space="425"/>
          <w:docGrid w:type="lines" w:linePitch="360"/>
        </w:sectPr>
      </w:pPr>
    </w:p>
    <w:p w14:paraId="5CB8EC3A" w14:textId="640ADA74" w:rsidR="000405E8" w:rsidRDefault="0099517D" w:rsidP="0099517D">
      <w:pPr>
        <w:rPr>
          <w:rFonts w:ascii="Times New Roman" w:hAnsi="Times New Roman" w:cs="Times New Roman"/>
          <w:sz w:val="24"/>
        </w:rPr>
      </w:pPr>
      <w:r w:rsidRPr="00656CB4">
        <w:rPr>
          <w:rFonts w:ascii="Times New Roman" w:hAnsi="Times New Roman" w:cs="Times New Roman"/>
          <w:b/>
          <w:bCs/>
          <w:sz w:val="24"/>
        </w:rPr>
        <w:lastRenderedPageBreak/>
        <w:t>Table 1.</w:t>
      </w:r>
      <w:r w:rsidR="00656CB4">
        <w:rPr>
          <w:rFonts w:ascii="Times New Roman" w:hAnsi="Times New Roman" w:cs="Times New Roman"/>
          <w:sz w:val="24"/>
        </w:rPr>
        <w:t xml:space="preserve"> </w:t>
      </w:r>
      <w:r w:rsidR="00656CB4" w:rsidRPr="00656CB4">
        <w:rPr>
          <w:rFonts w:ascii="Times New Roman" w:hAnsi="Times New Roman" w:cs="Times New Roman"/>
          <w:sz w:val="24"/>
        </w:rPr>
        <w:t>Associations of COVID-19 mortality and lockdown stringency with social polarization in 38 OECD countries (2019–2024)</w:t>
      </w:r>
    </w:p>
    <w:tbl>
      <w:tblPr>
        <w:tblW w:w="7904" w:type="dxa"/>
        <w:jc w:val="center"/>
        <w:tblCellMar>
          <w:left w:w="99" w:type="dxa"/>
          <w:right w:w="99" w:type="dxa"/>
        </w:tblCellMar>
        <w:tblLook w:val="04A0" w:firstRow="1" w:lastRow="0" w:firstColumn="1" w:lastColumn="0" w:noHBand="0" w:noVBand="1"/>
      </w:tblPr>
      <w:tblGrid>
        <w:gridCol w:w="3058"/>
        <w:gridCol w:w="1278"/>
        <w:gridCol w:w="1198"/>
        <w:gridCol w:w="1125"/>
        <w:gridCol w:w="1518"/>
      </w:tblGrid>
      <w:tr w:rsidR="00F44841" w:rsidRPr="00F44841" w14:paraId="277D5A3F" w14:textId="77777777" w:rsidTr="007278E2">
        <w:trPr>
          <w:trHeight w:val="680"/>
          <w:jc w:val="center"/>
        </w:trPr>
        <w:tc>
          <w:tcPr>
            <w:tcW w:w="3058" w:type="dxa"/>
            <w:tcBorders>
              <w:top w:val="single" w:sz="4" w:space="0" w:color="auto"/>
              <w:left w:val="nil"/>
              <w:bottom w:val="single" w:sz="4" w:space="0" w:color="auto"/>
              <w:right w:val="nil"/>
            </w:tcBorders>
            <w:noWrap/>
            <w:vAlign w:val="center"/>
            <w:hideMark/>
          </w:tcPr>
          <w:p w14:paraId="058370E5"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Predictor</w:t>
            </w:r>
          </w:p>
        </w:tc>
        <w:tc>
          <w:tcPr>
            <w:tcW w:w="1278" w:type="dxa"/>
            <w:tcBorders>
              <w:top w:val="single" w:sz="4" w:space="0" w:color="auto"/>
              <w:left w:val="nil"/>
              <w:bottom w:val="single" w:sz="4" w:space="0" w:color="auto"/>
              <w:right w:val="nil"/>
            </w:tcBorders>
            <w:vAlign w:val="center"/>
            <w:hideMark/>
          </w:tcPr>
          <w:p w14:paraId="1E8EB3D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1</w:t>
            </w:r>
            <w:r w:rsidRPr="00F44841">
              <w:rPr>
                <w:rFonts w:ascii="Times New Roman" w:eastAsia="ＭＳ Ｐゴシック" w:hAnsi="Times New Roman" w:cs="Times New Roman"/>
                <w:color w:val="1F1F1F"/>
                <w:kern w:val="0"/>
                <w:sz w:val="24"/>
              </w:rPr>
              <w:br/>
              <w:t>(Biological Threat)</w:t>
            </w:r>
          </w:p>
        </w:tc>
        <w:tc>
          <w:tcPr>
            <w:tcW w:w="1198" w:type="dxa"/>
            <w:tcBorders>
              <w:top w:val="single" w:sz="4" w:space="0" w:color="auto"/>
              <w:left w:val="nil"/>
              <w:bottom w:val="single" w:sz="4" w:space="0" w:color="auto"/>
              <w:right w:val="nil"/>
            </w:tcBorders>
            <w:vAlign w:val="center"/>
            <w:hideMark/>
          </w:tcPr>
          <w:p w14:paraId="6396373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2</w:t>
            </w:r>
            <w:r w:rsidRPr="00F44841">
              <w:rPr>
                <w:rFonts w:ascii="Times New Roman" w:eastAsia="ＭＳ Ｐゴシック" w:hAnsi="Times New Roman" w:cs="Times New Roman"/>
                <w:color w:val="1F1F1F"/>
                <w:kern w:val="0"/>
                <w:sz w:val="24"/>
              </w:rPr>
              <w:br/>
              <w:t>(Policy Response)</w:t>
            </w:r>
          </w:p>
        </w:tc>
        <w:tc>
          <w:tcPr>
            <w:tcW w:w="1125" w:type="dxa"/>
            <w:tcBorders>
              <w:top w:val="single" w:sz="4" w:space="0" w:color="auto"/>
              <w:left w:val="nil"/>
              <w:bottom w:val="single" w:sz="4" w:space="0" w:color="auto"/>
              <w:right w:val="nil"/>
            </w:tcBorders>
            <w:vAlign w:val="center"/>
            <w:hideMark/>
          </w:tcPr>
          <w:p w14:paraId="14D1195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3</w:t>
            </w:r>
            <w:r w:rsidRPr="00F44841">
              <w:rPr>
                <w:rFonts w:ascii="Times New Roman" w:eastAsia="ＭＳ Ｐゴシック" w:hAnsi="Times New Roman" w:cs="Times New Roman"/>
                <w:color w:val="1F1F1F"/>
                <w:kern w:val="0"/>
                <w:sz w:val="24"/>
              </w:rPr>
              <w:br/>
              <w:t>(Horse Race)</w:t>
            </w:r>
          </w:p>
        </w:tc>
        <w:tc>
          <w:tcPr>
            <w:tcW w:w="1245" w:type="dxa"/>
            <w:tcBorders>
              <w:top w:val="single" w:sz="4" w:space="0" w:color="auto"/>
              <w:left w:val="nil"/>
              <w:bottom w:val="single" w:sz="4" w:space="0" w:color="auto"/>
              <w:right w:val="nil"/>
            </w:tcBorders>
            <w:vAlign w:val="center"/>
            <w:hideMark/>
          </w:tcPr>
          <w:p w14:paraId="34C5E8B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Model 4</w:t>
            </w:r>
            <w:r w:rsidRPr="00F44841">
              <w:rPr>
                <w:rFonts w:ascii="Times New Roman" w:eastAsia="ＭＳ Ｐゴシック" w:hAnsi="Times New Roman" w:cs="Times New Roman"/>
                <w:color w:val="1F1F1F"/>
                <w:kern w:val="0"/>
                <w:sz w:val="24"/>
              </w:rPr>
              <w:br/>
              <w:t>(</w:t>
            </w:r>
            <w:proofErr w:type="spellStart"/>
            <w:r w:rsidRPr="00F44841">
              <w:rPr>
                <w:rFonts w:ascii="Times New Roman" w:eastAsia="ＭＳ Ｐゴシック" w:hAnsi="Times New Roman" w:cs="Times New Roman"/>
                <w:color w:val="1F1F1F"/>
                <w:kern w:val="0"/>
                <w:sz w:val="24"/>
              </w:rPr>
              <w:t>Residualized</w:t>
            </w:r>
            <w:proofErr w:type="spellEnd"/>
            <w:r w:rsidRPr="00F44841">
              <w:rPr>
                <w:rFonts w:ascii="Times New Roman" w:eastAsia="ＭＳ Ｐゴシック" w:hAnsi="Times New Roman" w:cs="Times New Roman"/>
                <w:color w:val="1F1F1F"/>
                <w:kern w:val="0"/>
                <w:sz w:val="24"/>
              </w:rPr>
              <w:t xml:space="preserve"> Selection)</w:t>
            </w:r>
          </w:p>
        </w:tc>
      </w:tr>
      <w:tr w:rsidR="00F44841" w:rsidRPr="00F44841" w14:paraId="1C434CCD" w14:textId="77777777" w:rsidTr="007278E2">
        <w:trPr>
          <w:trHeight w:val="320"/>
          <w:jc w:val="center"/>
        </w:trPr>
        <w:tc>
          <w:tcPr>
            <w:tcW w:w="3058" w:type="dxa"/>
            <w:tcBorders>
              <w:top w:val="nil"/>
              <w:left w:val="nil"/>
              <w:bottom w:val="nil"/>
              <w:right w:val="nil"/>
            </w:tcBorders>
            <w:noWrap/>
            <w:vAlign w:val="center"/>
            <w:hideMark/>
          </w:tcPr>
          <w:p w14:paraId="0EFBEB5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COVID-19 Mortality (log)</w:t>
            </w:r>
          </w:p>
        </w:tc>
        <w:tc>
          <w:tcPr>
            <w:tcW w:w="1278" w:type="dxa"/>
            <w:tcBorders>
              <w:top w:val="nil"/>
              <w:left w:val="nil"/>
              <w:bottom w:val="nil"/>
              <w:right w:val="nil"/>
            </w:tcBorders>
            <w:noWrap/>
            <w:vAlign w:val="center"/>
            <w:hideMark/>
          </w:tcPr>
          <w:p w14:paraId="71805B3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0.023</w:t>
            </w:r>
          </w:p>
        </w:tc>
        <w:tc>
          <w:tcPr>
            <w:tcW w:w="1198" w:type="dxa"/>
            <w:tcBorders>
              <w:top w:val="nil"/>
              <w:left w:val="nil"/>
              <w:bottom w:val="nil"/>
              <w:right w:val="nil"/>
            </w:tcBorders>
            <w:noWrap/>
            <w:vAlign w:val="center"/>
            <w:hideMark/>
          </w:tcPr>
          <w:p w14:paraId="6439564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c>
          <w:tcPr>
            <w:tcW w:w="1125" w:type="dxa"/>
            <w:tcBorders>
              <w:top w:val="nil"/>
              <w:left w:val="nil"/>
              <w:bottom w:val="nil"/>
              <w:right w:val="nil"/>
            </w:tcBorders>
            <w:noWrap/>
            <w:vAlign w:val="center"/>
            <w:hideMark/>
          </w:tcPr>
          <w:p w14:paraId="06AFCC45"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0.032</w:t>
            </w:r>
          </w:p>
        </w:tc>
        <w:tc>
          <w:tcPr>
            <w:tcW w:w="1245" w:type="dxa"/>
            <w:tcBorders>
              <w:top w:val="nil"/>
              <w:left w:val="nil"/>
              <w:bottom w:val="nil"/>
              <w:right w:val="nil"/>
            </w:tcBorders>
            <w:noWrap/>
            <w:vAlign w:val="center"/>
            <w:hideMark/>
          </w:tcPr>
          <w:p w14:paraId="213C2AD1"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62C1BC6C" w14:textId="77777777" w:rsidTr="007278E2">
        <w:trPr>
          <w:trHeight w:val="320"/>
          <w:jc w:val="center"/>
        </w:trPr>
        <w:tc>
          <w:tcPr>
            <w:tcW w:w="3058" w:type="dxa"/>
            <w:tcBorders>
              <w:top w:val="nil"/>
              <w:left w:val="nil"/>
              <w:bottom w:val="nil"/>
              <w:right w:val="nil"/>
            </w:tcBorders>
            <w:noWrap/>
            <w:vAlign w:val="center"/>
            <w:hideMark/>
          </w:tcPr>
          <w:p w14:paraId="5CE602C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7F056FD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0EA1A73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6A989D5A"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7BD9849F"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3875EA7D" w14:textId="77777777" w:rsidTr="007278E2">
        <w:trPr>
          <w:trHeight w:val="320"/>
          <w:jc w:val="center"/>
        </w:trPr>
        <w:tc>
          <w:tcPr>
            <w:tcW w:w="3058" w:type="dxa"/>
            <w:tcBorders>
              <w:top w:val="nil"/>
              <w:left w:val="nil"/>
              <w:bottom w:val="nil"/>
              <w:right w:val="nil"/>
            </w:tcBorders>
            <w:noWrap/>
            <w:vAlign w:val="center"/>
            <w:hideMark/>
          </w:tcPr>
          <w:p w14:paraId="3D667465"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1E8C1585"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-0.028</w:t>
            </w:r>
          </w:p>
        </w:tc>
        <w:tc>
          <w:tcPr>
            <w:tcW w:w="1198" w:type="dxa"/>
            <w:tcBorders>
              <w:top w:val="nil"/>
              <w:left w:val="nil"/>
              <w:bottom w:val="nil"/>
              <w:right w:val="nil"/>
            </w:tcBorders>
            <w:noWrap/>
            <w:vAlign w:val="center"/>
            <w:hideMark/>
          </w:tcPr>
          <w:p w14:paraId="7F224616"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c>
          <w:tcPr>
            <w:tcW w:w="1125" w:type="dxa"/>
            <w:tcBorders>
              <w:top w:val="nil"/>
              <w:left w:val="nil"/>
              <w:bottom w:val="nil"/>
              <w:right w:val="nil"/>
            </w:tcBorders>
            <w:noWrap/>
            <w:vAlign w:val="center"/>
            <w:hideMark/>
          </w:tcPr>
          <w:p w14:paraId="60E7B1BA"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-0.028</w:t>
            </w:r>
          </w:p>
        </w:tc>
        <w:tc>
          <w:tcPr>
            <w:tcW w:w="1245" w:type="dxa"/>
            <w:tcBorders>
              <w:top w:val="nil"/>
              <w:left w:val="nil"/>
              <w:bottom w:val="nil"/>
              <w:right w:val="nil"/>
            </w:tcBorders>
            <w:noWrap/>
            <w:vAlign w:val="center"/>
            <w:hideMark/>
          </w:tcPr>
          <w:p w14:paraId="339A1073"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6D419EB6" w14:textId="77777777" w:rsidTr="007278E2">
        <w:trPr>
          <w:trHeight w:val="320"/>
          <w:jc w:val="center"/>
        </w:trPr>
        <w:tc>
          <w:tcPr>
            <w:tcW w:w="3058" w:type="dxa"/>
            <w:tcBorders>
              <w:top w:val="nil"/>
              <w:left w:val="nil"/>
              <w:bottom w:val="nil"/>
              <w:right w:val="nil"/>
            </w:tcBorders>
            <w:noWrap/>
            <w:vAlign w:val="center"/>
            <w:hideMark/>
          </w:tcPr>
          <w:p w14:paraId="1EB187A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Lockdown Stringency</w:t>
            </w:r>
          </w:p>
        </w:tc>
        <w:tc>
          <w:tcPr>
            <w:tcW w:w="1278" w:type="dxa"/>
            <w:tcBorders>
              <w:top w:val="nil"/>
              <w:left w:val="nil"/>
              <w:bottom w:val="nil"/>
              <w:right w:val="nil"/>
            </w:tcBorders>
            <w:noWrap/>
            <w:vAlign w:val="center"/>
            <w:hideMark/>
          </w:tcPr>
          <w:p w14:paraId="1BAE5ED3"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198" w:type="dxa"/>
            <w:tcBorders>
              <w:top w:val="nil"/>
              <w:left w:val="nil"/>
              <w:bottom w:val="nil"/>
              <w:right w:val="nil"/>
            </w:tcBorders>
            <w:noWrap/>
            <w:vAlign w:val="center"/>
            <w:hideMark/>
          </w:tcPr>
          <w:p w14:paraId="0B7884DF"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-0.785</w:t>
            </w:r>
          </w:p>
        </w:tc>
        <w:tc>
          <w:tcPr>
            <w:tcW w:w="1125" w:type="dxa"/>
            <w:tcBorders>
              <w:top w:val="nil"/>
              <w:left w:val="nil"/>
              <w:bottom w:val="nil"/>
              <w:right w:val="nil"/>
            </w:tcBorders>
            <w:noWrap/>
            <w:vAlign w:val="center"/>
            <w:hideMark/>
          </w:tcPr>
          <w:p w14:paraId="298E05AD"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-0.944</w:t>
            </w:r>
          </w:p>
        </w:tc>
        <w:tc>
          <w:tcPr>
            <w:tcW w:w="1245" w:type="dxa"/>
            <w:tcBorders>
              <w:top w:val="nil"/>
              <w:left w:val="nil"/>
              <w:bottom w:val="nil"/>
              <w:right w:val="nil"/>
            </w:tcBorders>
            <w:noWrap/>
            <w:vAlign w:val="center"/>
            <w:hideMark/>
          </w:tcPr>
          <w:p w14:paraId="487C8D32"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410634FA" w14:textId="77777777" w:rsidTr="007278E2">
        <w:trPr>
          <w:trHeight w:val="320"/>
          <w:jc w:val="center"/>
        </w:trPr>
        <w:tc>
          <w:tcPr>
            <w:tcW w:w="3058" w:type="dxa"/>
            <w:tcBorders>
              <w:top w:val="nil"/>
              <w:left w:val="nil"/>
              <w:bottom w:val="nil"/>
              <w:right w:val="nil"/>
            </w:tcBorders>
            <w:noWrap/>
            <w:vAlign w:val="center"/>
            <w:hideMark/>
          </w:tcPr>
          <w:p w14:paraId="0972AD5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0F71D5B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1D210D99"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181375EF"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3DA01303"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6D67FCA6" w14:textId="77777777" w:rsidTr="007278E2">
        <w:trPr>
          <w:trHeight w:val="320"/>
          <w:jc w:val="center"/>
        </w:trPr>
        <w:tc>
          <w:tcPr>
            <w:tcW w:w="3058" w:type="dxa"/>
            <w:tcBorders>
              <w:top w:val="nil"/>
              <w:left w:val="nil"/>
              <w:bottom w:val="nil"/>
              <w:right w:val="nil"/>
            </w:tcBorders>
            <w:noWrap/>
            <w:vAlign w:val="center"/>
            <w:hideMark/>
          </w:tcPr>
          <w:p w14:paraId="262B4153"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6475D335"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1734921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-0.632</w:t>
            </w:r>
          </w:p>
        </w:tc>
        <w:tc>
          <w:tcPr>
            <w:tcW w:w="1125" w:type="dxa"/>
            <w:tcBorders>
              <w:top w:val="nil"/>
              <w:left w:val="nil"/>
              <w:bottom w:val="nil"/>
              <w:right w:val="nil"/>
            </w:tcBorders>
            <w:noWrap/>
            <w:vAlign w:val="center"/>
            <w:hideMark/>
          </w:tcPr>
          <w:p w14:paraId="56D53D2B"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-0.623</w:t>
            </w:r>
          </w:p>
        </w:tc>
        <w:tc>
          <w:tcPr>
            <w:tcW w:w="1245" w:type="dxa"/>
            <w:tcBorders>
              <w:top w:val="nil"/>
              <w:left w:val="nil"/>
              <w:bottom w:val="nil"/>
              <w:right w:val="nil"/>
            </w:tcBorders>
            <w:noWrap/>
            <w:vAlign w:val="center"/>
            <w:hideMark/>
          </w:tcPr>
          <w:p w14:paraId="4D987908"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p>
        </w:tc>
      </w:tr>
      <w:tr w:rsidR="00F44841" w:rsidRPr="00F44841" w14:paraId="471E5965" w14:textId="77777777" w:rsidTr="007278E2">
        <w:trPr>
          <w:trHeight w:val="320"/>
          <w:jc w:val="center"/>
        </w:trPr>
        <w:tc>
          <w:tcPr>
            <w:tcW w:w="3058" w:type="dxa"/>
            <w:tcBorders>
              <w:top w:val="nil"/>
              <w:left w:val="nil"/>
              <w:bottom w:val="nil"/>
              <w:right w:val="nil"/>
            </w:tcBorders>
            <w:noWrap/>
            <w:vAlign w:val="center"/>
            <w:hideMark/>
          </w:tcPr>
          <w:p w14:paraId="495456DA"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Stringency (</w:t>
            </w:r>
            <w:proofErr w:type="spellStart"/>
            <w:r w:rsidRPr="00F44841">
              <w:rPr>
                <w:rFonts w:ascii="Times New Roman" w:eastAsia="ＭＳ Ｐゴシック" w:hAnsi="Times New Roman" w:cs="Times New Roman"/>
                <w:color w:val="1F1F1F"/>
                <w:kern w:val="0"/>
                <w:sz w:val="24"/>
              </w:rPr>
              <w:t>Residualized</w:t>
            </w:r>
            <w:proofErr w:type="spellEnd"/>
            <w:r w:rsidRPr="00F44841">
              <w:rPr>
                <w:rFonts w:ascii="Times New Roman" w:eastAsia="ＭＳ Ｐゴシック" w:hAnsi="Times New Roman" w:cs="Times New Roman"/>
                <w:color w:val="1F1F1F"/>
                <w:kern w:val="0"/>
                <w:sz w:val="24"/>
              </w:rPr>
              <w:t>)</w:t>
            </w:r>
          </w:p>
        </w:tc>
        <w:tc>
          <w:tcPr>
            <w:tcW w:w="1278" w:type="dxa"/>
            <w:tcBorders>
              <w:top w:val="nil"/>
              <w:left w:val="nil"/>
              <w:bottom w:val="nil"/>
              <w:right w:val="nil"/>
            </w:tcBorders>
            <w:noWrap/>
            <w:vAlign w:val="center"/>
            <w:hideMark/>
          </w:tcPr>
          <w:p w14:paraId="4394CE4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198" w:type="dxa"/>
            <w:tcBorders>
              <w:top w:val="nil"/>
              <w:left w:val="nil"/>
              <w:bottom w:val="nil"/>
              <w:right w:val="nil"/>
            </w:tcBorders>
            <w:noWrap/>
            <w:vAlign w:val="center"/>
            <w:hideMark/>
          </w:tcPr>
          <w:p w14:paraId="3EBA2E8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07985F8B"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7B961130" w14:textId="6067241C"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-0.031</w:t>
            </w:r>
            <w:r w:rsidR="00705778">
              <w:rPr>
                <w:rFonts w:ascii="Times New Roman" w:eastAsia="ＭＳ Ｐゴシック" w:hAnsi="Times New Roman" w:cs="Times New Roman"/>
                <w:color w:val="1F1F1F"/>
                <w:kern w:val="0"/>
                <w:sz w:val="24"/>
              </w:rPr>
              <w:t>*</w:t>
            </w:r>
          </w:p>
        </w:tc>
      </w:tr>
      <w:tr w:rsidR="00F44841" w:rsidRPr="00F44841" w14:paraId="469D3E5B" w14:textId="77777777" w:rsidTr="007278E2">
        <w:trPr>
          <w:trHeight w:val="320"/>
          <w:jc w:val="center"/>
        </w:trPr>
        <w:tc>
          <w:tcPr>
            <w:tcW w:w="3058" w:type="dxa"/>
            <w:tcBorders>
              <w:top w:val="nil"/>
              <w:left w:val="nil"/>
              <w:bottom w:val="nil"/>
              <w:right w:val="nil"/>
            </w:tcBorders>
            <w:noWrap/>
            <w:vAlign w:val="center"/>
            <w:hideMark/>
          </w:tcPr>
          <w:p w14:paraId="72585460"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278" w:type="dxa"/>
            <w:tcBorders>
              <w:top w:val="nil"/>
              <w:left w:val="nil"/>
              <w:bottom w:val="nil"/>
              <w:right w:val="nil"/>
            </w:tcBorders>
            <w:noWrap/>
            <w:vAlign w:val="center"/>
            <w:hideMark/>
          </w:tcPr>
          <w:p w14:paraId="41A9DB2A"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2C49B080"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2204FAF7"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341C8EC1"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38A6C610" w14:textId="77777777" w:rsidTr="007278E2">
        <w:trPr>
          <w:trHeight w:val="320"/>
          <w:jc w:val="center"/>
        </w:trPr>
        <w:tc>
          <w:tcPr>
            <w:tcW w:w="3058" w:type="dxa"/>
            <w:tcBorders>
              <w:top w:val="nil"/>
              <w:left w:val="nil"/>
              <w:bottom w:val="nil"/>
              <w:right w:val="nil"/>
            </w:tcBorders>
            <w:noWrap/>
            <w:vAlign w:val="center"/>
            <w:hideMark/>
          </w:tcPr>
          <w:p w14:paraId="196E046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78" w:type="dxa"/>
            <w:tcBorders>
              <w:top w:val="nil"/>
              <w:left w:val="nil"/>
              <w:bottom w:val="nil"/>
              <w:right w:val="nil"/>
            </w:tcBorders>
            <w:noWrap/>
            <w:vAlign w:val="center"/>
            <w:hideMark/>
          </w:tcPr>
          <w:p w14:paraId="2CAB80A4"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4A72E74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351F3E26"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0AA009D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(0.019)</w:t>
            </w:r>
          </w:p>
        </w:tc>
      </w:tr>
      <w:tr w:rsidR="00F44841" w:rsidRPr="00F44841" w14:paraId="5FA561F1" w14:textId="77777777" w:rsidTr="007278E2">
        <w:trPr>
          <w:trHeight w:val="320"/>
          <w:jc w:val="center"/>
        </w:trPr>
        <w:tc>
          <w:tcPr>
            <w:tcW w:w="3058" w:type="dxa"/>
            <w:tcBorders>
              <w:top w:val="nil"/>
              <w:left w:val="nil"/>
              <w:bottom w:val="nil"/>
              <w:right w:val="nil"/>
            </w:tcBorders>
            <w:noWrap/>
            <w:vAlign w:val="center"/>
            <w:hideMark/>
          </w:tcPr>
          <w:p w14:paraId="710933C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p>
        </w:tc>
        <w:tc>
          <w:tcPr>
            <w:tcW w:w="1278" w:type="dxa"/>
            <w:tcBorders>
              <w:top w:val="nil"/>
              <w:left w:val="nil"/>
              <w:bottom w:val="nil"/>
              <w:right w:val="nil"/>
            </w:tcBorders>
            <w:noWrap/>
            <w:vAlign w:val="center"/>
            <w:hideMark/>
          </w:tcPr>
          <w:p w14:paraId="0914E6BD"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98" w:type="dxa"/>
            <w:tcBorders>
              <w:top w:val="nil"/>
              <w:left w:val="nil"/>
              <w:bottom w:val="nil"/>
              <w:right w:val="nil"/>
            </w:tcBorders>
            <w:noWrap/>
            <w:vAlign w:val="center"/>
            <w:hideMark/>
          </w:tcPr>
          <w:p w14:paraId="01E49B09"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125" w:type="dxa"/>
            <w:tcBorders>
              <w:top w:val="nil"/>
              <w:left w:val="nil"/>
              <w:bottom w:val="nil"/>
              <w:right w:val="nil"/>
            </w:tcBorders>
            <w:noWrap/>
            <w:vAlign w:val="center"/>
            <w:hideMark/>
          </w:tcPr>
          <w:p w14:paraId="3A1C487D" w14:textId="77777777" w:rsidR="00F44841" w:rsidRPr="00F44841" w:rsidRDefault="00F44841" w:rsidP="00F44841">
            <w:pPr>
              <w:widowControl/>
              <w:jc w:val="left"/>
              <w:rPr>
                <w:rFonts w:ascii="Times New Roman" w:eastAsia="Times New Roman" w:hAnsi="Times New Roman" w:cs="Times New Roman"/>
                <w:kern w:val="0"/>
                <w:sz w:val="20"/>
                <w:szCs w:val="20"/>
              </w:rPr>
            </w:pPr>
          </w:p>
        </w:tc>
        <w:tc>
          <w:tcPr>
            <w:tcW w:w="1245" w:type="dxa"/>
            <w:tcBorders>
              <w:top w:val="nil"/>
              <w:left w:val="nil"/>
              <w:bottom w:val="nil"/>
              <w:right w:val="nil"/>
            </w:tcBorders>
            <w:noWrap/>
            <w:vAlign w:val="center"/>
            <w:hideMark/>
          </w:tcPr>
          <w:p w14:paraId="6A15C14C" w14:textId="77777777" w:rsidR="00F44841" w:rsidRPr="00F44841" w:rsidRDefault="00F44841" w:rsidP="00F44841">
            <w:pPr>
              <w:widowControl/>
              <w:jc w:val="left"/>
              <w:rPr>
                <w:rFonts w:ascii="Times New Roman" w:eastAsia="Times New Roman" w:hAnsi="Times New Roman" w:cs="Times New Roman"/>
                <w:kern w:val="0"/>
                <w:sz w:val="20"/>
                <w:szCs w:val="20"/>
              </w:rPr>
            </w:pPr>
          </w:p>
        </w:tc>
      </w:tr>
      <w:tr w:rsidR="00F44841" w:rsidRPr="00F44841" w14:paraId="12505CED" w14:textId="77777777" w:rsidTr="007278E2">
        <w:trPr>
          <w:trHeight w:val="320"/>
          <w:jc w:val="center"/>
        </w:trPr>
        <w:tc>
          <w:tcPr>
            <w:tcW w:w="3058" w:type="dxa"/>
            <w:tcBorders>
              <w:top w:val="nil"/>
              <w:left w:val="nil"/>
              <w:bottom w:val="nil"/>
              <w:right w:val="nil"/>
            </w:tcBorders>
            <w:noWrap/>
            <w:vAlign w:val="center"/>
            <w:hideMark/>
          </w:tcPr>
          <w:p w14:paraId="66AB328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Observations</w:t>
            </w:r>
          </w:p>
        </w:tc>
        <w:tc>
          <w:tcPr>
            <w:tcW w:w="1278" w:type="dxa"/>
            <w:tcBorders>
              <w:top w:val="nil"/>
              <w:left w:val="nil"/>
              <w:bottom w:val="nil"/>
              <w:right w:val="nil"/>
            </w:tcBorders>
            <w:noWrap/>
            <w:vAlign w:val="center"/>
            <w:hideMark/>
          </w:tcPr>
          <w:p w14:paraId="50BDD53B"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198" w:type="dxa"/>
            <w:tcBorders>
              <w:top w:val="nil"/>
              <w:left w:val="nil"/>
              <w:bottom w:val="nil"/>
              <w:right w:val="nil"/>
            </w:tcBorders>
            <w:noWrap/>
            <w:vAlign w:val="center"/>
            <w:hideMark/>
          </w:tcPr>
          <w:p w14:paraId="1DAA2C20"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125" w:type="dxa"/>
            <w:tcBorders>
              <w:top w:val="nil"/>
              <w:left w:val="nil"/>
              <w:bottom w:val="nil"/>
              <w:right w:val="nil"/>
            </w:tcBorders>
            <w:noWrap/>
            <w:vAlign w:val="center"/>
            <w:hideMark/>
          </w:tcPr>
          <w:p w14:paraId="246B8C7C"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380</w:t>
            </w:r>
          </w:p>
        </w:tc>
        <w:tc>
          <w:tcPr>
            <w:tcW w:w="1245" w:type="dxa"/>
            <w:tcBorders>
              <w:top w:val="nil"/>
              <w:left w:val="nil"/>
              <w:bottom w:val="nil"/>
              <w:right w:val="nil"/>
            </w:tcBorders>
            <w:noWrap/>
            <w:vAlign w:val="center"/>
            <w:hideMark/>
          </w:tcPr>
          <w:p w14:paraId="4CF9481D"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38</w:t>
            </w:r>
          </w:p>
        </w:tc>
      </w:tr>
      <w:tr w:rsidR="00F44841" w:rsidRPr="00F44841" w14:paraId="0BBB60E0" w14:textId="77777777" w:rsidTr="007278E2">
        <w:trPr>
          <w:trHeight w:val="320"/>
          <w:jc w:val="center"/>
        </w:trPr>
        <w:tc>
          <w:tcPr>
            <w:tcW w:w="3058" w:type="dxa"/>
            <w:tcBorders>
              <w:top w:val="nil"/>
              <w:left w:val="nil"/>
              <w:bottom w:val="nil"/>
              <w:right w:val="nil"/>
            </w:tcBorders>
            <w:noWrap/>
            <w:vAlign w:val="center"/>
            <w:hideMark/>
          </w:tcPr>
          <w:p w14:paraId="3009A227" w14:textId="4D782C63"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R</w:t>
            </w:r>
            <w:r w:rsidR="00656CB4" w:rsidRPr="00656CB4">
              <w:rPr>
                <w:rFonts w:ascii="Times New Roman" w:eastAsia="ＭＳ Ｐゴシック" w:hAnsi="Times New Roman" w:cs="Times New Roman"/>
                <w:color w:val="1F1F1F"/>
                <w:kern w:val="0"/>
                <w:sz w:val="24"/>
                <w:vertAlign w:val="superscript"/>
              </w:rPr>
              <w:t>2</w:t>
            </w:r>
            <w:r w:rsidRPr="00F44841">
              <w:rPr>
                <w:rFonts w:ascii="Times New Roman" w:eastAsia="ＭＳ Ｐゴシック" w:hAnsi="Times New Roman" w:cs="Times New Roman"/>
                <w:color w:val="1F1F1F"/>
                <w:kern w:val="0"/>
                <w:sz w:val="24"/>
              </w:rPr>
              <w:t xml:space="preserve"> (Within / Adj.)</w:t>
            </w:r>
          </w:p>
        </w:tc>
        <w:tc>
          <w:tcPr>
            <w:tcW w:w="1278" w:type="dxa"/>
            <w:tcBorders>
              <w:top w:val="nil"/>
              <w:left w:val="nil"/>
              <w:bottom w:val="nil"/>
              <w:right w:val="nil"/>
            </w:tcBorders>
            <w:noWrap/>
            <w:vAlign w:val="center"/>
            <w:hideMark/>
          </w:tcPr>
          <w:p w14:paraId="7C9E7287"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-0.069</w:t>
            </w:r>
          </w:p>
        </w:tc>
        <w:tc>
          <w:tcPr>
            <w:tcW w:w="1198" w:type="dxa"/>
            <w:tcBorders>
              <w:top w:val="nil"/>
              <w:left w:val="nil"/>
              <w:bottom w:val="nil"/>
              <w:right w:val="nil"/>
            </w:tcBorders>
            <w:noWrap/>
            <w:vAlign w:val="center"/>
            <w:hideMark/>
          </w:tcPr>
          <w:p w14:paraId="659CA65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-0.211</w:t>
            </w:r>
          </w:p>
        </w:tc>
        <w:tc>
          <w:tcPr>
            <w:tcW w:w="1125" w:type="dxa"/>
            <w:tcBorders>
              <w:top w:val="nil"/>
              <w:left w:val="nil"/>
              <w:bottom w:val="nil"/>
              <w:right w:val="nil"/>
            </w:tcBorders>
            <w:noWrap/>
            <w:vAlign w:val="center"/>
            <w:hideMark/>
          </w:tcPr>
          <w:p w14:paraId="45A7519E"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-0.155</w:t>
            </w:r>
          </w:p>
        </w:tc>
        <w:tc>
          <w:tcPr>
            <w:tcW w:w="1245" w:type="dxa"/>
            <w:tcBorders>
              <w:top w:val="nil"/>
              <w:left w:val="nil"/>
              <w:bottom w:val="nil"/>
              <w:right w:val="nil"/>
            </w:tcBorders>
            <w:noWrap/>
            <w:vAlign w:val="center"/>
            <w:hideMark/>
          </w:tcPr>
          <w:p w14:paraId="3EF302B3" w14:textId="77777777" w:rsidR="00F44841" w:rsidRPr="00F44841" w:rsidRDefault="00F44841" w:rsidP="00F44841">
            <w:pPr>
              <w:widowControl/>
              <w:jc w:val="righ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0.081</w:t>
            </w:r>
          </w:p>
        </w:tc>
      </w:tr>
      <w:tr w:rsidR="00F44841" w:rsidRPr="00F44841" w14:paraId="778E6791" w14:textId="77777777" w:rsidTr="007278E2">
        <w:trPr>
          <w:trHeight w:val="320"/>
          <w:jc w:val="center"/>
        </w:trPr>
        <w:tc>
          <w:tcPr>
            <w:tcW w:w="3058" w:type="dxa"/>
            <w:tcBorders>
              <w:top w:val="nil"/>
              <w:left w:val="nil"/>
              <w:bottom w:val="nil"/>
              <w:right w:val="nil"/>
            </w:tcBorders>
            <w:noWrap/>
            <w:vAlign w:val="center"/>
            <w:hideMark/>
          </w:tcPr>
          <w:p w14:paraId="2E802EAB"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Country FE</w:t>
            </w:r>
          </w:p>
        </w:tc>
        <w:tc>
          <w:tcPr>
            <w:tcW w:w="1278" w:type="dxa"/>
            <w:tcBorders>
              <w:top w:val="nil"/>
              <w:left w:val="nil"/>
              <w:bottom w:val="nil"/>
              <w:right w:val="nil"/>
            </w:tcBorders>
            <w:noWrap/>
            <w:vAlign w:val="center"/>
            <w:hideMark/>
          </w:tcPr>
          <w:p w14:paraId="068B1FEE"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98" w:type="dxa"/>
            <w:tcBorders>
              <w:top w:val="nil"/>
              <w:left w:val="nil"/>
              <w:bottom w:val="nil"/>
              <w:right w:val="nil"/>
            </w:tcBorders>
            <w:noWrap/>
            <w:vAlign w:val="center"/>
            <w:hideMark/>
          </w:tcPr>
          <w:p w14:paraId="22549DB8"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25" w:type="dxa"/>
            <w:tcBorders>
              <w:top w:val="nil"/>
              <w:left w:val="nil"/>
              <w:bottom w:val="nil"/>
              <w:right w:val="nil"/>
            </w:tcBorders>
            <w:noWrap/>
            <w:vAlign w:val="center"/>
            <w:hideMark/>
          </w:tcPr>
          <w:p w14:paraId="23334E6C"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245" w:type="dxa"/>
            <w:tcBorders>
              <w:top w:val="nil"/>
              <w:left w:val="nil"/>
              <w:bottom w:val="nil"/>
              <w:right w:val="nil"/>
            </w:tcBorders>
            <w:noWrap/>
            <w:vAlign w:val="center"/>
            <w:hideMark/>
          </w:tcPr>
          <w:p w14:paraId="0254500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No</w:t>
            </w:r>
          </w:p>
        </w:tc>
      </w:tr>
      <w:tr w:rsidR="00F44841" w:rsidRPr="00F44841" w14:paraId="25A86035" w14:textId="77777777" w:rsidTr="007278E2">
        <w:trPr>
          <w:trHeight w:val="320"/>
          <w:jc w:val="center"/>
        </w:trPr>
        <w:tc>
          <w:tcPr>
            <w:tcW w:w="3058" w:type="dxa"/>
            <w:tcBorders>
              <w:top w:val="nil"/>
              <w:left w:val="nil"/>
              <w:bottom w:val="single" w:sz="4" w:space="0" w:color="auto"/>
              <w:right w:val="nil"/>
            </w:tcBorders>
            <w:noWrap/>
            <w:vAlign w:val="center"/>
            <w:hideMark/>
          </w:tcPr>
          <w:p w14:paraId="2D2815C6"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Year FE</w:t>
            </w:r>
          </w:p>
        </w:tc>
        <w:tc>
          <w:tcPr>
            <w:tcW w:w="1278" w:type="dxa"/>
            <w:tcBorders>
              <w:top w:val="nil"/>
              <w:left w:val="nil"/>
              <w:bottom w:val="single" w:sz="4" w:space="0" w:color="auto"/>
              <w:right w:val="nil"/>
            </w:tcBorders>
            <w:noWrap/>
            <w:vAlign w:val="center"/>
            <w:hideMark/>
          </w:tcPr>
          <w:p w14:paraId="75D80D24"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98" w:type="dxa"/>
            <w:tcBorders>
              <w:top w:val="nil"/>
              <w:left w:val="nil"/>
              <w:bottom w:val="single" w:sz="4" w:space="0" w:color="auto"/>
              <w:right w:val="nil"/>
            </w:tcBorders>
            <w:noWrap/>
            <w:vAlign w:val="center"/>
            <w:hideMark/>
          </w:tcPr>
          <w:p w14:paraId="7C7D1177"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125" w:type="dxa"/>
            <w:tcBorders>
              <w:top w:val="nil"/>
              <w:left w:val="nil"/>
              <w:bottom w:val="single" w:sz="4" w:space="0" w:color="auto"/>
              <w:right w:val="nil"/>
            </w:tcBorders>
            <w:noWrap/>
            <w:vAlign w:val="center"/>
            <w:hideMark/>
          </w:tcPr>
          <w:p w14:paraId="6513F7F1"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Yes</w:t>
            </w:r>
          </w:p>
        </w:tc>
        <w:tc>
          <w:tcPr>
            <w:tcW w:w="1245" w:type="dxa"/>
            <w:tcBorders>
              <w:top w:val="nil"/>
              <w:left w:val="nil"/>
              <w:bottom w:val="single" w:sz="4" w:space="0" w:color="auto"/>
              <w:right w:val="nil"/>
            </w:tcBorders>
            <w:noWrap/>
            <w:vAlign w:val="center"/>
            <w:hideMark/>
          </w:tcPr>
          <w:p w14:paraId="4A1BC02D" w14:textId="77777777" w:rsidR="00F44841" w:rsidRPr="00F44841" w:rsidRDefault="00F44841" w:rsidP="00F44841">
            <w:pPr>
              <w:widowControl/>
              <w:jc w:val="left"/>
              <w:rPr>
                <w:rFonts w:ascii="Times New Roman" w:eastAsia="ＭＳ Ｐゴシック" w:hAnsi="Times New Roman" w:cs="Times New Roman"/>
                <w:color w:val="1F1F1F"/>
                <w:kern w:val="0"/>
                <w:sz w:val="24"/>
              </w:rPr>
            </w:pPr>
            <w:r w:rsidRPr="00F44841">
              <w:rPr>
                <w:rFonts w:ascii="Times New Roman" w:eastAsia="ＭＳ Ｐゴシック" w:hAnsi="Times New Roman" w:cs="Times New Roman"/>
                <w:color w:val="1F1F1F"/>
                <w:kern w:val="0"/>
                <w:sz w:val="24"/>
              </w:rPr>
              <w:t>No</w:t>
            </w:r>
          </w:p>
        </w:tc>
      </w:tr>
    </w:tbl>
    <w:p w14:paraId="7FD06E0A" w14:textId="0039CF30" w:rsidR="0099517D" w:rsidRPr="0099517D" w:rsidRDefault="0099517D" w:rsidP="0099517D">
      <w:pPr>
        <w:rPr>
          <w:rFonts w:ascii="Times New Roman" w:hAnsi="Times New Roman" w:cs="Times New Roman"/>
          <w:sz w:val="24"/>
        </w:rPr>
      </w:pPr>
      <w:r w:rsidRPr="0099517D">
        <w:rPr>
          <w:rFonts w:ascii="Times New Roman" w:hAnsi="Times New Roman" w:cs="Times New Roman"/>
          <w:sz w:val="24"/>
        </w:rPr>
        <w:t xml:space="preserve">Dependent variable is the annual change in social polarization (first-differenced v2smpolsoc). Positive coefficients indicate an increase in polarization (decrease in cohesion), negative coefficients indicate a decrease in polarization (increase in cohesion). Models 1–3 are estimated using Two-Way Fixed Effects (TWFE) with standard errors clustered by country (in parentheses). Model 4 is a cross-sectional OLS regression where both the outcome and the predictor are </w:t>
      </w:r>
      <w:proofErr w:type="spellStart"/>
      <w:r w:rsidRPr="0099517D">
        <w:rPr>
          <w:rFonts w:ascii="Times New Roman" w:hAnsi="Times New Roman" w:cs="Times New Roman"/>
          <w:sz w:val="24"/>
        </w:rPr>
        <w:t>residualized</w:t>
      </w:r>
      <w:proofErr w:type="spellEnd"/>
      <w:r w:rsidRPr="0099517D">
        <w:rPr>
          <w:rFonts w:ascii="Times New Roman" w:hAnsi="Times New Roman" w:cs="Times New Roman"/>
          <w:sz w:val="24"/>
        </w:rPr>
        <w:t xml:space="preserve"> on 2019 baseline social cohesion.</w:t>
      </w:r>
    </w:p>
    <w:p w14:paraId="77EF753B" w14:textId="6083DD76" w:rsidR="00656CB4" w:rsidRDefault="00705778" w:rsidP="00656CB4">
      <w:pPr>
        <w:rPr>
          <w:rFonts w:ascii="Times New Roman" w:hAnsi="Times New Roman" w:cs="Times New Roman"/>
          <w:sz w:val="24"/>
        </w:rPr>
      </w:pPr>
      <w:r w:rsidRPr="00705778">
        <w:rPr>
          <w:rFonts w:ascii="Times New Roman" w:hAnsi="Times New Roman" w:cs="Times New Roman"/>
          <w:sz w:val="24"/>
        </w:rPr>
        <w:t>*</w:t>
      </w:r>
      <w:r w:rsidR="0099517D" w:rsidRPr="0099517D">
        <w:rPr>
          <w:rFonts w:ascii="Times New Roman" w:hAnsi="Times New Roman" w:cs="Times New Roman"/>
          <w:sz w:val="24"/>
        </w:rPr>
        <w:t xml:space="preserve"> p &lt; 0.10</w:t>
      </w:r>
      <w:r w:rsidR="00656CB4">
        <w:rPr>
          <w:rFonts w:ascii="Times New Roman" w:hAnsi="Times New Roman" w:cs="Times New Roman"/>
          <w:sz w:val="24"/>
        </w:rPr>
        <w:t>.</w:t>
      </w:r>
    </w:p>
    <w:p w14:paraId="35477E28" w14:textId="5CF6DFE2" w:rsidR="0099517D" w:rsidRDefault="0099517D" w:rsidP="0099517D">
      <w:pPr>
        <w:rPr>
          <w:rFonts w:ascii="Times New Roman" w:hAnsi="Times New Roman" w:cs="Times New Roman"/>
          <w:sz w:val="24"/>
        </w:rPr>
        <w:sectPr w:rsidR="0099517D" w:rsidSect="00765611">
          <w:pgSz w:w="11906" w:h="16838"/>
          <w:pgMar w:top="1985" w:right="1701" w:bottom="1701" w:left="1701" w:header="851" w:footer="992" w:gutter="0"/>
          <w:lnNumType w:countBy="1" w:restart="continuous"/>
          <w:cols w:space="425"/>
          <w:docGrid w:type="lines" w:linePitch="360"/>
        </w:sectPr>
      </w:pPr>
    </w:p>
    <w:p w14:paraId="1EAF4317" w14:textId="3838C909"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1.</w:t>
      </w:r>
      <w:r w:rsidR="00307615">
        <w:rPr>
          <w:rFonts w:ascii="Times New Roman" w:hAnsi="Times New Roman" w:cs="Times New Roman"/>
          <w:sz w:val="24"/>
        </w:rPr>
        <w:t xml:space="preserve"> </w:t>
      </w:r>
      <w:r w:rsidR="00307615" w:rsidRPr="00307615">
        <w:rPr>
          <w:rFonts w:ascii="Times New Roman" w:hAnsi="Times New Roman" w:cs="Times New Roman"/>
          <w:sz w:val="24"/>
        </w:rPr>
        <w:t>Trends in Social Cohesion across OECD Countries (2010–2024)</w:t>
      </w:r>
    </w:p>
    <w:p w14:paraId="14330F69" w14:textId="77777777" w:rsidR="000405E8" w:rsidRDefault="000405E8"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314ACB23" wp14:editId="4F05BAA6">
            <wp:extent cx="5400040" cy="3194685"/>
            <wp:effectExtent l="0" t="0" r="0" b="5715"/>
            <wp:docPr id="739806287" name="図 1"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6287" name="図 1" descr="グラフ, 折れ線グラフ&#10;&#10;AI 生成コンテンツは誤りを含む可能性があります。"/>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3194685"/>
                    </a:xfrm>
                    <a:prstGeom prst="rect">
                      <a:avLst/>
                    </a:prstGeom>
                  </pic:spPr>
                </pic:pic>
              </a:graphicData>
            </a:graphic>
          </wp:inline>
        </w:drawing>
      </w:r>
    </w:p>
    <w:p w14:paraId="7F303076" w14:textId="606BDF32" w:rsidR="00307615" w:rsidRDefault="00307615" w:rsidP="00307615">
      <w:pPr>
        <w:jc w:val="left"/>
        <w:rPr>
          <w:rFonts w:ascii="Times New Roman" w:hAnsi="Times New Roman" w:cs="Times New Roman"/>
          <w:sz w:val="24"/>
        </w:rPr>
        <w:sectPr w:rsidR="00307615" w:rsidSect="00765611">
          <w:pgSz w:w="11906" w:h="16838"/>
          <w:pgMar w:top="1985" w:right="1701" w:bottom="1701" w:left="1701" w:header="851" w:footer="992" w:gutter="0"/>
          <w:lnNumType w:countBy="1" w:restart="continuous"/>
          <w:cols w:space="425"/>
          <w:docGrid w:type="lines" w:linePitch="360"/>
        </w:sectPr>
      </w:pPr>
      <w:r w:rsidRPr="00307615">
        <w:rPr>
          <w:rFonts w:ascii="Times New Roman" w:hAnsi="Times New Roman" w:cs="Times New Roman"/>
          <w:sz w:val="24"/>
        </w:rPr>
        <w:t>The solid blue line represents the mean Social Cohesion Index (V-Dem: v2smpolsoc) across 38 OECD nations, with the shaded area indicating the 95% confidence interval. Higher values denote greater social cohesion; lower values denote deeper polarization. The vertical dashed line marks the onset of the COVID-19 pandemic (2020). The trend shows a structural, monotonic decline in cohesion that predates the pandemic and continues without significant acceleration during the crisis period.</w:t>
      </w:r>
    </w:p>
    <w:p w14:paraId="674470B1" w14:textId="67D2E11B"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2.</w:t>
      </w:r>
      <w:r w:rsidR="00307615">
        <w:rPr>
          <w:rFonts w:ascii="Times New Roman" w:hAnsi="Times New Roman" w:cs="Times New Roman"/>
          <w:sz w:val="24"/>
        </w:rPr>
        <w:t xml:space="preserve"> </w:t>
      </w:r>
      <w:r w:rsidR="00307615" w:rsidRPr="00307615">
        <w:rPr>
          <w:rFonts w:ascii="Times New Roman" w:hAnsi="Times New Roman" w:cs="Times New Roman"/>
          <w:sz w:val="24"/>
        </w:rPr>
        <w:t>Horse Race Model: The Null Effects of Biological Threat and Policy Response on Social Polarization</w:t>
      </w:r>
    </w:p>
    <w:p w14:paraId="0829F2A2" w14:textId="77777777" w:rsidR="000405E8" w:rsidRDefault="000405E8"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0FA397AE" wp14:editId="7DFC318C">
            <wp:extent cx="5400040" cy="2957830"/>
            <wp:effectExtent l="0" t="0" r="0" b="1270"/>
            <wp:docPr id="1195784562" name="図 2"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84562" name="図 2" descr="グラフ, 折れ線グラフ&#10;&#10;AI 生成コンテンツは誤りを含む可能性があります。"/>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00040" cy="2957830"/>
                    </a:xfrm>
                    <a:prstGeom prst="rect">
                      <a:avLst/>
                    </a:prstGeom>
                  </pic:spPr>
                </pic:pic>
              </a:graphicData>
            </a:graphic>
          </wp:inline>
        </w:drawing>
      </w:r>
    </w:p>
    <w:p w14:paraId="742D92EC" w14:textId="2C89341A" w:rsidR="00307615" w:rsidRDefault="00307615" w:rsidP="00307615">
      <w:pPr>
        <w:jc w:val="left"/>
        <w:rPr>
          <w:rFonts w:ascii="Times New Roman" w:hAnsi="Times New Roman" w:cs="Times New Roman"/>
          <w:sz w:val="24"/>
        </w:rPr>
        <w:sectPr w:rsidR="00307615" w:rsidSect="00765611">
          <w:pgSz w:w="11906" w:h="16838"/>
          <w:pgMar w:top="1985" w:right="1701" w:bottom="1701" w:left="1701" w:header="851" w:footer="992" w:gutter="0"/>
          <w:lnNumType w:countBy="1" w:restart="continuous"/>
          <w:cols w:space="425"/>
          <w:docGrid w:type="lines" w:linePitch="360"/>
        </w:sectPr>
      </w:pPr>
      <w:r w:rsidRPr="00307615">
        <w:rPr>
          <w:rFonts w:ascii="Times New Roman" w:hAnsi="Times New Roman" w:cs="Times New Roman"/>
          <w:sz w:val="24"/>
        </w:rPr>
        <w:t>Coefficient estimates from the Two-Way Fixed Effects "Horse Race" specification (Model 3) predicting the annual change in social polarization. Points represent point estimates (</w:t>
      </w:r>
      <m:oMath>
        <m:acc>
          <m:accPr>
            <m:ctrlPr>
              <w:rPr>
                <w:rFonts w:ascii="Cambria Math" w:hAnsi="Cambria Math" w:cs="Times New Roman"/>
                <w:i/>
                <w:sz w:val="24"/>
              </w:rPr>
            </m:ctrlPr>
          </m:accPr>
          <m:e>
            <m:r>
              <w:rPr>
                <w:rFonts w:ascii="Cambria Math" w:hAnsi="Cambria Math" w:cs="Times New Roman"/>
                <w:sz w:val="24"/>
              </w:rPr>
              <m:t>β</m:t>
            </m:r>
          </m:e>
        </m:acc>
      </m:oMath>
      <w:r w:rsidRPr="00307615">
        <w:rPr>
          <w:rFonts w:ascii="Times New Roman" w:hAnsi="Times New Roman" w:cs="Times New Roman"/>
          <w:sz w:val="24"/>
        </w:rPr>
        <w:t>), and horizontal bars represent 95% confidence intervals. Neither COVID-19 Mortality (log deaths per million) nor Lockdown Stringency (0–100) shows a statistically significant association with changes in polarization, as both confidence intervals cross the zero line.</w:t>
      </w:r>
    </w:p>
    <w:p w14:paraId="7D81B5EF" w14:textId="4BB4DCE9" w:rsidR="000405E8" w:rsidRDefault="000405E8" w:rsidP="00307615">
      <w:pPr>
        <w:rPr>
          <w:rFonts w:ascii="Times New Roman" w:hAnsi="Times New Roman" w:cs="Times New Roman"/>
          <w:sz w:val="24"/>
        </w:rPr>
      </w:pPr>
      <w:r w:rsidRPr="00307615">
        <w:rPr>
          <w:rFonts w:ascii="Times New Roman" w:hAnsi="Times New Roman" w:cs="Times New Roman"/>
          <w:b/>
          <w:bCs/>
          <w:sz w:val="24"/>
        </w:rPr>
        <w:lastRenderedPageBreak/>
        <w:t>Figure 3.</w:t>
      </w:r>
      <w:r w:rsidR="00307615">
        <w:rPr>
          <w:rFonts w:ascii="Times New Roman" w:hAnsi="Times New Roman" w:cs="Times New Roman"/>
          <w:sz w:val="24"/>
        </w:rPr>
        <w:t xml:space="preserve"> </w:t>
      </w:r>
      <w:r w:rsidR="00307615" w:rsidRPr="00307615">
        <w:rPr>
          <w:rFonts w:ascii="Times New Roman" w:hAnsi="Times New Roman" w:cs="Times New Roman"/>
          <w:sz w:val="24"/>
        </w:rPr>
        <w:t>The Paradox of Pandemic Governance: Pre-existing Social Cohesion Determined Lockdown Stringency</w:t>
      </w:r>
    </w:p>
    <w:p w14:paraId="0E91FBCA" w14:textId="260B2EEF" w:rsidR="000405E8" w:rsidRDefault="00307615" w:rsidP="00307615">
      <w:pPr>
        <w:jc w:val="center"/>
        <w:rPr>
          <w:rFonts w:ascii="Times New Roman" w:hAnsi="Times New Roman" w:cs="Times New Roman"/>
          <w:sz w:val="24"/>
        </w:rPr>
      </w:pPr>
      <w:r>
        <w:rPr>
          <w:rFonts w:ascii="Times New Roman" w:hAnsi="Times New Roman" w:cs="Times New Roman"/>
          <w:noProof/>
          <w:sz w:val="24"/>
        </w:rPr>
        <w:drawing>
          <wp:inline distT="0" distB="0" distL="0" distR="0" wp14:anchorId="1614417F" wp14:editId="6F301B01">
            <wp:extent cx="5400040" cy="3894455"/>
            <wp:effectExtent l="0" t="0" r="0" b="4445"/>
            <wp:docPr id="1790488553" name="図 4" descr="グラフ, 散布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488553" name="図 4" descr="グラフ, 散布図&#10;&#10;AI 生成コンテンツは誤りを含む可能性があります。"/>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40" cy="3894455"/>
                    </a:xfrm>
                    <a:prstGeom prst="rect">
                      <a:avLst/>
                    </a:prstGeom>
                  </pic:spPr>
                </pic:pic>
              </a:graphicData>
            </a:graphic>
          </wp:inline>
        </w:drawing>
      </w:r>
    </w:p>
    <w:p w14:paraId="58CC58ED" w14:textId="77777777" w:rsidR="008E1E7F" w:rsidRDefault="00307615" w:rsidP="00307615">
      <w:pPr>
        <w:jc w:val="left"/>
        <w:rPr>
          <w:rFonts w:ascii="Times New Roman" w:hAnsi="Times New Roman" w:cs="Times New Roman"/>
          <w:sz w:val="24"/>
        </w:rPr>
      </w:pPr>
      <w:r w:rsidRPr="00307615">
        <w:rPr>
          <w:rFonts w:ascii="Times New Roman" w:hAnsi="Times New Roman" w:cs="Times New Roman"/>
          <w:sz w:val="24"/>
        </w:rPr>
        <w:t>Scatter plot showing the relationship between pre-pandemic social cohesion (2019 baseline) and mean lockdown stringency (2020–2021) across 38 OECD countries. The regression line (with 95% confidence band) reveals a strong negative correlation (r = -0.51, p = 0.001). Countries in the bottom-right quadrant ("Voluntary Compliance") leveraged high social trust to maintain low stringency, while countries in the top-left quadrant ("Coercive Response") were structurally compelled to adopt strict mandates due to low pre-existing cohesion. Labels correspond to ISO-3 country codes.</w:t>
      </w:r>
    </w:p>
    <w:p w14:paraId="2F238987" w14:textId="27589BCE" w:rsidR="00307615" w:rsidRPr="005C61C4" w:rsidRDefault="00307615" w:rsidP="00307615">
      <w:pPr>
        <w:jc w:val="left"/>
        <w:rPr>
          <w:rFonts w:ascii="Times New Roman" w:hAnsi="Times New Roman" w:cs="Times New Roman"/>
          <w:sz w:val="24"/>
        </w:rPr>
      </w:pPr>
    </w:p>
    <w:sectPr w:rsidR="00307615" w:rsidRPr="005C61C4" w:rsidSect="00765611">
      <w:pgSz w:w="11906" w:h="16838"/>
      <w:pgMar w:top="1985" w:right="1701" w:bottom="1701" w:left="1701" w:header="851" w:footer="992" w:gutter="0"/>
      <w:lnNumType w:countBy="1" w:restart="continuou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23A0EA" w14:textId="77777777" w:rsidR="00CE6DBA" w:rsidRDefault="00CE6DBA" w:rsidP="00765611">
      <w:r>
        <w:separator/>
      </w:r>
    </w:p>
  </w:endnote>
  <w:endnote w:type="continuationSeparator" w:id="0">
    <w:p w14:paraId="203535D9" w14:textId="77777777" w:rsidR="00CE6DBA" w:rsidRDefault="00CE6DBA" w:rsidP="007656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289356856"/>
      <w:docPartObj>
        <w:docPartGallery w:val="Page Numbers (Bottom of Page)"/>
        <w:docPartUnique/>
      </w:docPartObj>
    </w:sdtPr>
    <w:sdtContent>
      <w:p w14:paraId="617CA761" w14:textId="33CCF9AD" w:rsidR="00765611" w:rsidRDefault="00765611" w:rsidP="00BD3D00">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rPr>
          <w:fldChar w:fldCharType="end"/>
        </w:r>
      </w:p>
    </w:sdtContent>
  </w:sdt>
  <w:p w14:paraId="5DECD38D" w14:textId="77777777" w:rsidR="00765611" w:rsidRDefault="00765611" w:rsidP="00765611">
    <w:pPr>
      <w:pStyle w:val="a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0"/>
      </w:rPr>
      <w:id w:val="1921210365"/>
      <w:docPartObj>
        <w:docPartGallery w:val="Page Numbers (Bottom of Page)"/>
        <w:docPartUnique/>
      </w:docPartObj>
    </w:sdtPr>
    <w:sdtContent>
      <w:p w14:paraId="38883E34" w14:textId="6A9CC858" w:rsidR="00765611" w:rsidRDefault="00765611" w:rsidP="00BD3D00">
        <w:pPr>
          <w:pStyle w:val="ae"/>
          <w:framePr w:wrap="none" w:vAnchor="text" w:hAnchor="margin" w:xAlign="right" w:y="1"/>
          <w:rPr>
            <w:rStyle w:val="af0"/>
          </w:rPr>
        </w:pPr>
        <w:r>
          <w:rPr>
            <w:rStyle w:val="af0"/>
          </w:rPr>
          <w:fldChar w:fldCharType="begin"/>
        </w:r>
        <w:r>
          <w:rPr>
            <w:rStyle w:val="af0"/>
          </w:rPr>
          <w:instrText xml:space="preserve"> PAGE </w:instrText>
        </w:r>
        <w:r>
          <w:rPr>
            <w:rStyle w:val="af0"/>
          </w:rPr>
          <w:fldChar w:fldCharType="separate"/>
        </w:r>
        <w:r>
          <w:rPr>
            <w:rStyle w:val="af0"/>
            <w:noProof/>
          </w:rPr>
          <w:t>1</w:t>
        </w:r>
        <w:r>
          <w:rPr>
            <w:rStyle w:val="af0"/>
          </w:rPr>
          <w:fldChar w:fldCharType="end"/>
        </w:r>
      </w:p>
    </w:sdtContent>
  </w:sdt>
  <w:p w14:paraId="09BD26DA" w14:textId="77777777" w:rsidR="00765611" w:rsidRDefault="00765611" w:rsidP="00765611">
    <w:pPr>
      <w:pStyle w:val="a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A2E30" w14:textId="77777777" w:rsidR="00CE6DBA" w:rsidRDefault="00CE6DBA" w:rsidP="00765611">
      <w:r>
        <w:separator/>
      </w:r>
    </w:p>
  </w:footnote>
  <w:footnote w:type="continuationSeparator" w:id="0">
    <w:p w14:paraId="0ACD79A3" w14:textId="77777777" w:rsidR="00CE6DBA" w:rsidRDefault="00CE6DBA" w:rsidP="0076561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游明朝&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5x9axpzsz5twaew5s0500tr90zzfepxexte&quot;&gt;My EndNote Library&lt;record-ids&gt;&lt;item&gt;1095&lt;/item&gt;&lt;/record-ids&gt;&lt;/item&gt;&lt;/Libraries&gt;"/>
  </w:docVars>
  <w:rsids>
    <w:rsidRoot w:val="00C52775"/>
    <w:rsid w:val="00010F11"/>
    <w:rsid w:val="00023F68"/>
    <w:rsid w:val="000405E8"/>
    <w:rsid w:val="00041C98"/>
    <w:rsid w:val="00046A74"/>
    <w:rsid w:val="000621D5"/>
    <w:rsid w:val="0006358E"/>
    <w:rsid w:val="000722BC"/>
    <w:rsid w:val="000815B7"/>
    <w:rsid w:val="00094559"/>
    <w:rsid w:val="000D574A"/>
    <w:rsid w:val="001111D2"/>
    <w:rsid w:val="0011319E"/>
    <w:rsid w:val="00117D2F"/>
    <w:rsid w:val="00121CE2"/>
    <w:rsid w:val="00127954"/>
    <w:rsid w:val="00137D71"/>
    <w:rsid w:val="0015039B"/>
    <w:rsid w:val="00152416"/>
    <w:rsid w:val="0015521E"/>
    <w:rsid w:val="001700F6"/>
    <w:rsid w:val="001920EE"/>
    <w:rsid w:val="001976E3"/>
    <w:rsid w:val="001A2CA6"/>
    <w:rsid w:val="001A6880"/>
    <w:rsid w:val="001C7E7D"/>
    <w:rsid w:val="001D0AB9"/>
    <w:rsid w:val="001E1E5A"/>
    <w:rsid w:val="001F0186"/>
    <w:rsid w:val="0021280C"/>
    <w:rsid w:val="00231B98"/>
    <w:rsid w:val="00263326"/>
    <w:rsid w:val="00277180"/>
    <w:rsid w:val="0028627E"/>
    <w:rsid w:val="00294CA2"/>
    <w:rsid w:val="002B3226"/>
    <w:rsid w:val="002C2F30"/>
    <w:rsid w:val="002D05EA"/>
    <w:rsid w:val="002F32CF"/>
    <w:rsid w:val="003025AA"/>
    <w:rsid w:val="00307615"/>
    <w:rsid w:val="003379E6"/>
    <w:rsid w:val="0034721C"/>
    <w:rsid w:val="00353A14"/>
    <w:rsid w:val="00361045"/>
    <w:rsid w:val="00365E19"/>
    <w:rsid w:val="00367D4E"/>
    <w:rsid w:val="00381D27"/>
    <w:rsid w:val="00384831"/>
    <w:rsid w:val="00390758"/>
    <w:rsid w:val="00394367"/>
    <w:rsid w:val="003A3D33"/>
    <w:rsid w:val="003B5926"/>
    <w:rsid w:val="003C6667"/>
    <w:rsid w:val="003D5C21"/>
    <w:rsid w:val="003F037C"/>
    <w:rsid w:val="003F2A3D"/>
    <w:rsid w:val="00417268"/>
    <w:rsid w:val="00437F03"/>
    <w:rsid w:val="00441094"/>
    <w:rsid w:val="00444295"/>
    <w:rsid w:val="00452E8A"/>
    <w:rsid w:val="00453286"/>
    <w:rsid w:val="0046613D"/>
    <w:rsid w:val="0047738E"/>
    <w:rsid w:val="00480315"/>
    <w:rsid w:val="004846D6"/>
    <w:rsid w:val="004A30FB"/>
    <w:rsid w:val="004B4D0D"/>
    <w:rsid w:val="004D15B4"/>
    <w:rsid w:val="005066A3"/>
    <w:rsid w:val="00513535"/>
    <w:rsid w:val="00513CF2"/>
    <w:rsid w:val="00516426"/>
    <w:rsid w:val="00541C3C"/>
    <w:rsid w:val="005437F9"/>
    <w:rsid w:val="00547DC1"/>
    <w:rsid w:val="005758DA"/>
    <w:rsid w:val="00581EDD"/>
    <w:rsid w:val="00585B2B"/>
    <w:rsid w:val="00592D69"/>
    <w:rsid w:val="005A17C6"/>
    <w:rsid w:val="005C52BA"/>
    <w:rsid w:val="005C61C4"/>
    <w:rsid w:val="005E2E42"/>
    <w:rsid w:val="005E3172"/>
    <w:rsid w:val="005E37E7"/>
    <w:rsid w:val="005F188F"/>
    <w:rsid w:val="005F64A9"/>
    <w:rsid w:val="00610459"/>
    <w:rsid w:val="0061376C"/>
    <w:rsid w:val="00617ABB"/>
    <w:rsid w:val="00622FED"/>
    <w:rsid w:val="006546B4"/>
    <w:rsid w:val="00656CB4"/>
    <w:rsid w:val="00660EB9"/>
    <w:rsid w:val="00662329"/>
    <w:rsid w:val="00664F1A"/>
    <w:rsid w:val="00682D53"/>
    <w:rsid w:val="00696A17"/>
    <w:rsid w:val="006B59D0"/>
    <w:rsid w:val="006C52CC"/>
    <w:rsid w:val="006E2B26"/>
    <w:rsid w:val="006E5444"/>
    <w:rsid w:val="006F049A"/>
    <w:rsid w:val="00705778"/>
    <w:rsid w:val="007278E2"/>
    <w:rsid w:val="00753CFD"/>
    <w:rsid w:val="00755F8A"/>
    <w:rsid w:val="00765611"/>
    <w:rsid w:val="00775DA7"/>
    <w:rsid w:val="00776354"/>
    <w:rsid w:val="007769D2"/>
    <w:rsid w:val="007903A6"/>
    <w:rsid w:val="0079567C"/>
    <w:rsid w:val="00796C9F"/>
    <w:rsid w:val="007B099F"/>
    <w:rsid w:val="007B5E68"/>
    <w:rsid w:val="007B677B"/>
    <w:rsid w:val="007F0CF3"/>
    <w:rsid w:val="007F159A"/>
    <w:rsid w:val="0080104E"/>
    <w:rsid w:val="008020E3"/>
    <w:rsid w:val="008212D0"/>
    <w:rsid w:val="00822AE0"/>
    <w:rsid w:val="00835538"/>
    <w:rsid w:val="00835F5E"/>
    <w:rsid w:val="00837407"/>
    <w:rsid w:val="00845A1D"/>
    <w:rsid w:val="008641D3"/>
    <w:rsid w:val="00871D72"/>
    <w:rsid w:val="0088035A"/>
    <w:rsid w:val="00897B66"/>
    <w:rsid w:val="008A1075"/>
    <w:rsid w:val="008A53A0"/>
    <w:rsid w:val="008B3655"/>
    <w:rsid w:val="008C5A01"/>
    <w:rsid w:val="008D6E44"/>
    <w:rsid w:val="008E14F2"/>
    <w:rsid w:val="008E1E7F"/>
    <w:rsid w:val="008E58D7"/>
    <w:rsid w:val="008E6B8B"/>
    <w:rsid w:val="008E6C34"/>
    <w:rsid w:val="008E7BF9"/>
    <w:rsid w:val="00911AFB"/>
    <w:rsid w:val="009156F2"/>
    <w:rsid w:val="00916AD0"/>
    <w:rsid w:val="009345ED"/>
    <w:rsid w:val="00935E68"/>
    <w:rsid w:val="00961E61"/>
    <w:rsid w:val="00962F1C"/>
    <w:rsid w:val="00964EF4"/>
    <w:rsid w:val="0098118C"/>
    <w:rsid w:val="00983B06"/>
    <w:rsid w:val="00986A0A"/>
    <w:rsid w:val="0099517D"/>
    <w:rsid w:val="009D092E"/>
    <w:rsid w:val="009F7452"/>
    <w:rsid w:val="00A475E0"/>
    <w:rsid w:val="00A62377"/>
    <w:rsid w:val="00A633BA"/>
    <w:rsid w:val="00A64F3D"/>
    <w:rsid w:val="00A65A86"/>
    <w:rsid w:val="00A7435B"/>
    <w:rsid w:val="00A8218F"/>
    <w:rsid w:val="00A9183A"/>
    <w:rsid w:val="00A91C86"/>
    <w:rsid w:val="00AA6897"/>
    <w:rsid w:val="00AB0F6B"/>
    <w:rsid w:val="00AC5CA7"/>
    <w:rsid w:val="00AD3159"/>
    <w:rsid w:val="00AF7969"/>
    <w:rsid w:val="00B2597C"/>
    <w:rsid w:val="00B6638D"/>
    <w:rsid w:val="00B67302"/>
    <w:rsid w:val="00B752EA"/>
    <w:rsid w:val="00B87BCE"/>
    <w:rsid w:val="00BA4179"/>
    <w:rsid w:val="00BA6036"/>
    <w:rsid w:val="00BA603E"/>
    <w:rsid w:val="00C02759"/>
    <w:rsid w:val="00C23526"/>
    <w:rsid w:val="00C2607D"/>
    <w:rsid w:val="00C31821"/>
    <w:rsid w:val="00C35FB2"/>
    <w:rsid w:val="00C428E0"/>
    <w:rsid w:val="00C52775"/>
    <w:rsid w:val="00C5338E"/>
    <w:rsid w:val="00C54355"/>
    <w:rsid w:val="00C61B02"/>
    <w:rsid w:val="00C737DA"/>
    <w:rsid w:val="00C931E6"/>
    <w:rsid w:val="00CB4A1C"/>
    <w:rsid w:val="00CC49BF"/>
    <w:rsid w:val="00CE3917"/>
    <w:rsid w:val="00CE6DBA"/>
    <w:rsid w:val="00CF1160"/>
    <w:rsid w:val="00CF516B"/>
    <w:rsid w:val="00D0644C"/>
    <w:rsid w:val="00D37887"/>
    <w:rsid w:val="00D6099A"/>
    <w:rsid w:val="00D84458"/>
    <w:rsid w:val="00DA264A"/>
    <w:rsid w:val="00DB067B"/>
    <w:rsid w:val="00DB3FA0"/>
    <w:rsid w:val="00DB4A8B"/>
    <w:rsid w:val="00DC45DC"/>
    <w:rsid w:val="00DD5DE0"/>
    <w:rsid w:val="00DE0F6B"/>
    <w:rsid w:val="00DE1B97"/>
    <w:rsid w:val="00DE3C57"/>
    <w:rsid w:val="00DE693E"/>
    <w:rsid w:val="00DE7588"/>
    <w:rsid w:val="00E077B2"/>
    <w:rsid w:val="00E203F1"/>
    <w:rsid w:val="00E35562"/>
    <w:rsid w:val="00E36F17"/>
    <w:rsid w:val="00E55B76"/>
    <w:rsid w:val="00E77022"/>
    <w:rsid w:val="00E80E61"/>
    <w:rsid w:val="00EA111B"/>
    <w:rsid w:val="00EB617A"/>
    <w:rsid w:val="00EB6335"/>
    <w:rsid w:val="00EC01FD"/>
    <w:rsid w:val="00ED1F6D"/>
    <w:rsid w:val="00EE29CC"/>
    <w:rsid w:val="00EF2745"/>
    <w:rsid w:val="00F113BB"/>
    <w:rsid w:val="00F13580"/>
    <w:rsid w:val="00F202F5"/>
    <w:rsid w:val="00F21D42"/>
    <w:rsid w:val="00F4399F"/>
    <w:rsid w:val="00F44841"/>
    <w:rsid w:val="00F61335"/>
    <w:rsid w:val="00F66B99"/>
    <w:rsid w:val="00F77F75"/>
    <w:rsid w:val="00F94E62"/>
    <w:rsid w:val="00FC32C7"/>
    <w:rsid w:val="00FD013E"/>
    <w:rsid w:val="00FD5B9C"/>
    <w:rsid w:val="00FE0B4E"/>
    <w:rsid w:val="00FE45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3C8E33"/>
  <w15:chartTrackingRefBased/>
  <w15:docId w15:val="{ECFD3A69-DFDD-CD41-BBBB-4B34879C2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27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527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527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C527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527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527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527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527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527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5277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5277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5277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C5277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5277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5277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5277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5277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5277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527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527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7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527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775"/>
    <w:pPr>
      <w:spacing w:before="160" w:after="160"/>
      <w:jc w:val="center"/>
    </w:pPr>
    <w:rPr>
      <w:i/>
      <w:iCs/>
      <w:color w:val="404040" w:themeColor="text1" w:themeTint="BF"/>
    </w:rPr>
  </w:style>
  <w:style w:type="character" w:customStyle="1" w:styleId="a8">
    <w:name w:val="引用文 (文字)"/>
    <w:basedOn w:val="a0"/>
    <w:link w:val="a7"/>
    <w:uiPriority w:val="29"/>
    <w:rsid w:val="00C52775"/>
    <w:rPr>
      <w:i/>
      <w:iCs/>
      <w:color w:val="404040" w:themeColor="text1" w:themeTint="BF"/>
    </w:rPr>
  </w:style>
  <w:style w:type="paragraph" w:styleId="a9">
    <w:name w:val="List Paragraph"/>
    <w:basedOn w:val="a"/>
    <w:uiPriority w:val="34"/>
    <w:qFormat/>
    <w:rsid w:val="00C52775"/>
    <w:pPr>
      <w:ind w:left="720"/>
      <w:contextualSpacing/>
    </w:pPr>
  </w:style>
  <w:style w:type="character" w:styleId="21">
    <w:name w:val="Intense Emphasis"/>
    <w:basedOn w:val="a0"/>
    <w:uiPriority w:val="21"/>
    <w:qFormat/>
    <w:rsid w:val="00C52775"/>
    <w:rPr>
      <w:i/>
      <w:iCs/>
      <w:color w:val="0F4761" w:themeColor="accent1" w:themeShade="BF"/>
    </w:rPr>
  </w:style>
  <w:style w:type="paragraph" w:styleId="22">
    <w:name w:val="Intense Quote"/>
    <w:basedOn w:val="a"/>
    <w:next w:val="a"/>
    <w:link w:val="23"/>
    <w:uiPriority w:val="30"/>
    <w:qFormat/>
    <w:rsid w:val="00C527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52775"/>
    <w:rPr>
      <w:i/>
      <w:iCs/>
      <w:color w:val="0F4761" w:themeColor="accent1" w:themeShade="BF"/>
    </w:rPr>
  </w:style>
  <w:style w:type="character" w:styleId="24">
    <w:name w:val="Intense Reference"/>
    <w:basedOn w:val="a0"/>
    <w:uiPriority w:val="32"/>
    <w:qFormat/>
    <w:rsid w:val="00C52775"/>
    <w:rPr>
      <w:b/>
      <w:bCs/>
      <w:smallCaps/>
      <w:color w:val="0F4761" w:themeColor="accent1" w:themeShade="BF"/>
      <w:spacing w:val="5"/>
    </w:rPr>
  </w:style>
  <w:style w:type="character" w:styleId="aa">
    <w:name w:val="Hyperlink"/>
    <w:basedOn w:val="a0"/>
    <w:uiPriority w:val="99"/>
    <w:unhideWhenUsed/>
    <w:rsid w:val="00F44841"/>
    <w:rPr>
      <w:color w:val="467886" w:themeColor="hyperlink"/>
      <w:u w:val="single"/>
    </w:rPr>
  </w:style>
  <w:style w:type="character" w:styleId="ab">
    <w:name w:val="FollowedHyperlink"/>
    <w:basedOn w:val="a0"/>
    <w:uiPriority w:val="99"/>
    <w:semiHidden/>
    <w:unhideWhenUsed/>
    <w:rsid w:val="00F44841"/>
    <w:rPr>
      <w:color w:val="96607D" w:themeColor="followedHyperlink"/>
      <w:u w:val="single"/>
    </w:rPr>
  </w:style>
  <w:style w:type="character" w:styleId="ac">
    <w:name w:val="Placeholder Text"/>
    <w:basedOn w:val="a0"/>
    <w:uiPriority w:val="99"/>
    <w:semiHidden/>
    <w:rsid w:val="002F32CF"/>
    <w:rPr>
      <w:color w:val="666666"/>
    </w:rPr>
  </w:style>
  <w:style w:type="paragraph" w:customStyle="1" w:styleId="EndNoteBibliographyTitle">
    <w:name w:val="EndNote Bibliography Title"/>
    <w:basedOn w:val="a"/>
    <w:link w:val="EndNoteBibliographyTitle0"/>
    <w:rsid w:val="00581EDD"/>
    <w:pPr>
      <w:jc w:val="center"/>
    </w:pPr>
    <w:rPr>
      <w:rFonts w:ascii="游明朝" w:eastAsia="游明朝" w:hAnsi="游明朝"/>
      <w:sz w:val="20"/>
    </w:rPr>
  </w:style>
  <w:style w:type="character" w:customStyle="1" w:styleId="EndNoteBibliographyTitle0">
    <w:name w:val="EndNote Bibliography Title (文字)"/>
    <w:basedOn w:val="a0"/>
    <w:link w:val="EndNoteBibliographyTitle"/>
    <w:rsid w:val="00581EDD"/>
    <w:rPr>
      <w:rFonts w:ascii="游明朝" w:eastAsia="游明朝" w:hAnsi="游明朝"/>
      <w:sz w:val="20"/>
    </w:rPr>
  </w:style>
  <w:style w:type="paragraph" w:customStyle="1" w:styleId="EndNoteBibliography">
    <w:name w:val="EndNote Bibliography"/>
    <w:basedOn w:val="a"/>
    <w:link w:val="EndNoteBibliography0"/>
    <w:rsid w:val="00581EDD"/>
    <w:pPr>
      <w:jc w:val="left"/>
    </w:pPr>
    <w:rPr>
      <w:rFonts w:ascii="游明朝" w:eastAsia="游明朝" w:hAnsi="游明朝"/>
      <w:sz w:val="20"/>
    </w:rPr>
  </w:style>
  <w:style w:type="character" w:customStyle="1" w:styleId="EndNoteBibliography0">
    <w:name w:val="EndNote Bibliography (文字)"/>
    <w:basedOn w:val="a0"/>
    <w:link w:val="EndNoteBibliography"/>
    <w:rsid w:val="00581EDD"/>
    <w:rPr>
      <w:rFonts w:ascii="游明朝" w:eastAsia="游明朝" w:hAnsi="游明朝"/>
      <w:sz w:val="20"/>
    </w:rPr>
  </w:style>
  <w:style w:type="character" w:styleId="ad">
    <w:name w:val="Unresolved Mention"/>
    <w:basedOn w:val="a0"/>
    <w:uiPriority w:val="99"/>
    <w:semiHidden/>
    <w:unhideWhenUsed/>
    <w:rsid w:val="00581EDD"/>
    <w:rPr>
      <w:color w:val="605E5C"/>
      <w:shd w:val="clear" w:color="auto" w:fill="E1DFDD"/>
    </w:rPr>
  </w:style>
  <w:style w:type="paragraph" w:styleId="ae">
    <w:name w:val="footer"/>
    <w:basedOn w:val="a"/>
    <w:link w:val="af"/>
    <w:uiPriority w:val="99"/>
    <w:unhideWhenUsed/>
    <w:rsid w:val="00765611"/>
    <w:pPr>
      <w:tabs>
        <w:tab w:val="center" w:pos="4252"/>
        <w:tab w:val="right" w:pos="8504"/>
      </w:tabs>
      <w:snapToGrid w:val="0"/>
    </w:pPr>
  </w:style>
  <w:style w:type="character" w:customStyle="1" w:styleId="af">
    <w:name w:val="フッター (文字)"/>
    <w:basedOn w:val="a0"/>
    <w:link w:val="ae"/>
    <w:uiPriority w:val="99"/>
    <w:rsid w:val="00765611"/>
  </w:style>
  <w:style w:type="character" w:styleId="af0">
    <w:name w:val="page number"/>
    <w:basedOn w:val="a0"/>
    <w:uiPriority w:val="99"/>
    <w:semiHidden/>
    <w:unhideWhenUsed/>
    <w:rsid w:val="00765611"/>
  </w:style>
  <w:style w:type="character" w:styleId="af1">
    <w:name w:val="line number"/>
    <w:basedOn w:val="a0"/>
    <w:uiPriority w:val="99"/>
    <w:semiHidden/>
    <w:unhideWhenUsed/>
    <w:rsid w:val="007656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emdat.be/" TargetMode="External"/><Relationship Id="rId18" Type="http://schemas.openxmlformats.org/officeDocument/2006/relationships/hyperlink" Target="https://doi.org/10.1073/pnas.1607398113" TargetMode="External"/><Relationship Id="rId26" Type="http://schemas.openxmlformats.org/officeDocument/2006/relationships/hyperlink" Target="https://doi.org/10.1038/s41562-021-01079-8" TargetMode="External"/><Relationship Id="rId39" Type="http://schemas.openxmlformats.org/officeDocument/2006/relationships/theme" Target="theme/theme1.xml"/><Relationship Id="rId21" Type="http://schemas.openxmlformats.org/officeDocument/2006/relationships/hyperlink" Target="https://doi.org/10.1146/annurev-polisci-051117-073034" TargetMode="External"/><Relationship Id="rId34" Type="http://schemas.openxmlformats.org/officeDocument/2006/relationships/image" Target="media/image1.png"/><Relationship Id="rId7" Type="http://schemas.openxmlformats.org/officeDocument/2006/relationships/footer" Target="footer2.xml"/><Relationship Id="rId12" Type="http://schemas.openxmlformats.org/officeDocument/2006/relationships/hyperlink" Target="https://github.com/owid/covid-19-data" TargetMode="External"/><Relationship Id="rId17" Type="http://schemas.openxmlformats.org/officeDocument/2006/relationships/hyperlink" Target="https://doi.org/10.1007/s12110-014-9206-3" TargetMode="External"/><Relationship Id="rId25" Type="http://schemas.openxmlformats.org/officeDocument/2006/relationships/hyperlink" Target="https://www.emdat.be" TargetMode="External"/><Relationship Id="rId33" Type="http://schemas.openxmlformats.org/officeDocument/2006/relationships/hyperlink" Target="https://doi.org/10.1073/pnas.1706588114" TargetMode="External"/><Relationship Id="rId38" Type="http://schemas.openxmlformats.org/officeDocument/2006/relationships/glossaryDocument" Target="glossary/document.xml"/><Relationship Id="rId2" Type="http://schemas.openxmlformats.org/officeDocument/2006/relationships/settings" Target="settings.xml"/><Relationship Id="rId16" Type="http://schemas.openxmlformats.org/officeDocument/2006/relationships/hyperlink" Target="https://doi.org/10.1017/S0140525X11000963" TargetMode="External"/><Relationship Id="rId20" Type="http://schemas.openxmlformats.org/officeDocument/2006/relationships/hyperlink" Target="https://freedomhouse.org/report/freedom-world/2021/democracy-under-siege" TargetMode="External"/><Relationship Id="rId29" Type="http://schemas.openxmlformats.org/officeDocument/2006/relationships/hyperlink" Target="https://doi.org/10.46763/IJEMT2551117j" TargetMode="Externa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github.com/OxCGRT/covid-policy-tracker" TargetMode="External"/><Relationship Id="rId24" Type="http://schemas.openxmlformats.org/officeDocument/2006/relationships/hyperlink" Target="https://doi.org/10.1038/s41562-020-0884-z" TargetMode="External"/><Relationship Id="rId32" Type="http://schemas.openxmlformats.org/officeDocument/2006/relationships/hyperlink" Target="https://doi.org/10.1016/j.jhealeco.2021.102531" TargetMode="Externa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1177/0022022109349510" TargetMode="External"/><Relationship Id="rId23" Type="http://schemas.openxmlformats.org/officeDocument/2006/relationships/hyperlink" Target="https://doi.org/10.1080/13510347.2019.1582029" TargetMode="External"/><Relationship Id="rId28" Type="http://schemas.openxmlformats.org/officeDocument/2006/relationships/hyperlink" Target="https://doi.org/10.1038/s41598-023-33155-6" TargetMode="External"/><Relationship Id="rId36" Type="http://schemas.openxmlformats.org/officeDocument/2006/relationships/image" Target="media/image3.png"/><Relationship Id="rId10" Type="http://schemas.openxmlformats.org/officeDocument/2006/relationships/hyperlink" Target="https://www.v-dem.net/data/the-v-dem-dataset/" TargetMode="External"/><Relationship Id="rId19" Type="http://schemas.openxmlformats.org/officeDocument/2006/relationships/hyperlink" Target="https://doi.org/10.1093/jlb/lsaa064" TargetMode="External"/><Relationship Id="rId31" Type="http://schemas.openxmlformats.org/officeDocument/2006/relationships/hyperlink" Target="https://doi.org/10.1016/j.jpubeco.2020.104342" TargetMode="External"/><Relationship Id="rId4" Type="http://schemas.openxmlformats.org/officeDocument/2006/relationships/footnotes" Target="footnotes.xml"/><Relationship Id="rId9" Type="http://schemas.openxmlformats.org/officeDocument/2006/relationships/hyperlink" Target="https://github.com/denovo2021/EIPSA." TargetMode="External"/><Relationship Id="rId14" Type="http://schemas.openxmlformats.org/officeDocument/2006/relationships/hyperlink" Target="https://github.com/denovo2021/EIPSA" TargetMode="External"/><Relationship Id="rId22" Type="http://schemas.openxmlformats.org/officeDocument/2006/relationships/hyperlink" Target="https://doi.org/10.1162/rest_a_01160" TargetMode="External"/><Relationship Id="rId27" Type="http://schemas.openxmlformats.org/officeDocument/2006/relationships/hyperlink" Target="https://doi.org/10.1038/s41562-021-01122-8" TargetMode="External"/><Relationship Id="rId30" Type="http://schemas.openxmlformats.org/officeDocument/2006/relationships/hyperlink" Target="https://doi.org/10.1016/j.jpubeco.2020.104316" TargetMode="External"/><Relationship Id="rId35" Type="http://schemas.openxmlformats.org/officeDocument/2006/relationships/image" Target="media/image2.png"/><Relationship Id="rId8" Type="http://schemas.openxmlformats.org/officeDocument/2006/relationships/hyperlink" Target="mailto:aaagcuugggcu@gmail.com" TargetMode="External"/><Relationship Id="rId3"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全般"/>
          <w:gallery w:val="placeholder"/>
        </w:category>
        <w:types>
          <w:type w:val="bbPlcHdr"/>
        </w:types>
        <w:behaviors>
          <w:behavior w:val="content"/>
        </w:behaviors>
        <w:guid w:val="{40691630-7409-4547-886B-7228F386BBB9}"/>
      </w:docPartPr>
      <w:docPartBody>
        <w:p w:rsidR="00236DD2" w:rsidRDefault="00A32730">
          <w:r w:rsidRPr="00055DCB">
            <w:rPr>
              <w:rStyle w:val="a3"/>
            </w:rPr>
            <w:t>ここをクリックまたはタップしてテキストを入力してください。</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ＭＳ Ｐゴシック">
    <w:altName w:val="MS PGothic"/>
    <w:panose1 w:val="020B0600070205080204"/>
    <w:charset w:val="80"/>
    <w:family w:val="swiss"/>
    <w:pitch w:val="variable"/>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730"/>
    <w:rsid w:val="00012EDC"/>
    <w:rsid w:val="00053F19"/>
    <w:rsid w:val="00236DD2"/>
    <w:rsid w:val="00345C34"/>
    <w:rsid w:val="00407355"/>
    <w:rsid w:val="004B33B0"/>
    <w:rsid w:val="005779F3"/>
    <w:rsid w:val="00580B61"/>
    <w:rsid w:val="00622FED"/>
    <w:rsid w:val="009F7452"/>
    <w:rsid w:val="00A32730"/>
    <w:rsid w:val="00D15DB0"/>
    <w:rsid w:val="00D35BF3"/>
    <w:rsid w:val="00D538FA"/>
    <w:rsid w:val="00DB06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3273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33</Pages>
  <Words>6876</Words>
  <Characters>39199</Characters>
  <Application>Microsoft Office Word</Application>
  <DocSecurity>0</DocSecurity>
  <Lines>326</Lines>
  <Paragraphs>91</Paragraphs>
  <ScaleCrop>false</ScaleCrop>
  <Company/>
  <LinksUpToDate>false</LinksUpToDate>
  <CharactersWithSpaces>45984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河原　智樹</dc:creator>
  <cp:keywords/>
  <dc:description/>
  <cp:lastModifiedBy>河原　智樹</cp:lastModifiedBy>
  <cp:revision>68</cp:revision>
  <dcterms:created xsi:type="dcterms:W3CDTF">2026-02-14T09:07:00Z</dcterms:created>
  <dcterms:modified xsi:type="dcterms:W3CDTF">2026-02-21T02:37:00Z</dcterms:modified>
</cp:coreProperties>
</file>