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7600" w14:textId="77777777" w:rsidR="00B553EC" w:rsidRDefault="00B553EC" w:rsidP="001F552E">
      <w:pPr>
        <w:spacing w:line="480" w:lineRule="auto"/>
        <w:jc w:val="center"/>
        <w:rPr>
          <w:rFonts w:ascii="Times New Roman" w:hAnsi="Times New Roman" w:cs="Times New Roman"/>
          <w:b/>
          <w:bCs/>
        </w:rPr>
      </w:pPr>
    </w:p>
    <w:p w14:paraId="18196F97" w14:textId="1AF753A4" w:rsidR="0004392E" w:rsidRPr="0004392E" w:rsidRDefault="0004392E" w:rsidP="001F552E">
      <w:pPr>
        <w:spacing w:line="480" w:lineRule="auto"/>
        <w:jc w:val="center"/>
        <w:rPr>
          <w:rFonts w:ascii="Times New Roman" w:hAnsi="Times New Roman" w:cs="Times New Roman"/>
          <w:b/>
          <w:bCs/>
        </w:rPr>
      </w:pPr>
      <w:r w:rsidRPr="0004392E">
        <w:rPr>
          <w:rFonts w:ascii="Times New Roman" w:hAnsi="Times New Roman" w:cs="Times New Roman"/>
          <w:b/>
          <w:bCs/>
        </w:rPr>
        <w:t>Supplementary Information</w:t>
      </w:r>
    </w:p>
    <w:p w14:paraId="22DAB27F" w14:textId="77777777" w:rsidR="0004392E" w:rsidRPr="0004392E" w:rsidRDefault="0004392E" w:rsidP="001F552E">
      <w:pPr>
        <w:spacing w:line="480" w:lineRule="auto"/>
        <w:jc w:val="center"/>
        <w:rPr>
          <w:rFonts w:ascii="Times New Roman" w:hAnsi="Times New Roman" w:cs="Times New Roman"/>
        </w:rPr>
      </w:pPr>
    </w:p>
    <w:p w14:paraId="3AFE8648" w14:textId="51AB1D73" w:rsidR="0004392E" w:rsidRPr="0004392E" w:rsidRDefault="00784362" w:rsidP="001F552E">
      <w:pPr>
        <w:spacing w:line="480" w:lineRule="auto"/>
        <w:jc w:val="center"/>
        <w:rPr>
          <w:rFonts w:ascii="Times New Roman" w:hAnsi="Times New Roman" w:cs="Times New Roman"/>
          <w:b/>
          <w:bCs/>
        </w:rPr>
      </w:pPr>
      <w:r w:rsidRPr="00784362">
        <w:rPr>
          <w:rFonts w:ascii="Times New Roman" w:hAnsi="Times New Roman" w:cs="Times New Roman"/>
          <w:b/>
          <w:bCs/>
        </w:rPr>
        <w:t>Pre-pandemic social cohesion determined COVID-19 lockdown strategy but did not drive polarization</w:t>
      </w:r>
      <w:r w:rsidR="009154FF" w:rsidRPr="009154FF">
        <w:rPr>
          <w:rFonts w:ascii="Times New Roman" w:hAnsi="Times New Roman" w:cs="Times New Roman"/>
          <w:b/>
          <w:bCs/>
        </w:rPr>
        <w:t>: A Bayesian dynamic panel analysis of 3</w:t>
      </w:r>
      <w:r w:rsidR="00B553EC">
        <w:rPr>
          <w:rFonts w:ascii="Times New Roman" w:hAnsi="Times New Roman" w:cs="Times New Roman"/>
          <w:b/>
          <w:bCs/>
        </w:rPr>
        <w:t>7</w:t>
      </w:r>
      <w:r w:rsidR="009154FF" w:rsidRPr="009154FF">
        <w:rPr>
          <w:rFonts w:ascii="Times New Roman" w:hAnsi="Times New Roman" w:cs="Times New Roman"/>
          <w:b/>
          <w:bCs/>
        </w:rPr>
        <w:t xml:space="preserve"> OECD countries</w:t>
      </w:r>
    </w:p>
    <w:p w14:paraId="32CA74D5" w14:textId="77777777" w:rsidR="001F552E" w:rsidRDefault="001F552E" w:rsidP="001F552E">
      <w:pPr>
        <w:spacing w:line="480" w:lineRule="auto"/>
        <w:rPr>
          <w:rFonts w:ascii="Times New Roman" w:hAnsi="Times New Roman" w:cs="Times New Roman"/>
        </w:rPr>
      </w:pPr>
    </w:p>
    <w:p w14:paraId="5C7BB926" w14:textId="65421271" w:rsidR="001F552E" w:rsidRPr="001F552E" w:rsidRDefault="001F552E" w:rsidP="001F552E">
      <w:pPr>
        <w:spacing w:line="480" w:lineRule="auto"/>
        <w:rPr>
          <w:rFonts w:ascii="Times New Roman" w:hAnsi="Times New Roman" w:cs="Times New Roman"/>
          <w:b/>
          <w:bCs/>
        </w:rPr>
      </w:pPr>
      <w:r w:rsidRPr="001F552E">
        <w:rPr>
          <w:rFonts w:ascii="Times New Roman" w:hAnsi="Times New Roman" w:cs="Times New Roman"/>
          <w:b/>
          <w:bCs/>
        </w:rPr>
        <w:t>Appendix A. Detailed Bayesian methodology</w:t>
      </w:r>
    </w:p>
    <w:p w14:paraId="117ACF08" w14:textId="77777777" w:rsidR="001F552E" w:rsidRPr="001F552E" w:rsidRDefault="001F552E" w:rsidP="001F552E">
      <w:pPr>
        <w:spacing w:line="480" w:lineRule="auto"/>
        <w:rPr>
          <w:rFonts w:ascii="Times New Roman" w:hAnsi="Times New Roman" w:cs="Times New Roman"/>
        </w:rPr>
      </w:pPr>
      <w:r w:rsidRPr="001F552E">
        <w:rPr>
          <w:rFonts w:ascii="Times New Roman" w:hAnsi="Times New Roman" w:cs="Times New Roman"/>
        </w:rPr>
        <w:t>A.1 Software implementation</w:t>
      </w:r>
    </w:p>
    <w:p w14:paraId="2F6532C9" w14:textId="140CF2BD" w:rsidR="001F552E" w:rsidRPr="001F552E" w:rsidRDefault="001F552E" w:rsidP="001F552E">
      <w:pPr>
        <w:spacing w:line="480" w:lineRule="auto"/>
        <w:rPr>
          <w:rFonts w:ascii="Times New Roman" w:hAnsi="Times New Roman" w:cs="Times New Roman"/>
        </w:rPr>
      </w:pPr>
      <w:r w:rsidRPr="001F552E">
        <w:rPr>
          <w:rFonts w:ascii="Times New Roman" w:hAnsi="Times New Roman" w:cs="Times New Roman"/>
        </w:rPr>
        <w:t xml:space="preserve">The Hierarchical Bayesian Dynamic Panel Model is implemented in Python 3.12 using </w:t>
      </w:r>
      <w:proofErr w:type="spellStart"/>
      <w:r w:rsidRPr="001F552E">
        <w:rPr>
          <w:rFonts w:ascii="Times New Roman" w:hAnsi="Times New Roman" w:cs="Times New Roman"/>
        </w:rPr>
        <w:t>PyMC</w:t>
      </w:r>
      <w:proofErr w:type="spellEnd"/>
      <w:r w:rsidRPr="001F552E">
        <w:rPr>
          <w:rFonts w:ascii="Times New Roman" w:hAnsi="Times New Roman" w:cs="Times New Roman"/>
        </w:rPr>
        <w:t xml:space="preserve"> v5 </w:t>
      </w:r>
      <w:r w:rsidR="00502EE6">
        <w:rPr>
          <w:rFonts w:ascii="Times New Roman" w:hAnsi="Times New Roman" w:cs="Times New Roman"/>
        </w:rPr>
        <w:fldChar w:fldCharType="begin"/>
      </w:r>
      <w:r w:rsidR="00502EE6">
        <w:rPr>
          <w:rFonts w:ascii="Times New Roman" w:hAnsi="Times New Roman" w:cs="Times New Roman"/>
        </w:rPr>
        <w:instrText xml:space="preserve"> ADDIN ZOTERO_ITEM CSL_CITATION {"citationID":"sdfXNyqH","properties":{"unsorted":false,"formattedCitation":"(Abril-Pla et al., 2023)","plainCitation":"(Abril-Pla et al., 2023)","noteIndex":0},"citationItems":[{"id":390,"uris":["http://zotero.org/users/19944767/items/MIHFDJ8U"],"itemData":{"id":390,"type":"article-journal","abstract":"PyMC is a probabilistic programming library for Python that provides tools for constructing and fitting Bayesian models. It offers an intuitive, readable syntax that is close to the natural syntax statisticians use to describe models. PyMC leverages the symbolic computation library PyTensor, allowing it to be compiled into a variety of computational backends, such as C, JAX, and Numba, which in turn offer access to different computational architectures including CPU, GPU, and TPU. Being a general modeling framework, PyMC supports a variety of models including generalized hierarchical linear regression and classification, time series, ordinary differential equations (ODEs), and non-parametric models such as Gaussian processes (GPs). We demonstrate PyMC’s versatility and ease of use with examples spanning a range of common statistical models. Additionally, we discuss the positive role of PyMC in the development of the open-source ecosystem for probabilistic programming.","container-title":"PeerJ Computer Science","DOI":"10.7717/peerj-cs.1516","ISSN":"2376-5992","language":"en","license":"https://creativecommons.org/licenses/by/4.0/","page":"e1516","source":"DOI.org (Crossref)","title":"PyMC: a modern, and comprehensive probabilistic programming framework in Python","title-short":"PyMC","volume":"9","author":[{"family":"Abril-Pla","given":"Oriol"},{"family":"Andreani","given":"Virgile"},{"family":"Carroll","given":"Colin"},{"family":"Dong","given":"Larry"},{"family":"Fonnesbeck","given":"Christopher J."},{"family":"Kochurov","given":"Maxim"},{"family":"Kumar","given":"Ravin"},{"family":"Lao","given":"Junpeng"},{"family":"Luhmann","given":"Christian C."},{"family":"Martin","given":"Osvaldo A."},{"family":"Osthege","given":"Michael"},{"family":"Vieira","given":"Ricardo"},{"family":"Wiecki","given":"Thomas"},{"family":"Zinkov","given":"Robert"}],"issued":{"date-parts":[["2023",9,1]]}}}],"schema":"https://github.com/citation-style-language/schema/raw/master/csl-citation.json"} </w:instrText>
      </w:r>
      <w:r w:rsidR="00502EE6">
        <w:rPr>
          <w:rFonts w:ascii="Times New Roman" w:hAnsi="Times New Roman" w:cs="Times New Roman"/>
        </w:rPr>
        <w:fldChar w:fldCharType="separate"/>
      </w:r>
      <w:r w:rsidR="00502EE6">
        <w:rPr>
          <w:rFonts w:ascii="Times New Roman" w:hAnsi="Times New Roman" w:cs="Times New Roman"/>
          <w:noProof/>
        </w:rPr>
        <w:t>(Abril-Pla et al., 2023)</w:t>
      </w:r>
      <w:r w:rsidR="00502EE6">
        <w:rPr>
          <w:rFonts w:ascii="Times New Roman" w:hAnsi="Times New Roman" w:cs="Times New Roman"/>
        </w:rPr>
        <w:fldChar w:fldCharType="end"/>
      </w:r>
      <w:r w:rsidRPr="001F552E">
        <w:rPr>
          <w:rFonts w:ascii="Times New Roman" w:hAnsi="Times New Roman" w:cs="Times New Roman"/>
        </w:rPr>
        <w:t xml:space="preserve"> with the No-U-Turn Sampler </w:t>
      </w:r>
      <w:r w:rsidR="00502EE6">
        <w:rPr>
          <w:rFonts w:ascii="Times New Roman" w:hAnsi="Times New Roman" w:cs="Times New Roman" w:hint="eastAsia"/>
        </w:rPr>
        <w:t>–</w:t>
      </w:r>
      <w:r w:rsidRPr="001F552E">
        <w:rPr>
          <w:rFonts w:ascii="Times New Roman" w:hAnsi="Times New Roman" w:cs="Times New Roman"/>
        </w:rPr>
        <w:t xml:space="preserve"> an adaptive Hamiltonian Monte Carlo algorithm </w:t>
      </w:r>
      <w:r>
        <w:rPr>
          <w:rFonts w:ascii="Times New Roman" w:hAnsi="Times New Roman" w:cs="Times New Roman"/>
        </w:rPr>
        <w:fldChar w:fldCharType="begin"/>
      </w:r>
      <w:r>
        <w:rPr>
          <w:rFonts w:ascii="Times New Roman" w:hAnsi="Times New Roman" w:cs="Times New Roman"/>
        </w:rPr>
        <w:instrText xml:space="preserve"> ADDIN ZOTERO_ITEM CSL_CITATION {"citationID":"RDyG732j","properties":{"unsorted":false,"formattedCitation":"(Hoffman &amp; Gelman, 2014)","plainCitation":"(Hoffman &amp; Gelman, 2014)","noteIndex":0},"citationItems":[{"id":398,"uris":["http://zotero.org/users/19944767/items/5ZC7MDMG"],"itemData":{"id":398,"type":"article-journal","container-title":"Journal of Machine Learning Research","issue":"47","page":"1593–1623.","title":"The No-U-Turn sampler: Adaptively setting path lengths in Hamiltonian Monte Carlo.","volume":"15","author":[{"family":"Hoffman","given":"M. D."},{"family":"Gelman","given":"A."}],"issued":{"date-parts":[["2014"]]}}}],"schema":"https://github.com/citation-style-language/schema/raw/master/csl-citation.json"}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(Hoffman &amp; Gelman, 2014)</w:t>
      </w:r>
      <w:r>
        <w:rPr>
          <w:rFonts w:ascii="Times New Roman" w:hAnsi="Times New Roman" w:cs="Times New Roman"/>
        </w:rPr>
        <w:fldChar w:fldCharType="end"/>
      </w:r>
      <w:r w:rsidRPr="001F552E">
        <w:rPr>
          <w:rFonts w:ascii="Times New Roman" w:hAnsi="Times New Roman" w:cs="Times New Roman"/>
        </w:rPr>
        <w:t xml:space="preserve">. Posterior post-processing, summarization, and convergence diagnostics are produced with </w:t>
      </w:r>
      <w:proofErr w:type="spellStart"/>
      <w:r w:rsidRPr="001F552E">
        <w:rPr>
          <w:rFonts w:ascii="Times New Roman" w:hAnsi="Times New Roman" w:cs="Times New Roman"/>
        </w:rPr>
        <w:t>ArviZ</w:t>
      </w:r>
      <w:proofErr w:type="spellEnd"/>
      <w:r w:rsidRPr="001F552E">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{"citationID":"9jV8RG90","properties":{"unsorted":false,"formattedCitation":"(Kumar et al., 2019)","plainCitation":"(Kumar et al., 2019)","noteIndex":0},"citationItems":[{"id":396,"uris":["http://zotero.org/users/19944767/items/RTWZTGYJ"],"itemData":{"id":396,"type":"article-journal","container-title":"Journal of Open Source Software","DOI":"10.21105/joss.01143","ISSN":"2475-9066","issue":"33","journalAbbreviation":"JOSS","license":"http://creativecommons.org/licenses/by/4.0/","page":"1143","source":"DOI.org (Crossref)","title":"ArviZ a unified library for exploratory analysis of Bayesian models in Python","volume":"4","author":[{"family":"Kumar","given":"Ravin"},{"family":"Carroll","given":"Colin"},{"family":"Hartikainen","given":"Ari"},{"family":"Martin","given":"Osvaldo"}],"issued":{"date-parts":[["2019",1,15]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(Kumar et al., 2019)</w:t>
      </w:r>
      <w:r>
        <w:rPr>
          <w:rFonts w:ascii="Times New Roman" w:hAnsi="Times New Roman" w:cs="Times New Roman"/>
        </w:rPr>
        <w:fldChar w:fldCharType="end"/>
      </w:r>
      <w:r w:rsidRPr="001F552E">
        <w:rPr>
          <w:rFonts w:ascii="Times New Roman" w:hAnsi="Times New Roman" w:cs="Times New Roman"/>
        </w:rPr>
        <w:t>. All preprocessing, model code, and diagnostic outputs are released in the project repository (</w:t>
      </w:r>
      <w:hyperlink r:id="rId6" w:history="1">
        <w:r w:rsidRPr="001F552E">
          <w:rPr>
            <w:rStyle w:val="af"/>
            <w:rFonts w:ascii="Times New Roman" w:hAnsi="Times New Roman" w:cs="Times New Roman"/>
          </w:rPr>
          <w:t>https://github.com/denovo2021/EIPSA</w:t>
        </w:r>
      </w:hyperlink>
      <w:r w:rsidRPr="001F552E">
        <w:rPr>
          <w:rFonts w:ascii="Times New Roman" w:hAnsi="Times New Roman" w:cs="Times New Roman"/>
        </w:rPr>
        <w:t>) to permit exact computational replication.</w:t>
      </w:r>
    </w:p>
    <w:p w14:paraId="585A0A6E" w14:textId="77777777" w:rsidR="001F552E" w:rsidRPr="001F552E" w:rsidRDefault="001F552E" w:rsidP="001F552E">
      <w:pPr>
        <w:spacing w:line="480" w:lineRule="auto"/>
        <w:rPr>
          <w:rFonts w:ascii="Times New Roman" w:hAnsi="Times New Roman" w:cs="Times New Roman"/>
        </w:rPr>
      </w:pPr>
    </w:p>
    <w:p w14:paraId="114F0DC2" w14:textId="5FEC8E84" w:rsidR="001F552E" w:rsidRPr="001F552E" w:rsidRDefault="001F552E" w:rsidP="001F552E">
      <w:pPr>
        <w:spacing w:line="480" w:lineRule="auto"/>
        <w:rPr>
          <w:rFonts w:ascii="Times New Roman" w:hAnsi="Times New Roman" w:cs="Times New Roman"/>
        </w:rPr>
      </w:pPr>
      <w:r w:rsidRPr="001F552E">
        <w:rPr>
          <w:rFonts w:ascii="Times New Roman" w:hAnsi="Times New Roman" w:cs="Times New Roman"/>
        </w:rPr>
        <w:t>The analytic panel is balanced over the 3</w:t>
      </w:r>
      <w:r w:rsidR="00B553EC">
        <w:rPr>
          <w:rFonts w:ascii="Times New Roman" w:hAnsi="Times New Roman" w:cs="Times New Roman"/>
        </w:rPr>
        <w:t>7</w:t>
      </w:r>
      <w:r w:rsidRPr="001F552E">
        <w:rPr>
          <w:rFonts w:ascii="Times New Roman" w:hAnsi="Times New Roman" w:cs="Times New Roman"/>
        </w:rPr>
        <w:t xml:space="preserve"> OECD member states for the period 2019–2024. The outcome is the V-Dem social-cohesion indicator </w:t>
      </w:r>
      <w:r w:rsidRPr="009154FF">
        <w:rPr>
          <w:rFonts w:ascii="Times New Roman" w:hAnsi="Times New Roman" w:cs="Times New Roman"/>
          <w:i/>
          <w:iCs/>
        </w:rPr>
        <w:t>v2smpolsoc</w:t>
      </w:r>
      <w:r w:rsidRPr="001F552E">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{"citationID":"6tLcLWsn","properties":{"unsorted":false,"formattedCitation":"(Coppedge et al., 2025)","plainCitation":"(Coppedge et al., 2025)","noteIndex":0},"citationItems":[{"id":367,"uris":["http://zotero.org/users/19944767/items/5YCMYZVK"],"itemData":{"id":367,"type":"dataset","publisher":"Varieties of Democracy (V-Dem) Institute","title":"V-Dem [country–year/country–date] dataset","URL":"https://www.v-dem.net/data/the-v-dem-dataset/country-year-v-dem-fullothers-v15/","author":[{"family":"Coppedge","given":"M."},{"family":"Gerring","given":"J."},{"family":"Knutsen","given":"C.H."},{"family":"Lindberg","given":"S.I."},{"family":"Teorell","given":"J."},{"family":"Altman","given":"D."},{"family":"Angiolillo","given":"F."},{"family":"Bernhard","given":"M."},{"family":"Cornell","given":"A."},{"family":"Fish","given":"M.S."},{"family":"Fox","given":"L."},{"family":"Gastaldi","given":"L."},{"family":"Gjerløw","given":"H."},{"family":"Glynn","given":"A."},{"family":"God","given":"A.G."},{"family":"Grahn","given":"S."},{"family":"Hicken","given":"A."},{"family":"Kinzelbach","given":"K."},{"family":"Marquardt","given":"K.L."},{"family":"McMann","given":"K."},{"family":"Mechkova","given":"V."},{"family":"Neundorf","given":"A."},{"family":"Paxton","given":"P."},{"family":"Pemstein","given":"D."},{"family":"Römer,","given":"J.","non-dropping-particle":"von"},{"family":"Seim","given":"B."},{"family":"Sigman","given":"R."},{"family":"Skaaning","given":"S.-E."},{"family":"Staton","given":"J."},{"family":"Sundström","given":"A."},{"family":"Tannenberg","given":"M."},{"family":"Tzelgov","given":"E."},{"family":"Wang","given":"Y."},{"family":"Wiebrecht","given":"F."},{"family":"Wig","given":"T."},{"family":"Ziblatt","given":"D."}],"issued":{"date-parts":[["2025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 xml:space="preserve">(Coppedge et </w:t>
      </w:r>
      <w:r>
        <w:rPr>
          <w:rFonts w:ascii="Times New Roman" w:hAnsi="Times New Roman" w:cs="Times New Roman"/>
          <w:noProof/>
        </w:rPr>
        <w:lastRenderedPageBreak/>
        <w:t>al., 2025)</w:t>
      </w:r>
      <w:r>
        <w:rPr>
          <w:rFonts w:ascii="Times New Roman" w:hAnsi="Times New Roman" w:cs="Times New Roman"/>
        </w:rPr>
        <w:fldChar w:fldCharType="end"/>
      </w:r>
      <w:r w:rsidRPr="001F552E">
        <w:rPr>
          <w:rFonts w:ascii="Times New Roman" w:hAnsi="Times New Roman" w:cs="Times New Roman"/>
        </w:rPr>
        <w:t xml:space="preserve">, retained on its native sign so that positive coefficients of association correspond to within-country shifts toward greater cohesion. The two acute pandemic-shock exposures are the country-year mean of the Oxford COVID-19 Government Response Tracker Stringency Index </w:t>
      </w:r>
      <w:r>
        <w:rPr>
          <w:rFonts w:ascii="Times New Roman" w:hAnsi="Times New Roman" w:cs="Times New Roman"/>
        </w:rPr>
        <w:fldChar w:fldCharType="begin"/>
      </w:r>
      <w:r>
        <w:rPr>
          <w:rFonts w:ascii="Times New Roman" w:hAnsi="Times New Roman" w:cs="Times New Roman"/>
        </w:rPr>
        <w:instrText xml:space="preserve"> ADDIN ZOTERO_ITEM CSL_CITATION {"citationID":"gKa14Ouh","properties":{"unsorted":false,"formattedCitation":"(Hale et al., 2021)","plainCitation":"(Hale et al., 2021)","noteIndex":0},"citationItems":[{"id":376,"uris":["http://zotero.org/users/19944767/items/N5767BA8"],"itemData":{"id":376,"type":"article-journal","container-title":"Nature Human Behaviour","DOI":"10.1038/s41562-021-01079-8","ISSN":"2397-3374","issue":"4","journalAbbreviation":"Nat Hum Behav","language":"en","page":"529-538","source":"DOI.org (Crossref)","title":"A global panel database of pandemic policies (Oxford COVID-19 Government Response Tracker)","volume":"5","author":[{"family":"Hale","given":"Thomas"},{"family":"Angrist","given":"Noam"},{"family":"Goldszmidt","given":"Rafael"},{"family":"Kira","given":"Beatriz"},{"family":"Petherick","given":"Anna"},{"family":"Phillips","given":"Toby"},{"family":"Webster","given":"Samuel"},{"family":"Cameron-Blake","given":"Emily"},{"family":"Hallas","given":"Laura"},{"family":"Majumdar","given":"Saptarshi"},{"family":"Tatlow","given":"Helen"}],"issued":{"date-parts":[["2021",3,8]]}}}],"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(Hale et al., 2021)</w:t>
      </w:r>
      <w:r>
        <w:rPr>
          <w:rFonts w:ascii="Times New Roman" w:hAnsi="Times New Roman" w:cs="Times New Roman"/>
        </w:rPr>
        <w:fldChar w:fldCharType="end"/>
      </w:r>
      <w:r w:rsidRPr="001F552E">
        <w:rPr>
          <w:rFonts w:ascii="Times New Roman" w:hAnsi="Times New Roman" w:cs="Times New Roman"/>
        </w:rPr>
        <w:t xml:space="preserve"> and cumulative COVID-19 mortality from Our World in Data </w:t>
      </w:r>
      <w:r>
        <w:rPr>
          <w:rFonts w:ascii="Times New Roman" w:hAnsi="Times New Roman" w:cs="Times New Roman"/>
        </w:rPr>
        <w:fldChar w:fldCharType="begin"/>
      </w:r>
      <w:r>
        <w:rPr>
          <w:rFonts w:ascii="Times New Roman" w:hAnsi="Times New Roman" w:cs="Times New Roman"/>
        </w:rPr>
        <w:instrText xml:space="preserve"> ADDIN ZOTERO_ITEM CSL_CITATION {"citationID":"RCJ7i1VL","properties":{"unsorted":false,"formattedCitation":"(Mathieu et al., 2021)","plainCitation":"(Mathieu et al., 2021)","noteIndex":0},"citationItems":[{"id":394,"uris":["http://zotero.org/users/19944767/items/BEPPKWIA"],"itemData":{"id":394,"type":"article-journal","container-title":"Nature Human Behaviour","DOI":"10.1038/s41562-021-01122-8","ISSN":"2397-3374","issue":"7","journalAbbreviation":"Nat Hum Behav","language":"en","page":"947-953","source":"DOI.org (Crossref)","title":"A global database of COVID-19 vaccinations","volume":"5","author":[{"family":"Mathieu","given":"Edouard"},{"family":"Ritchie","given":"Hannah"},{"family":"Ortiz-Ospina","given":"Esteban"},{"family":"Roser","given":"Max"},{"family":"Hasell","given":"Joe"},{"family":"Appel","given":"Cameron"},{"family":"Giattino","given":"Charlie"},{"family":"Rodés-Guirao","given":"Lucas"}],"issued":{"date-parts":[["2021",5,10]]}}}],"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(Mathieu et al., 2021)</w:t>
      </w:r>
      <w:r>
        <w:rPr>
          <w:rFonts w:ascii="Times New Roman" w:hAnsi="Times New Roman" w:cs="Times New Roman"/>
        </w:rPr>
        <w:fldChar w:fldCharType="end"/>
      </w:r>
      <w:r w:rsidRPr="001F552E">
        <w:rPr>
          <w:rFonts w:ascii="Times New Roman" w:hAnsi="Times New Roman" w:cs="Times New Roman"/>
        </w:rPr>
        <w:t xml:space="preserve">, expressed as ln(1 </w:t>
      </w:r>
      <w:r>
        <w:rPr>
          <w:rFonts w:ascii="Times New Roman" w:hAnsi="Times New Roman" w:cs="Times New Roman"/>
        </w:rPr>
        <w:t>+</w:t>
      </w:r>
      <w:r w:rsidRPr="001F552E">
        <w:rPr>
          <w:rFonts w:ascii="Times New Roman" w:hAnsi="Times New Roman" w:cs="Times New Roman"/>
        </w:rPr>
        <w:t xml:space="preserve"> deaths per million). Both exposures enter the primary specification at a one-year within-country lag. All continuous regressors — the lagged outcome, the two lagged exposures, and the four macro-covariates (log population, urban population [%], health expenditure [% GDP], ethnic fractionalization) — are z-standardized prior to estimation so that the weakly informative priors operate on a comparable scale across regressors and so that NUTS explores a numerically well-conditioned posterior geometry.</w:t>
      </w:r>
    </w:p>
    <w:p w14:paraId="20CF7F41" w14:textId="77777777" w:rsidR="001F552E" w:rsidRPr="001F552E" w:rsidRDefault="001F552E" w:rsidP="001F552E">
      <w:pPr>
        <w:spacing w:line="480" w:lineRule="auto"/>
        <w:rPr>
          <w:rFonts w:ascii="Times New Roman" w:hAnsi="Times New Roman" w:cs="Times New Roman"/>
        </w:rPr>
      </w:pPr>
    </w:p>
    <w:p w14:paraId="5351A7CB" w14:textId="77777777" w:rsidR="001F552E" w:rsidRPr="001F552E" w:rsidRDefault="001F552E" w:rsidP="001F552E">
      <w:pPr>
        <w:spacing w:line="480" w:lineRule="auto"/>
        <w:rPr>
          <w:rFonts w:ascii="Times New Roman" w:hAnsi="Times New Roman" w:cs="Times New Roman"/>
        </w:rPr>
      </w:pPr>
      <w:r w:rsidRPr="001F552E">
        <w:rPr>
          <w:rFonts w:ascii="Times New Roman" w:hAnsi="Times New Roman" w:cs="Times New Roman"/>
        </w:rPr>
        <w:t>A.2 Strictly non-centered hierarchical parameterization</w:t>
      </w:r>
    </w:p>
    <w:p w14:paraId="7E9F0603" w14:textId="76EEC44D" w:rsidR="001F552E" w:rsidRPr="001F552E" w:rsidRDefault="001F552E" w:rsidP="001F552E">
      <w:pPr>
        <w:spacing w:line="480" w:lineRule="auto"/>
        <w:rPr>
          <w:rFonts w:ascii="Times New Roman" w:hAnsi="Times New Roman" w:cs="Times New Roman"/>
        </w:rPr>
      </w:pPr>
      <w:r w:rsidRPr="001F552E">
        <w:rPr>
          <w:rFonts w:ascii="Times New Roman" w:hAnsi="Times New Roman" w:cs="Times New Roman"/>
        </w:rPr>
        <w:t xml:space="preserve">Country-level intercepts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c</m:t>
            </m:r>
          </m:sub>
        </m:sSub>
      </m:oMath>
      <w:r w:rsidRPr="001F552E">
        <w:rPr>
          <w:rFonts w:ascii="Times New Roman" w:hAnsi="Times New Roman" w:cs="Times New Roman"/>
        </w:rPr>
        <w:t xml:space="preserve"> are partially pooled within UN sub-regions r(c) through a strictly nested two-level hierarchy. To prevent the pathological posterior geometry associated with Neal's funnel </w:t>
      </w:r>
      <w:r w:rsidR="00D025AA">
        <w:rPr>
          <w:rFonts w:ascii="Times New Roman" w:hAnsi="Times New Roman" w:cs="Times New Roman" w:hint="eastAsia"/>
        </w:rPr>
        <w:t>–</w:t>
      </w:r>
      <w:r w:rsidRPr="001F552E">
        <w:rPr>
          <w:rFonts w:ascii="Times New Roman" w:hAnsi="Times New Roman" w:cs="Times New Roman"/>
        </w:rPr>
        <w:t xml:space="preserve"> in which strong posterior dependence between a hierarchical scale parameter and the latent group-level deviations distorts the curvature of the unconstrained sampling space and produces divergent transitions and biased </w:t>
      </w:r>
      <w:r w:rsidRPr="001F552E">
        <w:rPr>
          <w:rFonts w:ascii="Times New Roman" w:hAnsi="Times New Roman" w:cs="Times New Roman"/>
        </w:rPr>
        <w:lastRenderedPageBreak/>
        <w:t xml:space="preserve">posterior tails </w:t>
      </w:r>
      <w:r w:rsidR="00D025AA">
        <w:rPr>
          <w:rFonts w:ascii="Times New Roman" w:hAnsi="Times New Roman" w:cs="Times New Roman" w:hint="eastAsia"/>
        </w:rPr>
        <w:t>–</w:t>
      </w:r>
      <w:r w:rsidRPr="001F552E">
        <w:rPr>
          <w:rFonts w:ascii="Times New Roman" w:hAnsi="Times New Roman" w:cs="Times New Roman"/>
        </w:rPr>
        <w:t xml:space="preserve"> both hierarchical layers are implemented in their non-centered form </w:t>
      </w:r>
      <w:r>
        <w:rPr>
          <w:rFonts w:ascii="Times New Roman" w:hAnsi="Times New Roman" w:cs="Times New Roman"/>
        </w:rPr>
        <w:fldChar w:fldCharType="begin"/>
      </w:r>
      <w:r>
        <w:rPr>
          <w:rFonts w:ascii="Times New Roman" w:hAnsi="Times New Roman" w:cs="Times New Roman"/>
        </w:rPr>
        <w:instrText xml:space="preserve"> ADDIN ZOTERO_ITEM CSL_CITATION {"citationID":"0gdcCGlc","properties":{"unsorted":false,"formattedCitation":"(Betancourt &amp; Girolami, 2015)","plainCitation":"(Betancourt &amp; Girolami, 2015)","noteIndex":0},"citationItems":[{"id":391,"uris":["http://zotero.org/users/19944767/items/S29HKJ4K"],"itemData":{"id":391,"type":"book","edition":"1st Edition","publisher":"Chapman and Hall/CRC.","title":"Hamiltonian Monte Carlo for hierarchical models.","author":[{"family":"Betancourt","given":"M."},{"family":"Girolami","given":"M."}],"issued":{"date-parts":[["2015"]]}}}],"schema":"https://github.com/citation-style-language/schema/raw/master/csl-citation.json"}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(Betancourt &amp; Girolami, 2015)</w:t>
      </w:r>
      <w:r>
        <w:rPr>
          <w:rFonts w:ascii="Times New Roman" w:hAnsi="Times New Roman" w:cs="Times New Roman"/>
        </w:rPr>
        <w:fldChar w:fldCharType="end"/>
      </w:r>
      <w:r w:rsidRPr="001F552E">
        <w:rPr>
          <w:rFonts w:ascii="Times New Roman" w:hAnsi="Times New Roman" w:cs="Times New Roman"/>
        </w:rPr>
        <w:t xml:space="preserve">. Specifically, the regional intercepts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r</m:t>
            </m:r>
          </m:sub>
        </m:sSub>
      </m:oMath>
      <w:r w:rsidRPr="001F552E">
        <w:rPr>
          <w:rFonts w:ascii="Times New Roman" w:hAnsi="Times New Roman" w:cs="Times New Roman"/>
        </w:rPr>
        <w:t xml:space="preserve"> and the within-region country deviations are each represented as the product of a unit-Normal auxiliary variate and a positive scale parameter, with a single global intercept absorbing the panel mean. This decoupling of location and scale parameters in the unconstrained sampling space allows NUTS to traverse the hierarchical funnel efficiently and yields the well-mixed chains reported in A.4. Substantively, the regional intercepts absorb the dependence structure that countries inherit from shared sub-regional history, geography, and policy diffusion, so that the coefficients of association for the lagged outcome and the lagged pandemic-shock exposures are identified from variation that is plausibly orthogonal to the regional clustering pattern (Galton's problem; </w:t>
      </w:r>
      <w:r>
        <w:rPr>
          <w:rFonts w:ascii="Times New Roman" w:hAnsi="Times New Roman" w:cs="Times New Roman"/>
        </w:rPr>
        <w:fldChar w:fldCharType="begin"/>
      </w:r>
      <w:r>
        <w:rPr>
          <w:rFonts w:ascii="Times New Roman" w:hAnsi="Times New Roman" w:cs="Times New Roman"/>
        </w:rPr>
        <w:instrText xml:space="preserve"> ADDIN ZOTERO_ITEM CSL_CITATION {"citationID":"xYkky8DG","properties":{"unsorted":false,"formattedCitation":"(Currie &amp; Mace, 2012)","plainCitation":"(Currie &amp; Mace, 2012)","noteIndex":0},"citationItems":[{"id":368,"uris":["http://zotero.org/users/19944767/items/3CFAKNS9"],"itemData":{"id":368,"type":"article-journal","abstract":"Abstract\n            Re-analysis of the data provided in the target article reveals a lack of evidence for a strong, universal relationship between parasite stress and the variables relating to sociality. Furthermore, even if associations between these variables do exist, the analyses presented here do not provide evidence for Fincher &amp; Thornhill's (F&amp;T's) proposed causal mechanism.","container-title":"Behavioral and Brain Sciences","DOI":"10.1017/S0140525X11000963","ISSN":"0140-525X, 1469-1825","issue":"2","journalAbbreviation":"Behav Brain Sci","language":"en","license":"https://www.cambridge.org/core/terms","page":"83-85","source":"DOI.org (Crossref)","title":"Analyses do not support the parasite-stress theory of human sociality","volume":"35","author":[{"family":"Currie","given":"Thomas E."},{"family":"Mace","given":"Ruth"}],"issued":{"date-parts":[["2012",4]]}}}],"schema":"https://github.com/citation-style-language/schema/raw/master/csl-citation.json"}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(Currie &amp; Mace, 2012)</w:t>
      </w:r>
      <w:r>
        <w:rPr>
          <w:rFonts w:ascii="Times New Roman" w:hAnsi="Times New Roman" w:cs="Times New Roman"/>
        </w:rPr>
        <w:fldChar w:fldCharType="end"/>
      </w:r>
      <w:r w:rsidRPr="001F552E">
        <w:rPr>
          <w:rFonts w:ascii="Times New Roman" w:hAnsi="Times New Roman" w:cs="Times New Roman"/>
        </w:rPr>
        <w:t>).</w:t>
      </w:r>
    </w:p>
    <w:p w14:paraId="35B6972E" w14:textId="77777777" w:rsidR="001F552E" w:rsidRPr="001F552E" w:rsidRDefault="001F552E" w:rsidP="001F552E">
      <w:pPr>
        <w:spacing w:line="480" w:lineRule="auto"/>
        <w:rPr>
          <w:rFonts w:ascii="Times New Roman" w:hAnsi="Times New Roman" w:cs="Times New Roman"/>
        </w:rPr>
      </w:pPr>
    </w:p>
    <w:p w14:paraId="38D27D61" w14:textId="77777777" w:rsidR="001F552E" w:rsidRPr="001F552E" w:rsidRDefault="001F552E" w:rsidP="001F552E">
      <w:pPr>
        <w:spacing w:line="480" w:lineRule="auto"/>
        <w:rPr>
          <w:rFonts w:ascii="Times New Roman" w:hAnsi="Times New Roman" w:cs="Times New Roman"/>
        </w:rPr>
      </w:pPr>
      <w:r w:rsidRPr="001F552E">
        <w:rPr>
          <w:rFonts w:ascii="Times New Roman" w:hAnsi="Times New Roman" w:cs="Times New Roman"/>
        </w:rPr>
        <w:t>A.3 Weakly informative priors</w:t>
      </w:r>
    </w:p>
    <w:p w14:paraId="7E20B884" w14:textId="3A79971D" w:rsidR="001F552E" w:rsidRPr="001F552E" w:rsidRDefault="001F552E" w:rsidP="001F552E">
      <w:pPr>
        <w:spacing w:line="480" w:lineRule="auto"/>
        <w:rPr>
          <w:rFonts w:ascii="Times New Roman" w:hAnsi="Times New Roman" w:cs="Times New Roman"/>
        </w:rPr>
      </w:pPr>
      <w:r w:rsidRPr="001F552E">
        <w:rPr>
          <w:rFonts w:ascii="Times New Roman" w:hAnsi="Times New Roman" w:cs="Times New Roman"/>
        </w:rPr>
        <w:t xml:space="preserve">We adopt weakly informative priors calibrated to the standardized predictor scale, in line with current default-prior recommendations for regression settings </w:t>
      </w:r>
      <w:r>
        <w:rPr>
          <w:rFonts w:ascii="Times New Roman" w:hAnsi="Times New Roman" w:cs="Times New Roman"/>
        </w:rPr>
        <w:fldChar w:fldCharType="begin"/>
      </w:r>
      <w:r>
        <w:rPr>
          <w:rFonts w:ascii="Times New Roman" w:hAnsi="Times New Roman" w:cs="Times New Roman"/>
        </w:rPr>
        <w:instrText xml:space="preserve"> ADDIN ZOTERO_ITEM CSL_CITATION {"citationID":"iBCkWwDu","properties":{"unsorted":false,"formattedCitation":"(Gelman et al., 2008)","plainCitation":"(Gelman et al., 2008)","noteIndex":0},"citationItems":[{"id":402,"uris":["http://zotero.org/users/19944767/items/SQ3MUYYI"],"itemData":{"id":402,"type":"article-journal","container-title":"The Annals of Applied Statistics","DOI":"10.1214/08-AOAS191","ISSN":"1932-6157","issue":"4","journalAbbreviation":"Ann. Appl. Stat.","source":"DOI.org (Crossref)","title":"A weakly informative default prior distribution for logistic and other regression models","URL":"https://projecteuclid.org/journals/annals-of-applied-statistics/volume-2/issue-4/A-weakly-informative-default-prior-distribution-for-logistic-and-other/10.1214/08-AOAS191.full","volume":"2","author":[{"family":"Gelman","given":"Andrew"},{"family":"Jakulin","given":"Aleks"},{"family":"Pittau","given":"Maria Grazia"},{"family":"Su","given":"Yu-Sung"}],"accessed":{"date-parts":[["2026",4,30]]},"issued":{"date-parts":[["2008",12,1]]}}}],"schema":"https://github.com/citation-style-language/schema/raw/master/csl-citation.json"}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(Gelman et al., 2008)</w:t>
      </w:r>
      <w:r>
        <w:rPr>
          <w:rFonts w:ascii="Times New Roman" w:hAnsi="Times New Roman" w:cs="Times New Roman"/>
        </w:rPr>
        <w:fldChar w:fldCharType="end"/>
      </w:r>
      <w:r w:rsidRPr="001F552E">
        <w:rPr>
          <w:rFonts w:ascii="Times New Roman" w:hAnsi="Times New Roman" w:cs="Times New Roman"/>
        </w:rPr>
        <w:t>:</w:t>
      </w:r>
    </w:p>
    <w:p w14:paraId="4D619730" w14:textId="69BC5337" w:rsidR="001F552E" w:rsidRPr="001F552E" w:rsidRDefault="001F552E" w:rsidP="001F552E">
      <w:pPr>
        <w:spacing w:line="480" w:lineRule="auto"/>
        <w:rPr>
          <w:rFonts w:ascii="Times New Roman" w:hAnsi="Times New Roman" w:cs="Times New Roman"/>
        </w:rPr>
      </w:pPr>
      <w:r>
        <w:rPr>
          <w:rFonts w:ascii="Times New Roman" w:hAnsi="Times New Roman" w:cs="Times New Roman"/>
        </w:rPr>
        <w:t xml:space="preserve">• </w:t>
      </w:r>
      <w:r w:rsidRPr="001F552E">
        <w:rPr>
          <w:rFonts w:ascii="Times New Roman" w:hAnsi="Times New Roman" w:cs="Times New Roman"/>
        </w:rPr>
        <w:t xml:space="preserve">Coefficients of association on standardized continuous regressors </w:t>
      </w:r>
      <w:r w:rsidR="00562330">
        <w:rPr>
          <w:rFonts w:ascii="Times New Roman" w:hAnsi="Times New Roman" w:cs="Times New Roman"/>
        </w:rPr>
        <w:t>–</w:t>
      </w:r>
      <w:r w:rsidRPr="001F552E">
        <w:rPr>
          <w:rFonts w:ascii="Times New Roman" w:hAnsi="Times New Roman" w:cs="Times New Roman"/>
        </w:rPr>
        <w:t xml:space="preserve"> including the autoregressive parameter φ on lagged social cohesion, the coefficients</w:t>
      </w:r>
      <w:r w:rsidR="00562330">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p</m:t>
            </m:r>
          </m:sub>
        </m:sSub>
      </m:oMath>
      <w:r w:rsidRPr="001F552E">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m:t>
            </m:r>
          </m:sub>
        </m:sSub>
      </m:oMath>
      <w:r w:rsidRPr="001F552E">
        <w:rPr>
          <w:rFonts w:ascii="Times New Roman" w:hAnsi="Times New Roman" w:cs="Times New Roman"/>
        </w:rPr>
        <w:t xml:space="preserve"> on </w:t>
      </w:r>
      <w:r w:rsidRPr="001F552E">
        <w:rPr>
          <w:rFonts w:ascii="Times New Roman" w:hAnsi="Times New Roman" w:cs="Times New Roman"/>
        </w:rPr>
        <w:lastRenderedPageBreak/>
        <w:t xml:space="preserve">the two acute pandemic-shock exposures, and the four macro-covariate coefficients </w:t>
      </w:r>
      <w:r w:rsidR="00562330">
        <w:rPr>
          <w:rFonts w:ascii="Times New Roman" w:hAnsi="Times New Roman" w:cs="Times New Roman"/>
        </w:rPr>
        <w:t>–</w:t>
      </w:r>
      <w:r w:rsidRPr="001F552E">
        <w:rPr>
          <w:rFonts w:ascii="Times New Roman" w:hAnsi="Times New Roman" w:cs="Times New Roman"/>
        </w:rPr>
        <w:t xml:space="preserve"> receive </w:t>
      </w:r>
      <w:proofErr w:type="gramStart"/>
      <w:r w:rsidRPr="001F552E">
        <w:rPr>
          <w:rFonts w:ascii="Times New Roman" w:hAnsi="Times New Roman" w:cs="Times New Roman"/>
        </w:rPr>
        <w:t>Normal(</w:t>
      </w:r>
      <w:proofErr w:type="gramEnd"/>
      <w:r w:rsidRPr="001F552E">
        <w:rPr>
          <w:rFonts w:ascii="Times New Roman" w:hAnsi="Times New Roman" w:cs="Times New Roman"/>
        </w:rPr>
        <w:t>0, 1) priors.</w:t>
      </w:r>
    </w:p>
    <w:p w14:paraId="33F1F2F1" w14:textId="561F8F98" w:rsidR="001F552E" w:rsidRPr="001F552E" w:rsidRDefault="001F552E" w:rsidP="001F552E">
      <w:pPr>
        <w:spacing w:line="480" w:lineRule="auto"/>
        <w:rPr>
          <w:rFonts w:ascii="Times New Roman" w:hAnsi="Times New Roman" w:cs="Times New Roman"/>
        </w:rPr>
      </w:pPr>
      <w:r>
        <w:rPr>
          <w:rFonts w:ascii="Times New Roman" w:hAnsi="Times New Roman" w:cs="Times New Roman"/>
        </w:rPr>
        <w:t xml:space="preserve">• </w:t>
      </w:r>
      <w:r w:rsidRPr="001F552E">
        <w:rPr>
          <w:rFonts w:ascii="Times New Roman" w:hAnsi="Times New Roman" w:cs="Times New Roman"/>
        </w:rPr>
        <w:t xml:space="preserve">The global (panel-level) intercept receives a wider </w:t>
      </w:r>
      <w:proofErr w:type="gramStart"/>
      <w:r w:rsidRPr="001F552E">
        <w:rPr>
          <w:rFonts w:ascii="Times New Roman" w:hAnsi="Times New Roman" w:cs="Times New Roman"/>
        </w:rPr>
        <w:t>Normal(</w:t>
      </w:r>
      <w:proofErr w:type="gramEnd"/>
      <w:r w:rsidRPr="001F552E">
        <w:rPr>
          <w:rFonts w:ascii="Times New Roman" w:hAnsi="Times New Roman" w:cs="Times New Roman"/>
        </w:rPr>
        <w:t xml:space="preserve">0, 2) prior to accommodate the empirical scale of </w:t>
      </w:r>
      <w:r w:rsidRPr="001F552E">
        <w:rPr>
          <w:rFonts w:ascii="Times New Roman" w:hAnsi="Times New Roman" w:cs="Times New Roman"/>
          <w:i/>
          <w:iCs/>
        </w:rPr>
        <w:t>v2smpolsoc</w:t>
      </w:r>
      <w:r w:rsidRPr="001F552E">
        <w:rPr>
          <w:rFonts w:ascii="Times New Roman" w:hAnsi="Times New Roman" w:cs="Times New Roman"/>
        </w:rPr>
        <w:t xml:space="preserve"> without imposing a substantively informative location.</w:t>
      </w:r>
    </w:p>
    <w:p w14:paraId="6401CD9B" w14:textId="63F2EA3B" w:rsidR="001F552E" w:rsidRPr="001F552E" w:rsidRDefault="001F552E" w:rsidP="001F552E">
      <w:pPr>
        <w:spacing w:line="480" w:lineRule="auto"/>
        <w:rPr>
          <w:rFonts w:ascii="Times New Roman" w:hAnsi="Times New Roman" w:cs="Times New Roman"/>
        </w:rPr>
      </w:pPr>
      <w:r>
        <w:rPr>
          <w:rFonts w:ascii="Times New Roman" w:hAnsi="Times New Roman" w:cs="Times New Roman"/>
        </w:rPr>
        <w:t xml:space="preserve">• </w:t>
      </w:r>
      <w:r w:rsidRPr="001F552E">
        <w:rPr>
          <w:rFonts w:ascii="Times New Roman" w:hAnsi="Times New Roman" w:cs="Times New Roman"/>
        </w:rPr>
        <w:t xml:space="preserve">Hierarchical scale parameters </w:t>
      </w:r>
      <w:r w:rsidR="00562330">
        <w:rPr>
          <w:rFonts w:ascii="Times New Roman" w:hAnsi="Times New Roman" w:cs="Times New Roman"/>
        </w:rPr>
        <w:t>–</w:t>
      </w:r>
      <w:r w:rsidRPr="001F552E">
        <w:rPr>
          <w:rFonts w:ascii="Times New Roman" w:hAnsi="Times New Roman" w:cs="Times New Roman"/>
        </w:rPr>
        <w:t xml:space="preserve"> the between-region scale governing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r</m:t>
            </m:r>
          </m:sub>
        </m:sSub>
      </m:oMath>
      <w:r w:rsidRPr="001F552E">
        <w:rPr>
          <w:rFonts w:ascii="Times New Roman" w:hAnsi="Times New Roman" w:cs="Times New Roman"/>
        </w:rPr>
        <w:t xml:space="preserve"> and the within-region between-country scale governing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c</m:t>
            </m:r>
          </m:sub>
        </m:sSub>
      </m:oMath>
      <w:r w:rsidRPr="001F552E">
        <w:rPr>
          <w:rFonts w:ascii="Times New Roman" w:hAnsi="Times New Roman" w:cs="Times New Roman"/>
        </w:rPr>
        <w:t xml:space="preserve"> </w:t>
      </w:r>
      <w:r w:rsidR="00562330">
        <w:rPr>
          <w:rFonts w:ascii="Times New Roman" w:hAnsi="Times New Roman" w:cs="Times New Roman"/>
        </w:rPr>
        <w:t>–</w:t>
      </w:r>
      <w:r w:rsidRPr="001F552E">
        <w:rPr>
          <w:rFonts w:ascii="Times New Roman" w:hAnsi="Times New Roman" w:cs="Times New Roman"/>
        </w:rPr>
        <w:t xml:space="preserve"> receive </w:t>
      </w:r>
      <w:proofErr w:type="gramStart"/>
      <w:r w:rsidRPr="001F552E">
        <w:rPr>
          <w:rFonts w:ascii="Times New Roman" w:hAnsi="Times New Roman" w:cs="Times New Roman"/>
        </w:rPr>
        <w:t>HalfNormal(</w:t>
      </w:r>
      <w:proofErr w:type="gramEnd"/>
      <w:r w:rsidRPr="001F552E">
        <w:rPr>
          <w:rFonts w:ascii="Times New Roman" w:hAnsi="Times New Roman" w:cs="Times New Roman"/>
        </w:rPr>
        <w:t>1) priors, which softly regularize the partial-pooling layers toward modest dispersion while permitting larger between-group heterogeneity if the data so require.</w:t>
      </w:r>
    </w:p>
    <w:p w14:paraId="3439AD25" w14:textId="779F9C31" w:rsidR="001F552E" w:rsidRPr="001F552E" w:rsidRDefault="001F552E" w:rsidP="001F552E">
      <w:pPr>
        <w:spacing w:line="480" w:lineRule="auto"/>
        <w:rPr>
          <w:rFonts w:ascii="Times New Roman" w:hAnsi="Times New Roman" w:cs="Times New Roman"/>
        </w:rPr>
      </w:pPr>
      <w:r>
        <w:rPr>
          <w:rFonts w:ascii="Times New Roman" w:hAnsi="Times New Roman" w:cs="Times New Roman"/>
        </w:rPr>
        <w:t xml:space="preserve">• </w:t>
      </w:r>
      <w:r w:rsidRPr="001F552E">
        <w:rPr>
          <w:rFonts w:ascii="Times New Roman" w:hAnsi="Times New Roman" w:cs="Times New Roman"/>
        </w:rPr>
        <w:t xml:space="preserve">The residual observation-level scale σ receives a </w:t>
      </w:r>
      <w:proofErr w:type="spellStart"/>
      <w:proofErr w:type="gramStart"/>
      <w:r w:rsidRPr="001F552E">
        <w:rPr>
          <w:rFonts w:ascii="Times New Roman" w:hAnsi="Times New Roman" w:cs="Times New Roman"/>
        </w:rPr>
        <w:t>HalfNormal</w:t>
      </w:r>
      <w:proofErr w:type="spellEnd"/>
      <w:r w:rsidRPr="001F552E">
        <w:rPr>
          <w:rFonts w:ascii="Times New Roman" w:hAnsi="Times New Roman" w:cs="Times New Roman"/>
        </w:rPr>
        <w:t>(</w:t>
      </w:r>
      <w:proofErr w:type="gramEnd"/>
      <w:r w:rsidRPr="001F552E">
        <w:rPr>
          <w:rFonts w:ascii="Times New Roman" w:hAnsi="Times New Roman" w:cs="Times New Roman"/>
        </w:rPr>
        <w:t>1) prior on the standardized outcome scale.</w:t>
      </w:r>
    </w:p>
    <w:p w14:paraId="23B42542" w14:textId="550F16D3" w:rsidR="001F552E" w:rsidRPr="001F552E" w:rsidRDefault="001F552E" w:rsidP="001F552E">
      <w:pPr>
        <w:spacing w:line="480" w:lineRule="auto"/>
        <w:rPr>
          <w:rFonts w:ascii="Times New Roman" w:hAnsi="Times New Roman" w:cs="Times New Roman"/>
        </w:rPr>
      </w:pPr>
      <w:r>
        <w:rPr>
          <w:rFonts w:ascii="Times New Roman" w:hAnsi="Times New Roman" w:cs="Times New Roman"/>
        </w:rPr>
        <w:tab/>
      </w:r>
      <w:r w:rsidRPr="001F552E">
        <w:rPr>
          <w:rFonts w:ascii="Times New Roman" w:hAnsi="Times New Roman" w:cs="Times New Roman"/>
        </w:rPr>
        <w:t>These priors regularize coefficients toward zero without imposing substantively informative constraints, are centered on the null in standardized units, and are deliberately uninformative about the sign of any association.</w:t>
      </w:r>
    </w:p>
    <w:p w14:paraId="51060D06" w14:textId="77777777" w:rsidR="001F552E" w:rsidRPr="001F552E" w:rsidRDefault="001F552E" w:rsidP="001F552E">
      <w:pPr>
        <w:spacing w:line="480" w:lineRule="auto"/>
        <w:rPr>
          <w:rFonts w:ascii="Times New Roman" w:hAnsi="Times New Roman" w:cs="Times New Roman"/>
        </w:rPr>
      </w:pPr>
    </w:p>
    <w:p w14:paraId="702E73EC" w14:textId="77777777" w:rsidR="001F552E" w:rsidRPr="001F552E" w:rsidRDefault="001F552E" w:rsidP="001F552E">
      <w:pPr>
        <w:spacing w:line="480" w:lineRule="auto"/>
        <w:rPr>
          <w:rFonts w:ascii="Times New Roman" w:hAnsi="Times New Roman" w:cs="Times New Roman"/>
        </w:rPr>
      </w:pPr>
      <w:r w:rsidRPr="001F552E">
        <w:rPr>
          <w:rFonts w:ascii="Times New Roman" w:hAnsi="Times New Roman" w:cs="Times New Roman"/>
        </w:rPr>
        <w:t>A.4 Sampling, convergence, and posterior reporting</w:t>
      </w:r>
    </w:p>
    <w:p w14:paraId="51725152" w14:textId="34524BF8" w:rsidR="0004392E" w:rsidRDefault="001F552E" w:rsidP="001F552E">
      <w:pPr>
        <w:spacing w:line="480" w:lineRule="auto"/>
        <w:rPr>
          <w:rFonts w:ascii="Times New Roman" w:hAnsi="Times New Roman" w:cs="Times New Roman"/>
        </w:rPr>
      </w:pPr>
      <w:r w:rsidRPr="001F552E">
        <w:rPr>
          <w:rFonts w:ascii="Times New Roman" w:hAnsi="Times New Roman" w:cs="Times New Roman"/>
        </w:rPr>
        <w:t xml:space="preserve">Posterior sampling is performed with 4 independent chains, 2,000 tuning iterations per chain, and 2,000 post-warmup draws per chain, yielding 8,000 post-warmup draws in </w:t>
      </w:r>
      <w:r w:rsidRPr="001F552E">
        <w:rPr>
          <w:rFonts w:ascii="Times New Roman" w:hAnsi="Times New Roman" w:cs="Times New Roman"/>
        </w:rPr>
        <w:lastRenderedPageBreak/>
        <w:t>total. The NUTS target acceptance probability is set to 0.95 to suppress divergent transitions in the hierarchical geometry. Convergence is assessed with the rank-normalized split-</w:t>
      </w:r>
      <m:oMath>
        <m:acc>
          <m:accPr>
            <m:ctrlPr>
              <w:rPr>
                <w:rFonts w:ascii="Cambria Math" w:hAnsi="Cambria Math" w:cs="Times New Roman"/>
                <w:i/>
              </w:rPr>
            </m:ctrlPr>
          </m:accPr>
          <m:e>
            <m:r>
              <w:rPr>
                <w:rFonts w:ascii="Cambria Math" w:hAnsi="Cambria Math" w:cs="Times New Roman"/>
              </w:rPr>
              <m:t>R</m:t>
            </m:r>
          </m:e>
        </m:acc>
      </m:oMath>
      <w:r w:rsidRPr="001F552E">
        <w:rPr>
          <w:rFonts w:ascii="Times New Roman" w:hAnsi="Times New Roman" w:cs="Times New Roman"/>
        </w:rPr>
        <w:t xml:space="preserve"> statistic and the bulk effective sample size for every monitored parameter </w:t>
      </w:r>
      <w:r>
        <w:rPr>
          <w:rFonts w:ascii="Times New Roman" w:hAnsi="Times New Roman" w:cs="Times New Roman"/>
        </w:rPr>
        <w:fldChar w:fldCharType="begin"/>
      </w:r>
      <w:r>
        <w:rPr>
          <w:rFonts w:ascii="Times New Roman" w:hAnsi="Times New Roman" w:cs="Times New Roman"/>
        </w:rPr>
        <w:instrText xml:space="preserve"> ADDIN ZOTERO_ITEM CSL_CITATION {"citationID":"PxdaPR7K","properties":{"unsorted":false,"formattedCitation":"(Vehtari et al., 2021)","plainCitation":"(Vehtari et al., 2021)","noteIndex":0},"citationItems":[{"id":392,"uris":["http://zotero.org/users/19944767/items/TLCVQER3"],"itemData":{"id":392,"type":"article-journal","container-title":"Bayesian Analysis","DOI":"10.1214/20-BA1221","ISSN":"1936-0975","issue":"2","journalAbbreviation":"Bayesian Anal.","source":"DOI.org (Crossref)","title":"Rank-normalization, folding, and localization: an improved rˆ for assessing convergence of MCMC (with discussion)","title-short":"Rank-normalization, folding, and localization","URL":"https://projecteuclid.org/journals/bayesian-analysis/volume-16/issue-2/Rank-Normalization-Folding-and-Localization--An-Improved-R%cb%86-for/10.1214/20-BA1221.full","volume":"16","author":[{"family":"Vehtari","given":"Aki"},{"family":"Gelman","given":"Andrew"},{"family":"Simpson","given":"Daniel"},{"family":"Carpenter","given":"Bob"},{"family":"Bürkner","given":"Paul-Christian"}],"accessed":{"date-parts":[["2026",4,30]]},"issued":{"date-parts":[["2021",6,1]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(Vehtari et al., 2021)</w:t>
      </w:r>
      <w:r>
        <w:rPr>
          <w:rFonts w:ascii="Times New Roman" w:hAnsi="Times New Roman" w:cs="Times New Roman"/>
        </w:rPr>
        <w:fldChar w:fldCharType="end"/>
      </w:r>
      <w:r w:rsidRPr="001F552E">
        <w:rPr>
          <w:rFonts w:ascii="Times New Roman" w:hAnsi="Times New Roman" w:cs="Times New Roman"/>
        </w:rPr>
        <w:t xml:space="preserve">; we pre-specify </w:t>
      </w:r>
      <m:oMath>
        <m:acc>
          <m:accPr>
            <m:ctrlPr>
              <w:rPr>
                <w:rFonts w:ascii="Cambria Math" w:hAnsi="Cambria Math" w:cs="Times New Roman"/>
                <w:i/>
              </w:rPr>
            </m:ctrlPr>
          </m:accPr>
          <m:e>
            <m:r>
              <w:rPr>
                <w:rFonts w:ascii="Cambria Math" w:hAnsi="Cambria Math" w:cs="Times New Roman"/>
              </w:rPr>
              <m:t>R</m:t>
            </m:r>
          </m:e>
        </m:acc>
        <m:r>
          <w:rPr>
            <w:rFonts w:ascii="Cambria Math" w:hAnsi="Cambria Math" w:cs="Times New Roman"/>
          </w:rPr>
          <m:t>≤</m:t>
        </m:r>
      </m:oMath>
      <w:r w:rsidRPr="001F552E">
        <w:rPr>
          <w:rFonts w:ascii="Times New Roman" w:hAnsi="Times New Roman" w:cs="Times New Roman"/>
        </w:rPr>
        <w:t xml:space="preserve"> 1.01 and bulk ESS &gt; 400 as acceptance thresholds. Across the primary model and both sensitivity specifications (Appendices B and C), convergence is excellent: </w:t>
      </w:r>
      <m:oMath>
        <m:acc>
          <m:accPr>
            <m:ctrlPr>
              <w:rPr>
                <w:rFonts w:ascii="Cambria Math" w:hAnsi="Cambria Math" w:cs="Times New Roman"/>
                <w:i/>
              </w:rPr>
            </m:ctrlPr>
          </m:accPr>
          <m:e>
            <m:r>
              <w:rPr>
                <w:rFonts w:ascii="Cambria Math" w:hAnsi="Cambria Math" w:cs="Times New Roman"/>
              </w:rPr>
              <m:t>R</m:t>
            </m:r>
          </m:e>
        </m:acc>
        <m:r>
          <w:rPr>
            <w:rFonts w:ascii="Cambria Math" w:hAnsi="Cambria Math" w:cs="Times New Roman"/>
          </w:rPr>
          <m:t>≈</m:t>
        </m:r>
      </m:oMath>
      <w:r w:rsidRPr="001F552E">
        <w:rPr>
          <w:rFonts w:ascii="Times New Roman" w:hAnsi="Times New Roman" w:cs="Times New Roman"/>
        </w:rPr>
        <w:t xml:space="preserve"> 1.00 for all monitored parameters and bulk ESS comfortably exceeds the threshold throughout. Posterior summaries report the posterior mean, posterior standard deviation, and 95% highest-density interval (HDI); a coefficient of association is treated as credibly bounded away from zero only when its 95% HDI excludes zero.</w:t>
      </w:r>
    </w:p>
    <w:p w14:paraId="43931817" w14:textId="77777777" w:rsidR="001F552E" w:rsidRDefault="001F552E" w:rsidP="001F552E">
      <w:pPr>
        <w:spacing w:line="480" w:lineRule="auto"/>
        <w:rPr>
          <w:rFonts w:ascii="Times New Roman" w:hAnsi="Times New Roman" w:cs="Times New Roman"/>
        </w:rPr>
      </w:pPr>
    </w:p>
    <w:p w14:paraId="23DD6166" w14:textId="32CEBEBD" w:rsidR="001F552E" w:rsidRPr="001F552E" w:rsidRDefault="001F552E" w:rsidP="001F552E">
      <w:pPr>
        <w:spacing w:line="480" w:lineRule="auto"/>
        <w:rPr>
          <w:rFonts w:ascii="Times New Roman" w:hAnsi="Times New Roman" w:cs="Times New Roman"/>
          <w:b/>
          <w:bCs/>
        </w:rPr>
      </w:pPr>
      <w:r w:rsidRPr="001F552E">
        <w:rPr>
          <w:rFonts w:ascii="Times New Roman" w:hAnsi="Times New Roman" w:cs="Times New Roman"/>
          <w:b/>
          <w:bCs/>
        </w:rPr>
        <w:t xml:space="preserve">Appendix B. Sensitivity Analysis 1 </w:t>
      </w:r>
      <w:r w:rsidR="00DC0072">
        <w:rPr>
          <w:rFonts w:ascii="Times New Roman" w:hAnsi="Times New Roman" w:cs="Times New Roman"/>
          <w:b/>
          <w:bCs/>
        </w:rPr>
        <w:t>–</w:t>
      </w:r>
      <w:r w:rsidRPr="001F552E">
        <w:rPr>
          <w:rFonts w:ascii="Times New Roman" w:hAnsi="Times New Roman" w:cs="Times New Roman"/>
          <w:b/>
          <w:bCs/>
        </w:rPr>
        <w:t xml:space="preserve"> Extended time horizon (Lag-2 model)</w:t>
      </w:r>
    </w:p>
    <w:p w14:paraId="7EEE5626" w14:textId="40F1DC93" w:rsidR="001F552E" w:rsidRPr="001F552E" w:rsidRDefault="001F552E" w:rsidP="001F552E">
      <w:pPr>
        <w:spacing w:line="480" w:lineRule="auto"/>
        <w:rPr>
          <w:rFonts w:ascii="Times New Roman" w:hAnsi="Times New Roman" w:cs="Times New Roman"/>
        </w:rPr>
      </w:pPr>
      <w:r w:rsidRPr="001F552E">
        <w:rPr>
          <w:rFonts w:ascii="Times New Roman" w:hAnsi="Times New Roman" w:cs="Times New Roman"/>
        </w:rPr>
        <w:t xml:space="preserve">To assess whether the null associations of the two acute pandemic-shock exposures in the primary specification reflect a too-short within-country lag rather than the absence of a substantive association, we re-estimate the Hierarchical Bayesian Dynamic Panel Model with the autoregressive term and both pandemic-shock exposures shifted to a two-year within-country lag. The outcome, the hierarchical structure (regional partial pooling under strict non-centered parameterization), the prior families, the </w:t>
      </w:r>
      <w:r w:rsidRPr="001F552E">
        <w:rPr>
          <w:rFonts w:ascii="Times New Roman" w:hAnsi="Times New Roman" w:cs="Times New Roman"/>
        </w:rPr>
        <w:lastRenderedPageBreak/>
        <w:t xml:space="preserve">standardization scheme, the sampler settings (4 chains </w:t>
      </w:r>
      <m:oMath>
        <m:r>
          <w:rPr>
            <w:rFonts w:ascii="Cambria Math" w:hAnsi="Cambria Math" w:cs="Times New Roman"/>
          </w:rPr>
          <m:t>×</m:t>
        </m:r>
      </m:oMath>
      <w:r w:rsidRPr="001F552E">
        <w:rPr>
          <w:rFonts w:ascii="Times New Roman" w:hAnsi="Times New Roman" w:cs="Times New Roman"/>
        </w:rPr>
        <w:t xml:space="preserve"> 2,000 tuning + 2,000 post-warmup draws; target acceptance 0.95), and the convergence thresholds are unchanged from the primary specification. This extended-horizon design is intended to recover any latent acute association that may surface only after a longer institutional lag.</w:t>
      </w:r>
    </w:p>
    <w:p w14:paraId="36A78C72" w14:textId="4AF8A9F1" w:rsidR="001F552E" w:rsidRDefault="001F552E" w:rsidP="001F552E">
      <w:pPr>
        <w:spacing w:line="480" w:lineRule="auto"/>
        <w:rPr>
          <w:rFonts w:ascii="Times New Roman" w:hAnsi="Times New Roman" w:cs="Times New Roman"/>
        </w:rPr>
      </w:pPr>
      <w:r>
        <w:rPr>
          <w:rFonts w:ascii="Times New Roman" w:hAnsi="Times New Roman" w:cs="Times New Roman"/>
        </w:rPr>
        <w:tab/>
      </w:r>
      <w:r w:rsidRPr="001F552E">
        <w:rPr>
          <w:rFonts w:ascii="Times New Roman" w:hAnsi="Times New Roman" w:cs="Times New Roman"/>
        </w:rPr>
        <w:t>The substantive conclusions of the primary model are preserved. The autoregressive inertia parameter remains large and credibly non-zero (</w:t>
      </w:r>
      <m:oMath>
        <m:r>
          <w:rPr>
            <w:rFonts w:ascii="Cambria Math" w:hAnsi="Cambria Math" w:cs="Times New Roman"/>
          </w:rPr>
          <m:t>ϕ</m:t>
        </m:r>
      </m:oMath>
      <w:r w:rsidRPr="001F552E">
        <w:rPr>
          <w:rFonts w:ascii="Times New Roman" w:hAnsi="Times New Roman" w:cs="Times New Roman"/>
        </w:rPr>
        <w:t xml:space="preserve"> = 1.1</w:t>
      </w:r>
      <w:r w:rsidR="00E93C41">
        <w:rPr>
          <w:rFonts w:ascii="Times New Roman" w:hAnsi="Times New Roman" w:cs="Times New Roman"/>
        </w:rPr>
        <w:t>4</w:t>
      </w:r>
      <w:r w:rsidRPr="001F552E">
        <w:rPr>
          <w:rFonts w:ascii="Times New Roman" w:hAnsi="Times New Roman" w:cs="Times New Roman"/>
        </w:rPr>
        <w:t>, 95% HDI [0.9</w:t>
      </w:r>
      <w:r w:rsidR="00E93C41">
        <w:rPr>
          <w:rFonts w:ascii="Times New Roman" w:hAnsi="Times New Roman" w:cs="Times New Roman"/>
        </w:rPr>
        <w:t>5</w:t>
      </w:r>
      <w:r w:rsidRPr="001F552E">
        <w:rPr>
          <w:rFonts w:ascii="Times New Roman" w:hAnsi="Times New Roman" w:cs="Times New Roman"/>
        </w:rPr>
        <w:t>, 1.3</w:t>
      </w:r>
      <w:r w:rsidR="00E93C41">
        <w:rPr>
          <w:rFonts w:ascii="Times New Roman" w:hAnsi="Times New Roman" w:cs="Times New Roman"/>
        </w:rPr>
        <w:t>1</w:t>
      </w:r>
      <w:r w:rsidRPr="001F552E">
        <w:rPr>
          <w:rFonts w:ascii="Times New Roman" w:hAnsi="Times New Roman" w:cs="Times New Roman"/>
        </w:rPr>
        <w:t>]), confirming that macro-structural inertia in social polarization is the dominant feature of the trajectory at a longer lag horizon as well. By contrast, the two-year-lagged coefficient of association on log COVID-19 mortality is small and posterior-credibly bounded around zero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p,2</m:t>
            </m:r>
          </m:sub>
        </m:sSub>
      </m:oMath>
      <w:r w:rsidRPr="001F552E">
        <w:rPr>
          <w:rFonts w:ascii="Times New Roman" w:hAnsi="Times New Roman" w:cs="Times New Roman"/>
        </w:rPr>
        <w:t xml:space="preserve"> = </w:t>
      </w:r>
      <w:r>
        <w:rPr>
          <w:rFonts w:ascii="Times New Roman" w:hAnsi="Times New Roman" w:cs="Times New Roman"/>
        </w:rPr>
        <w:t>-</w:t>
      </w:r>
      <w:r w:rsidRPr="001F552E">
        <w:rPr>
          <w:rFonts w:ascii="Times New Roman" w:hAnsi="Times New Roman" w:cs="Times New Roman"/>
        </w:rPr>
        <w:t>0.05, 95% HDI [</w:t>
      </w:r>
      <w:r>
        <w:rPr>
          <w:rFonts w:ascii="Times New Roman" w:hAnsi="Times New Roman" w:cs="Times New Roman"/>
        </w:rPr>
        <w:t>-</w:t>
      </w:r>
      <w:r w:rsidRPr="001F552E">
        <w:rPr>
          <w:rFonts w:ascii="Times New Roman" w:hAnsi="Times New Roman" w:cs="Times New Roman"/>
        </w:rPr>
        <w:t>0.1</w:t>
      </w:r>
      <w:r w:rsidR="00E93C41">
        <w:rPr>
          <w:rFonts w:ascii="Times New Roman" w:hAnsi="Times New Roman" w:cs="Times New Roman"/>
        </w:rPr>
        <w:t>9</w:t>
      </w:r>
      <w:r w:rsidRPr="001F552E">
        <w:rPr>
          <w:rFonts w:ascii="Times New Roman" w:hAnsi="Times New Roman" w:cs="Times New Roman"/>
        </w:rPr>
        <w:t>, 0.0</w:t>
      </w:r>
      <w:r w:rsidR="00562330">
        <w:rPr>
          <w:rFonts w:ascii="Times New Roman" w:hAnsi="Times New Roman" w:cs="Times New Roman"/>
        </w:rPr>
        <w:t>8</w:t>
      </w:r>
      <w:r w:rsidRPr="001F552E">
        <w:rPr>
          <w:rFonts w:ascii="Times New Roman" w:hAnsi="Times New Roman" w:cs="Times New Roman"/>
        </w:rPr>
        <w:t>]), and the two-year-lagged coefficient of association on lockdown stringency is likewise credibly null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s,2</m:t>
            </m:r>
          </m:sub>
        </m:sSub>
      </m:oMath>
      <w:r w:rsidRPr="001F552E">
        <w:rPr>
          <w:rFonts w:ascii="Times New Roman" w:hAnsi="Times New Roman" w:cs="Times New Roman"/>
        </w:rPr>
        <w:t xml:space="preserve"> = 0.0</w:t>
      </w:r>
      <w:r w:rsidR="002768CD">
        <w:rPr>
          <w:rFonts w:ascii="Times New Roman" w:hAnsi="Times New Roman" w:cs="Times New Roman"/>
        </w:rPr>
        <w:t>5</w:t>
      </w:r>
      <w:r w:rsidRPr="001F552E">
        <w:rPr>
          <w:rFonts w:ascii="Times New Roman" w:hAnsi="Times New Roman" w:cs="Times New Roman"/>
        </w:rPr>
        <w:t>, 95% HDI [</w:t>
      </w:r>
      <w:r>
        <w:rPr>
          <w:rFonts w:ascii="Times New Roman" w:hAnsi="Times New Roman" w:cs="Times New Roman"/>
        </w:rPr>
        <w:t>-</w:t>
      </w:r>
      <w:r w:rsidRPr="001F552E">
        <w:rPr>
          <w:rFonts w:ascii="Times New Roman" w:hAnsi="Times New Roman" w:cs="Times New Roman"/>
        </w:rPr>
        <w:t>0.0</w:t>
      </w:r>
      <w:r w:rsidR="002768CD">
        <w:rPr>
          <w:rFonts w:ascii="Times New Roman" w:hAnsi="Times New Roman" w:cs="Times New Roman"/>
        </w:rPr>
        <w:t>4</w:t>
      </w:r>
      <w:r w:rsidRPr="001F552E">
        <w:rPr>
          <w:rFonts w:ascii="Times New Roman" w:hAnsi="Times New Roman" w:cs="Times New Roman"/>
        </w:rPr>
        <w:t>, 0.1</w:t>
      </w:r>
      <w:r w:rsidR="002768CD">
        <w:rPr>
          <w:rFonts w:ascii="Times New Roman" w:hAnsi="Times New Roman" w:cs="Times New Roman"/>
        </w:rPr>
        <w:t>4</w:t>
      </w:r>
      <w:r w:rsidRPr="001F552E">
        <w:rPr>
          <w:rFonts w:ascii="Times New Roman" w:hAnsi="Times New Roman" w:cs="Times New Roman"/>
        </w:rPr>
        <w:t xml:space="preserve">]). </w:t>
      </w:r>
      <w:proofErr w:type="gramStart"/>
      <w:r w:rsidRPr="001F552E">
        <w:rPr>
          <w:rFonts w:ascii="Times New Roman" w:hAnsi="Times New Roman" w:cs="Times New Roman"/>
        </w:rPr>
        <w:t>Both 95%</w:t>
      </w:r>
      <w:proofErr w:type="gramEnd"/>
      <w:r w:rsidRPr="001F552E">
        <w:rPr>
          <w:rFonts w:ascii="Times New Roman" w:hAnsi="Times New Roman" w:cs="Times New Roman"/>
        </w:rPr>
        <w:t xml:space="preserve"> HDIs firmly cross zero, so the null acute-shock associations of the primary specification are not an artifact of a particular lag horizon. Convergence diagnostics for the Lag-2 model satisfy </w:t>
      </w:r>
      <m:oMath>
        <m:acc>
          <m:accPr>
            <m:ctrlPr>
              <w:rPr>
                <w:rFonts w:ascii="Cambria Math" w:hAnsi="Cambria Math" w:cs="Times New Roman"/>
                <w:i/>
              </w:rPr>
            </m:ctrlPr>
          </m:accPr>
          <m:e>
            <m:r>
              <w:rPr>
                <w:rFonts w:ascii="Cambria Math" w:hAnsi="Cambria Math" w:cs="Times New Roman"/>
              </w:rPr>
              <m:t>R</m:t>
            </m:r>
          </m:e>
        </m:acc>
        <m:r>
          <w:rPr>
            <w:rFonts w:ascii="Cambria Math" w:hAnsi="Cambria Math" w:cs="Times New Roman"/>
          </w:rPr>
          <m:t>≈</m:t>
        </m:r>
      </m:oMath>
      <w:r>
        <w:rPr>
          <w:rFonts w:ascii="Times New Roman" w:hAnsi="Times New Roman" w:cs="Times New Roman"/>
        </w:rPr>
        <w:t xml:space="preserve"> </w:t>
      </w:r>
      <w:r w:rsidRPr="001F552E">
        <w:rPr>
          <w:rFonts w:ascii="Times New Roman" w:hAnsi="Times New Roman" w:cs="Times New Roman"/>
        </w:rPr>
        <w:t>1.00 and bulk ESS &gt; 400 across all monitored parameters.</w:t>
      </w:r>
    </w:p>
    <w:p w14:paraId="5BCA4056" w14:textId="77777777" w:rsidR="001F552E" w:rsidRDefault="001F552E" w:rsidP="001F552E">
      <w:pPr>
        <w:spacing w:line="480" w:lineRule="auto"/>
        <w:rPr>
          <w:rFonts w:ascii="Times New Roman" w:hAnsi="Times New Roman" w:cs="Times New Roman"/>
        </w:rPr>
      </w:pPr>
    </w:p>
    <w:p w14:paraId="0A09AA92" w14:textId="35163092" w:rsidR="001F552E" w:rsidRPr="001F552E" w:rsidRDefault="001F552E" w:rsidP="001F552E">
      <w:pPr>
        <w:spacing w:line="480" w:lineRule="auto"/>
        <w:rPr>
          <w:rFonts w:ascii="Times New Roman" w:hAnsi="Times New Roman" w:cs="Times New Roman"/>
          <w:b/>
          <w:bCs/>
        </w:rPr>
      </w:pPr>
      <w:r w:rsidRPr="001F552E">
        <w:rPr>
          <w:rFonts w:ascii="Times New Roman" w:hAnsi="Times New Roman" w:cs="Times New Roman"/>
          <w:b/>
          <w:bCs/>
        </w:rPr>
        <w:t xml:space="preserve">Appendix C. Sensitivity Analysis 2 </w:t>
      </w:r>
      <w:r w:rsidR="00DC0072">
        <w:rPr>
          <w:rFonts w:ascii="Times New Roman" w:hAnsi="Times New Roman" w:cs="Times New Roman"/>
          <w:b/>
          <w:bCs/>
        </w:rPr>
        <w:t>–</w:t>
      </w:r>
      <w:r w:rsidRPr="001F552E">
        <w:rPr>
          <w:rFonts w:ascii="Times New Roman" w:hAnsi="Times New Roman" w:cs="Times New Roman"/>
          <w:b/>
          <w:bCs/>
        </w:rPr>
        <w:t xml:space="preserve"> Effect modification by pre-pandemic cohesion</w:t>
      </w:r>
    </w:p>
    <w:p w14:paraId="2FE15CA9" w14:textId="04D98070" w:rsidR="001F552E" w:rsidRPr="001F552E" w:rsidRDefault="001F552E" w:rsidP="001F552E">
      <w:pPr>
        <w:spacing w:line="480" w:lineRule="auto"/>
        <w:rPr>
          <w:rFonts w:ascii="Times New Roman" w:hAnsi="Times New Roman" w:cs="Times New Roman"/>
        </w:rPr>
      </w:pPr>
      <w:r w:rsidRPr="001F552E">
        <w:rPr>
          <w:rFonts w:ascii="Times New Roman" w:hAnsi="Times New Roman" w:cs="Times New Roman"/>
        </w:rPr>
        <w:lastRenderedPageBreak/>
        <w:t xml:space="preserve">To assess whether high pre-pandemic social cohesion buffered the acute pandemic-shock associations of the primary specification </w:t>
      </w:r>
      <w:r w:rsidR="00DC0072">
        <w:rPr>
          <w:rFonts w:ascii="Times New Roman" w:hAnsi="Times New Roman" w:cs="Times New Roman"/>
        </w:rPr>
        <w:t>–</w:t>
      </w:r>
      <w:r w:rsidRPr="001F552E">
        <w:rPr>
          <w:rFonts w:ascii="Times New Roman" w:hAnsi="Times New Roman" w:cs="Times New Roman"/>
        </w:rPr>
        <w:t xml:space="preserve"> that is, whether the lagged-mortality and lagged-stringency parameters of association differ across strata of baseline cohesion </w:t>
      </w:r>
      <w:r w:rsidR="00DC0072">
        <w:rPr>
          <w:rFonts w:ascii="Times New Roman" w:hAnsi="Times New Roman" w:cs="Times New Roman"/>
        </w:rPr>
        <w:t>–</w:t>
      </w:r>
      <w:r w:rsidRPr="001F552E">
        <w:rPr>
          <w:rFonts w:ascii="Times New Roman" w:hAnsi="Times New Roman" w:cs="Times New Roman"/>
        </w:rPr>
        <w:t xml:space="preserve"> we extend the Lag-1 model with two product (interaction) terms between each one-year-lagged pandemic-shock exposure and a time-invariant baseline covariate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c</m:t>
            </m:r>
          </m:sub>
        </m:sSub>
      </m:oMath>
      <w:r w:rsidRPr="001F552E">
        <w:rPr>
          <w:rFonts w:ascii="Times New Roman" w:hAnsi="Times New Roman" w:cs="Times New Roman"/>
        </w:rPr>
        <w:t xml:space="preserve"> defined as country c's value of </w:t>
      </w:r>
      <w:r w:rsidRPr="001F552E">
        <w:rPr>
          <w:rFonts w:ascii="Times New Roman" w:hAnsi="Times New Roman" w:cs="Times New Roman"/>
          <w:i/>
          <w:iCs/>
        </w:rPr>
        <w:t>v2smpolsoc</w:t>
      </w:r>
      <w:r w:rsidRPr="001F552E">
        <w:rPr>
          <w:rFonts w:ascii="Times New Roman" w:hAnsi="Times New Roman" w:cs="Times New Roman"/>
        </w:rPr>
        <w:t xml:space="preserve"> in 2019. Because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c</m:t>
            </m:r>
          </m:sub>
        </m:sSub>
      </m:oMath>
      <w:r w:rsidRPr="001F552E">
        <w:rPr>
          <w:rFonts w:ascii="Times New Roman" w:hAnsi="Times New Roman" w:cs="Times New Roman"/>
        </w:rPr>
        <w:t xml:space="preserve"> is constant within country, its main term is absorbed by the partially pooled country-level intercept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c</m:t>
            </m:r>
          </m:sub>
        </m:sSub>
      </m:oMath>
      <w:r w:rsidRPr="001F552E">
        <w:rPr>
          <w:rFonts w:ascii="Times New Roman" w:hAnsi="Times New Roman" w:cs="Times New Roman"/>
        </w:rPr>
        <w:t xml:space="preserve">; the two product terms are nonetheless identified, since the underlying lagged exposures vary within country. This specification follows the standard Bayesian formulation for effect modification of dynamic-panel coefficients by a baseline covariate. All other elements of the specification </w:t>
      </w:r>
      <w:r w:rsidR="00DC0072">
        <w:rPr>
          <w:rFonts w:ascii="Times New Roman" w:hAnsi="Times New Roman" w:cs="Times New Roman"/>
        </w:rPr>
        <w:t>–</w:t>
      </w:r>
      <w:r w:rsidRPr="001F552E">
        <w:rPr>
          <w:rFonts w:ascii="Times New Roman" w:hAnsi="Times New Roman" w:cs="Times New Roman"/>
        </w:rPr>
        <w:t xml:space="preserve"> the hierarchical non-centered structure, the prior families, the standardization scheme, the sampler settings, and the convergence thresholds </w:t>
      </w:r>
      <w:r w:rsidR="00DC0072">
        <w:rPr>
          <w:rFonts w:ascii="Times New Roman" w:hAnsi="Times New Roman" w:cs="Times New Roman" w:hint="eastAsia"/>
        </w:rPr>
        <w:t>–</w:t>
      </w:r>
      <w:r w:rsidRPr="001F552E">
        <w:rPr>
          <w:rFonts w:ascii="Times New Roman" w:hAnsi="Times New Roman" w:cs="Times New Roman"/>
        </w:rPr>
        <w:t xml:space="preserve"> are inherited unchanged from the primary model.</w:t>
      </w:r>
    </w:p>
    <w:p w14:paraId="3DAAD98D" w14:textId="0196275C" w:rsidR="001F552E" w:rsidRPr="001F552E" w:rsidRDefault="001F552E" w:rsidP="001F552E">
      <w:pPr>
        <w:spacing w:line="480" w:lineRule="auto"/>
        <w:rPr>
          <w:rFonts w:ascii="Times New Roman" w:hAnsi="Times New Roman" w:cs="Times New Roman"/>
        </w:rPr>
      </w:pPr>
      <w:r>
        <w:rPr>
          <w:rFonts w:ascii="Times New Roman" w:hAnsi="Times New Roman" w:cs="Times New Roman"/>
        </w:rPr>
        <w:tab/>
      </w:r>
      <w:r w:rsidRPr="001F552E">
        <w:rPr>
          <w:rFonts w:ascii="Times New Roman" w:hAnsi="Times New Roman" w:cs="Times New Roman"/>
        </w:rPr>
        <w:t>The data provide no posterior support for the effect-modification hypothesis. The product term between baseline 2019 cohesion and one-year-lagged log COVID-19 mortality is credibly null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inter, p</m:t>
            </m:r>
          </m:sub>
        </m:sSub>
      </m:oMath>
      <w:r w:rsidRPr="001F552E">
        <w:rPr>
          <w:rFonts w:ascii="Times New Roman" w:hAnsi="Times New Roman" w:cs="Times New Roman"/>
        </w:rPr>
        <w:t xml:space="preserve"> = </w:t>
      </w:r>
      <w:r>
        <w:rPr>
          <w:rFonts w:ascii="Times New Roman" w:hAnsi="Times New Roman" w:cs="Times New Roman"/>
        </w:rPr>
        <w:t>-</w:t>
      </w:r>
      <w:r w:rsidRPr="001F552E">
        <w:rPr>
          <w:rFonts w:ascii="Times New Roman" w:hAnsi="Times New Roman" w:cs="Times New Roman"/>
        </w:rPr>
        <w:t>0.0</w:t>
      </w:r>
      <w:r w:rsidR="004F117F">
        <w:rPr>
          <w:rFonts w:ascii="Times New Roman" w:hAnsi="Times New Roman" w:cs="Times New Roman"/>
        </w:rPr>
        <w:t>8</w:t>
      </w:r>
      <w:r w:rsidRPr="001F552E">
        <w:rPr>
          <w:rFonts w:ascii="Times New Roman" w:hAnsi="Times New Roman" w:cs="Times New Roman"/>
        </w:rPr>
        <w:t>, 95% HDI [</w:t>
      </w:r>
      <w:r>
        <w:rPr>
          <w:rFonts w:ascii="Times New Roman" w:hAnsi="Times New Roman" w:cs="Times New Roman"/>
        </w:rPr>
        <w:t>-</w:t>
      </w:r>
      <w:r w:rsidRPr="001F552E">
        <w:rPr>
          <w:rFonts w:ascii="Times New Roman" w:hAnsi="Times New Roman" w:cs="Times New Roman"/>
        </w:rPr>
        <w:t>0.</w:t>
      </w:r>
      <w:r w:rsidR="004F117F">
        <w:rPr>
          <w:rFonts w:ascii="Times New Roman" w:hAnsi="Times New Roman" w:cs="Times New Roman"/>
        </w:rPr>
        <w:t>15</w:t>
      </w:r>
      <w:r w:rsidRPr="001F552E">
        <w:rPr>
          <w:rFonts w:ascii="Times New Roman" w:hAnsi="Times New Roman" w:cs="Times New Roman"/>
        </w:rPr>
        <w:t>, 0.0</w:t>
      </w:r>
      <w:r w:rsidR="004F117F">
        <w:rPr>
          <w:rFonts w:ascii="Times New Roman" w:hAnsi="Times New Roman" w:cs="Times New Roman"/>
        </w:rPr>
        <w:t>0</w:t>
      </w:r>
      <w:r w:rsidRPr="001F552E">
        <w:rPr>
          <w:rFonts w:ascii="Times New Roman" w:hAnsi="Times New Roman" w:cs="Times New Roman"/>
        </w:rPr>
        <w:t>]), as is the product term between baseline cohesion and one-year-lagged lockdown stringency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inter, s</m:t>
            </m:r>
          </m:sub>
        </m:sSub>
      </m:oMath>
      <w:r w:rsidRPr="001F552E">
        <w:rPr>
          <w:rFonts w:ascii="Times New Roman" w:hAnsi="Times New Roman" w:cs="Times New Roman"/>
        </w:rPr>
        <w:t xml:space="preserve"> = </w:t>
      </w:r>
      <w:r w:rsidR="004F117F">
        <w:rPr>
          <w:rFonts w:ascii="Times New Roman" w:hAnsi="Times New Roman" w:cs="Times New Roman"/>
        </w:rPr>
        <w:t>-</w:t>
      </w:r>
      <w:r w:rsidRPr="001F552E">
        <w:rPr>
          <w:rFonts w:ascii="Times New Roman" w:hAnsi="Times New Roman" w:cs="Times New Roman"/>
        </w:rPr>
        <w:t>0.0</w:t>
      </w:r>
      <w:r w:rsidR="00DC0072">
        <w:rPr>
          <w:rFonts w:ascii="Times New Roman" w:hAnsi="Times New Roman" w:cs="Times New Roman"/>
        </w:rPr>
        <w:t>3</w:t>
      </w:r>
      <w:r w:rsidRPr="001F552E">
        <w:rPr>
          <w:rFonts w:ascii="Times New Roman" w:hAnsi="Times New Roman" w:cs="Times New Roman"/>
        </w:rPr>
        <w:t>, 95% HDI [</w:t>
      </w:r>
      <w:r>
        <w:rPr>
          <w:rFonts w:ascii="Times New Roman" w:hAnsi="Times New Roman" w:cs="Times New Roman"/>
        </w:rPr>
        <w:t>-</w:t>
      </w:r>
      <w:r w:rsidRPr="001F552E">
        <w:rPr>
          <w:rFonts w:ascii="Times New Roman" w:hAnsi="Times New Roman" w:cs="Times New Roman"/>
        </w:rPr>
        <w:t>0.1</w:t>
      </w:r>
      <w:r w:rsidR="004F117F">
        <w:rPr>
          <w:rFonts w:ascii="Times New Roman" w:hAnsi="Times New Roman" w:cs="Times New Roman"/>
        </w:rPr>
        <w:t>0</w:t>
      </w:r>
      <w:r w:rsidRPr="001F552E">
        <w:rPr>
          <w:rFonts w:ascii="Times New Roman" w:hAnsi="Times New Roman" w:cs="Times New Roman"/>
        </w:rPr>
        <w:t>, 0.</w:t>
      </w:r>
      <w:r w:rsidR="004F117F">
        <w:rPr>
          <w:rFonts w:ascii="Times New Roman" w:hAnsi="Times New Roman" w:cs="Times New Roman"/>
        </w:rPr>
        <w:t>05</w:t>
      </w:r>
      <w:r w:rsidRPr="001F552E">
        <w:rPr>
          <w:rFonts w:ascii="Times New Roman" w:hAnsi="Times New Roman" w:cs="Times New Roman"/>
        </w:rPr>
        <w:t xml:space="preserve">]). </w:t>
      </w:r>
      <w:proofErr w:type="gramStart"/>
      <w:r w:rsidRPr="001F552E">
        <w:rPr>
          <w:rFonts w:ascii="Times New Roman" w:hAnsi="Times New Roman" w:cs="Times New Roman"/>
        </w:rPr>
        <w:t>Both 95%</w:t>
      </w:r>
      <w:proofErr w:type="gramEnd"/>
      <w:r w:rsidRPr="001F552E">
        <w:rPr>
          <w:rFonts w:ascii="Times New Roman" w:hAnsi="Times New Roman" w:cs="Times New Roman"/>
        </w:rPr>
        <w:t xml:space="preserve"> HDIs firmly cross zero, so the conjecture that </w:t>
      </w:r>
      <w:r w:rsidRPr="001F552E">
        <w:rPr>
          <w:rFonts w:ascii="Times New Roman" w:hAnsi="Times New Roman" w:cs="Times New Roman"/>
        </w:rPr>
        <w:lastRenderedPageBreak/>
        <w:t>high pre-pandemic cohesion buffered the acute pandemic-shock associations is not supported: macro-structural inertia absorbs the acute shocks uniformly across the OECD-3</w:t>
      </w:r>
      <w:r w:rsidR="00B553EC">
        <w:rPr>
          <w:rFonts w:ascii="Times New Roman" w:hAnsi="Times New Roman" w:cs="Times New Roman"/>
        </w:rPr>
        <w:t>7</w:t>
      </w:r>
      <w:r w:rsidRPr="001F552E">
        <w:rPr>
          <w:rFonts w:ascii="Times New Roman" w:hAnsi="Times New Roman" w:cs="Times New Roman"/>
        </w:rPr>
        <w:t xml:space="preserve">, not selectively in higher-cohesion settings. The autoregressive inertia parameter and the lower-order acute-shock coefficients of association in this specification are consistent in sign and magnitude with the primary model. Convergence diagnostics again satisfy </w:t>
      </w:r>
      <m:oMath>
        <m:acc>
          <m:accPr>
            <m:ctrlPr>
              <w:rPr>
                <w:rFonts w:ascii="Cambria Math" w:hAnsi="Cambria Math" w:cs="Times New Roman"/>
                <w:i/>
              </w:rPr>
            </m:ctrlPr>
          </m:accPr>
          <m:e>
            <m:r>
              <w:rPr>
                <w:rFonts w:ascii="Cambria Math" w:hAnsi="Cambria Math" w:cs="Times New Roman"/>
              </w:rPr>
              <m:t>R</m:t>
            </m:r>
          </m:e>
        </m:acc>
        <m:r>
          <w:rPr>
            <w:rFonts w:ascii="Cambria Math" w:hAnsi="Cambria Math" w:cs="Times New Roman"/>
          </w:rPr>
          <m:t>≈</m:t>
        </m:r>
      </m:oMath>
      <w:r w:rsidRPr="001F552E">
        <w:rPr>
          <w:rFonts w:ascii="Times New Roman" w:hAnsi="Times New Roman" w:cs="Times New Roman"/>
        </w:rPr>
        <w:t xml:space="preserve"> 1.00 and bulk ESS &gt; 400 across all monitored parameters.</w:t>
      </w:r>
    </w:p>
    <w:p w14:paraId="590D4C24" w14:textId="6CE5F9F0" w:rsidR="001F552E" w:rsidRDefault="001F552E" w:rsidP="001F552E">
      <w:pPr>
        <w:spacing w:line="480" w:lineRule="auto"/>
        <w:rPr>
          <w:rFonts w:ascii="Times New Roman" w:hAnsi="Times New Roman" w:cs="Times New Roman"/>
        </w:rPr>
      </w:pPr>
      <w:r>
        <w:rPr>
          <w:rFonts w:ascii="Times New Roman" w:hAnsi="Times New Roman" w:cs="Times New Roman"/>
        </w:rPr>
        <w:tab/>
      </w:r>
    </w:p>
    <w:p w14:paraId="68EC5CD3" w14:textId="1B6CAC3B" w:rsidR="001F552E" w:rsidRPr="00D85372" w:rsidRDefault="001F552E" w:rsidP="001F552E">
      <w:pPr>
        <w:spacing w:line="480" w:lineRule="auto"/>
        <w:rPr>
          <w:rFonts w:ascii="Times New Roman" w:hAnsi="Times New Roman" w:cs="Times New Roman"/>
          <w:b/>
          <w:bCs/>
        </w:rPr>
      </w:pPr>
      <w:r w:rsidRPr="00D85372">
        <w:rPr>
          <w:rFonts w:ascii="Times New Roman" w:hAnsi="Times New Roman" w:cs="Times New Roman"/>
          <w:b/>
          <w:bCs/>
        </w:rPr>
        <w:t>References</w:t>
      </w:r>
    </w:p>
    <w:p w14:paraId="12037561" w14:textId="77777777" w:rsidR="00502EE6" w:rsidRPr="00502EE6" w:rsidRDefault="001F552E" w:rsidP="00502EE6">
      <w:pPr>
        <w:pStyle w:val="af1"/>
        <w:rPr>
          <w:rFonts w:ascii="Times New Roman" w:hAnsi="Times New Roman" w:cs="Times New Roman"/>
        </w:rPr>
      </w:pPr>
      <w:r>
        <w:fldChar w:fldCharType="begin"/>
      </w:r>
      <w:r w:rsidR="00DC0072">
        <w:instrText xml:space="preserve"> ADDIN ZOTERO_BIBL {"uncited":[],"omitted":[],"custom":[]} CSL_BIBLIOGRAPHY </w:instrText>
      </w:r>
      <w:r>
        <w:fldChar w:fldCharType="separate"/>
      </w:r>
      <w:r w:rsidR="00502EE6" w:rsidRPr="00502EE6">
        <w:rPr>
          <w:rFonts w:ascii="Times New Roman" w:hAnsi="Times New Roman" w:cs="Times New Roman"/>
        </w:rPr>
        <w:t xml:space="preserve">Abril-Pla, O., Andreani, V., Carroll, C., Dong, L., Fonnesbeck, C. J., Kochurov, M., Kumar, R., Lao, J., Luhmann, C. C., Martin, O. A., Osthege, M., Vieira, R., Wiecki, T., &amp; Zinkov, R. (2023). PyMC: A modern, and comprehensive probabilistic programming framework in Python. </w:t>
      </w:r>
      <w:r w:rsidR="00502EE6" w:rsidRPr="00502EE6">
        <w:rPr>
          <w:rFonts w:ascii="Times New Roman" w:hAnsi="Times New Roman" w:cs="Times New Roman"/>
          <w:i/>
          <w:iCs/>
        </w:rPr>
        <w:t>PeerJ Computer Science</w:t>
      </w:r>
      <w:r w:rsidR="00502EE6" w:rsidRPr="00502EE6">
        <w:rPr>
          <w:rFonts w:ascii="Times New Roman" w:hAnsi="Times New Roman" w:cs="Times New Roman"/>
        </w:rPr>
        <w:t xml:space="preserve">, </w:t>
      </w:r>
      <w:r w:rsidR="00502EE6" w:rsidRPr="00502EE6">
        <w:rPr>
          <w:rFonts w:ascii="Times New Roman" w:hAnsi="Times New Roman" w:cs="Times New Roman"/>
          <w:i/>
          <w:iCs/>
        </w:rPr>
        <w:t>9</w:t>
      </w:r>
      <w:r w:rsidR="00502EE6" w:rsidRPr="00502EE6">
        <w:rPr>
          <w:rFonts w:ascii="Times New Roman" w:hAnsi="Times New Roman" w:cs="Times New Roman"/>
        </w:rPr>
        <w:t>, e1516. https://doi.org/10.7717/peerj-cs.1516</w:t>
      </w:r>
    </w:p>
    <w:p w14:paraId="29BACDE7" w14:textId="77777777" w:rsidR="00502EE6" w:rsidRPr="00502EE6" w:rsidRDefault="00502EE6" w:rsidP="00502EE6">
      <w:pPr>
        <w:pStyle w:val="af1"/>
        <w:rPr>
          <w:rFonts w:ascii="Times New Roman" w:hAnsi="Times New Roman" w:cs="Times New Roman"/>
        </w:rPr>
      </w:pPr>
      <w:r w:rsidRPr="00502EE6">
        <w:rPr>
          <w:rFonts w:ascii="Times New Roman" w:hAnsi="Times New Roman" w:cs="Times New Roman"/>
        </w:rPr>
        <w:t xml:space="preserve">Betancourt, M., &amp; Girolami, M. (2015). </w:t>
      </w:r>
      <w:r w:rsidRPr="00502EE6">
        <w:rPr>
          <w:rFonts w:ascii="Times New Roman" w:hAnsi="Times New Roman" w:cs="Times New Roman"/>
          <w:i/>
          <w:iCs/>
        </w:rPr>
        <w:t>Hamiltonian Monte Carlo for hierarchical models.</w:t>
      </w:r>
      <w:r w:rsidRPr="00502EE6">
        <w:rPr>
          <w:rFonts w:ascii="Times New Roman" w:hAnsi="Times New Roman" w:cs="Times New Roman"/>
        </w:rPr>
        <w:t xml:space="preserve"> (1st Edition). Chapman and Hall/CRC.</w:t>
      </w:r>
    </w:p>
    <w:p w14:paraId="7E79D6B7" w14:textId="77777777" w:rsidR="00502EE6" w:rsidRPr="00502EE6" w:rsidRDefault="00502EE6" w:rsidP="00502EE6">
      <w:pPr>
        <w:pStyle w:val="af1"/>
        <w:rPr>
          <w:rFonts w:ascii="Times New Roman" w:hAnsi="Times New Roman" w:cs="Times New Roman"/>
        </w:rPr>
      </w:pPr>
      <w:r w:rsidRPr="00502EE6">
        <w:rPr>
          <w:rFonts w:ascii="Times New Roman" w:hAnsi="Times New Roman" w:cs="Times New Roman"/>
        </w:rPr>
        <w:t xml:space="preserve">Coppedge, M., Gerring, J., Knutsen, C. H., Lindberg, S. I., Teorell, J., Altman, D., Angiolillo, F., Bernhard, M., Cornell, A., Fish, M. S., Fox, L., Gastaldi, L., </w:t>
      </w:r>
      <w:r w:rsidRPr="00502EE6">
        <w:rPr>
          <w:rFonts w:ascii="Times New Roman" w:hAnsi="Times New Roman" w:cs="Times New Roman"/>
        </w:rPr>
        <w:lastRenderedPageBreak/>
        <w:t xml:space="preserve">Gjerløw, H., Glynn, A., God, A. G., Grahn, S., Hicken, A., Kinzelbach, K., Marquardt, K. L., … Ziblatt, D. (2025). </w:t>
      </w:r>
      <w:r w:rsidRPr="00502EE6">
        <w:rPr>
          <w:rFonts w:ascii="Times New Roman" w:hAnsi="Times New Roman" w:cs="Times New Roman"/>
          <w:i/>
          <w:iCs/>
        </w:rPr>
        <w:t>V-Dem [country–year/country–date] dataset</w:t>
      </w:r>
      <w:r w:rsidRPr="00502EE6">
        <w:rPr>
          <w:rFonts w:ascii="Times New Roman" w:hAnsi="Times New Roman" w:cs="Times New Roman"/>
        </w:rPr>
        <w:t xml:space="preserve"> [Dataset]. Varieties of Democracy (V-Dem) Institute. https://www.v-dem.net/data/the-v-dem-dataset/country-year-v-dem-fullothers-v15/</w:t>
      </w:r>
    </w:p>
    <w:p w14:paraId="232F3117" w14:textId="77777777" w:rsidR="00502EE6" w:rsidRPr="00502EE6" w:rsidRDefault="00502EE6" w:rsidP="00502EE6">
      <w:pPr>
        <w:pStyle w:val="af1"/>
        <w:rPr>
          <w:rFonts w:ascii="Times New Roman" w:hAnsi="Times New Roman" w:cs="Times New Roman"/>
        </w:rPr>
      </w:pPr>
      <w:r w:rsidRPr="00502EE6">
        <w:rPr>
          <w:rFonts w:ascii="Times New Roman" w:hAnsi="Times New Roman" w:cs="Times New Roman"/>
        </w:rPr>
        <w:t xml:space="preserve">Currie, T. E., &amp; Mace, R. (2012). Analyses do not support the parasite-stress theory of human sociality. </w:t>
      </w:r>
      <w:r w:rsidRPr="00502EE6">
        <w:rPr>
          <w:rFonts w:ascii="Times New Roman" w:hAnsi="Times New Roman" w:cs="Times New Roman"/>
          <w:i/>
          <w:iCs/>
        </w:rPr>
        <w:t>Behavioral and Brain Sciences</w:t>
      </w:r>
      <w:r w:rsidRPr="00502EE6">
        <w:rPr>
          <w:rFonts w:ascii="Times New Roman" w:hAnsi="Times New Roman" w:cs="Times New Roman"/>
        </w:rPr>
        <w:t xml:space="preserve">, </w:t>
      </w:r>
      <w:r w:rsidRPr="00502EE6">
        <w:rPr>
          <w:rFonts w:ascii="Times New Roman" w:hAnsi="Times New Roman" w:cs="Times New Roman"/>
          <w:i/>
          <w:iCs/>
        </w:rPr>
        <w:t>35</w:t>
      </w:r>
      <w:r w:rsidRPr="00502EE6">
        <w:rPr>
          <w:rFonts w:ascii="Times New Roman" w:hAnsi="Times New Roman" w:cs="Times New Roman"/>
        </w:rPr>
        <w:t>(2), 83–85. https://doi.org/10.1017/S0140525X11000963</w:t>
      </w:r>
    </w:p>
    <w:p w14:paraId="647B1226" w14:textId="77777777" w:rsidR="00502EE6" w:rsidRPr="00502EE6" w:rsidRDefault="00502EE6" w:rsidP="00502EE6">
      <w:pPr>
        <w:pStyle w:val="af1"/>
        <w:rPr>
          <w:rFonts w:ascii="Times New Roman" w:hAnsi="Times New Roman" w:cs="Times New Roman"/>
        </w:rPr>
      </w:pPr>
      <w:r w:rsidRPr="00502EE6">
        <w:rPr>
          <w:rFonts w:ascii="Times New Roman" w:hAnsi="Times New Roman" w:cs="Times New Roman"/>
        </w:rPr>
        <w:t xml:space="preserve">Gelman, A., Jakulin, A., Pittau, M. G., &amp; Su, Y.-S. (2008). A weakly informative default prior distribution for logistic and other regression models. </w:t>
      </w:r>
      <w:r w:rsidRPr="00502EE6">
        <w:rPr>
          <w:rFonts w:ascii="Times New Roman" w:hAnsi="Times New Roman" w:cs="Times New Roman"/>
          <w:i/>
          <w:iCs/>
        </w:rPr>
        <w:t>The Annals of Applied Statistics</w:t>
      </w:r>
      <w:r w:rsidRPr="00502EE6">
        <w:rPr>
          <w:rFonts w:ascii="Times New Roman" w:hAnsi="Times New Roman" w:cs="Times New Roman"/>
        </w:rPr>
        <w:t xml:space="preserve">, </w:t>
      </w:r>
      <w:r w:rsidRPr="00502EE6">
        <w:rPr>
          <w:rFonts w:ascii="Times New Roman" w:hAnsi="Times New Roman" w:cs="Times New Roman"/>
          <w:i/>
          <w:iCs/>
        </w:rPr>
        <w:t>2</w:t>
      </w:r>
      <w:r w:rsidRPr="00502EE6">
        <w:rPr>
          <w:rFonts w:ascii="Times New Roman" w:hAnsi="Times New Roman" w:cs="Times New Roman"/>
        </w:rPr>
        <w:t>(4). https://doi.org/10.1214/08-AOAS191</w:t>
      </w:r>
    </w:p>
    <w:p w14:paraId="607430FE" w14:textId="77777777" w:rsidR="00502EE6" w:rsidRPr="00502EE6" w:rsidRDefault="00502EE6" w:rsidP="00502EE6">
      <w:pPr>
        <w:pStyle w:val="af1"/>
        <w:rPr>
          <w:rFonts w:ascii="Times New Roman" w:hAnsi="Times New Roman" w:cs="Times New Roman"/>
        </w:rPr>
      </w:pPr>
      <w:r w:rsidRPr="00502EE6">
        <w:rPr>
          <w:rFonts w:ascii="Times New Roman" w:hAnsi="Times New Roman" w:cs="Times New Roman"/>
        </w:rPr>
        <w:t xml:space="preserve">Hale, T., Angrist, N., Goldszmidt, R., Kira, B., Petherick, A., Phillips, T., Webster, S., Cameron-Blake, E., Hallas, L., Majumdar, S., &amp; Tatlow, H. (2021). A global panel database of pandemic policies (Oxford COVID-19 Government Response Tracker). </w:t>
      </w:r>
      <w:r w:rsidRPr="00502EE6">
        <w:rPr>
          <w:rFonts w:ascii="Times New Roman" w:hAnsi="Times New Roman" w:cs="Times New Roman"/>
          <w:i/>
          <w:iCs/>
        </w:rPr>
        <w:t>Nature Human Behaviour</w:t>
      </w:r>
      <w:r w:rsidRPr="00502EE6">
        <w:rPr>
          <w:rFonts w:ascii="Times New Roman" w:hAnsi="Times New Roman" w:cs="Times New Roman"/>
        </w:rPr>
        <w:t xml:space="preserve">, </w:t>
      </w:r>
      <w:r w:rsidRPr="00502EE6">
        <w:rPr>
          <w:rFonts w:ascii="Times New Roman" w:hAnsi="Times New Roman" w:cs="Times New Roman"/>
          <w:i/>
          <w:iCs/>
        </w:rPr>
        <w:t>5</w:t>
      </w:r>
      <w:r w:rsidRPr="00502EE6">
        <w:rPr>
          <w:rFonts w:ascii="Times New Roman" w:hAnsi="Times New Roman" w:cs="Times New Roman"/>
        </w:rPr>
        <w:t>(4), 529–538. https://doi.org/10.1038/s41562-021-01079-8</w:t>
      </w:r>
    </w:p>
    <w:p w14:paraId="64885D68" w14:textId="77777777" w:rsidR="00502EE6" w:rsidRPr="00502EE6" w:rsidRDefault="00502EE6" w:rsidP="00502EE6">
      <w:pPr>
        <w:pStyle w:val="af1"/>
        <w:rPr>
          <w:rFonts w:ascii="Times New Roman" w:hAnsi="Times New Roman" w:cs="Times New Roman"/>
        </w:rPr>
      </w:pPr>
      <w:r w:rsidRPr="00502EE6">
        <w:rPr>
          <w:rFonts w:ascii="Times New Roman" w:hAnsi="Times New Roman" w:cs="Times New Roman"/>
        </w:rPr>
        <w:t xml:space="preserve">Hoffman, M. D., &amp; Gelman, A. (2014). The No-U-Turn sampler: Adaptively setting path lengths in Hamiltonian Monte Carlo. </w:t>
      </w:r>
      <w:r w:rsidRPr="00502EE6">
        <w:rPr>
          <w:rFonts w:ascii="Times New Roman" w:hAnsi="Times New Roman" w:cs="Times New Roman"/>
          <w:i/>
          <w:iCs/>
        </w:rPr>
        <w:t>Journal of Machine Learning Research</w:t>
      </w:r>
      <w:r w:rsidRPr="00502EE6">
        <w:rPr>
          <w:rFonts w:ascii="Times New Roman" w:hAnsi="Times New Roman" w:cs="Times New Roman"/>
        </w:rPr>
        <w:t xml:space="preserve">, </w:t>
      </w:r>
      <w:r w:rsidRPr="00502EE6">
        <w:rPr>
          <w:rFonts w:ascii="Times New Roman" w:hAnsi="Times New Roman" w:cs="Times New Roman"/>
          <w:i/>
          <w:iCs/>
        </w:rPr>
        <w:t>15</w:t>
      </w:r>
      <w:r w:rsidRPr="00502EE6">
        <w:rPr>
          <w:rFonts w:ascii="Times New Roman" w:hAnsi="Times New Roman" w:cs="Times New Roman"/>
        </w:rPr>
        <w:t>(47), 1593-1623.</w:t>
      </w:r>
    </w:p>
    <w:p w14:paraId="5E745684" w14:textId="77777777" w:rsidR="00502EE6" w:rsidRPr="00502EE6" w:rsidRDefault="00502EE6" w:rsidP="00502EE6">
      <w:pPr>
        <w:pStyle w:val="af1"/>
        <w:rPr>
          <w:rFonts w:ascii="Times New Roman" w:hAnsi="Times New Roman" w:cs="Times New Roman"/>
        </w:rPr>
      </w:pPr>
      <w:r w:rsidRPr="00502EE6">
        <w:rPr>
          <w:rFonts w:ascii="Times New Roman" w:hAnsi="Times New Roman" w:cs="Times New Roman"/>
        </w:rPr>
        <w:lastRenderedPageBreak/>
        <w:t xml:space="preserve">Kumar, R., Carroll, C., Hartikainen, A., &amp; Martin, O. (2019). ArviZ a unified library for exploratory analysis of Bayesian models in Python. </w:t>
      </w:r>
      <w:r w:rsidRPr="00502EE6">
        <w:rPr>
          <w:rFonts w:ascii="Times New Roman" w:hAnsi="Times New Roman" w:cs="Times New Roman"/>
          <w:i/>
          <w:iCs/>
        </w:rPr>
        <w:t>Journal of Open Source Software</w:t>
      </w:r>
      <w:r w:rsidRPr="00502EE6">
        <w:rPr>
          <w:rFonts w:ascii="Times New Roman" w:hAnsi="Times New Roman" w:cs="Times New Roman"/>
        </w:rPr>
        <w:t xml:space="preserve">, </w:t>
      </w:r>
      <w:r w:rsidRPr="00502EE6">
        <w:rPr>
          <w:rFonts w:ascii="Times New Roman" w:hAnsi="Times New Roman" w:cs="Times New Roman"/>
          <w:i/>
          <w:iCs/>
        </w:rPr>
        <w:t>4</w:t>
      </w:r>
      <w:r w:rsidRPr="00502EE6">
        <w:rPr>
          <w:rFonts w:ascii="Times New Roman" w:hAnsi="Times New Roman" w:cs="Times New Roman"/>
        </w:rPr>
        <w:t>(33), 1143. https://doi.org/10.21105/joss.01143</w:t>
      </w:r>
    </w:p>
    <w:p w14:paraId="3027E9D5" w14:textId="77777777" w:rsidR="00502EE6" w:rsidRPr="00502EE6" w:rsidRDefault="00502EE6" w:rsidP="00502EE6">
      <w:pPr>
        <w:pStyle w:val="af1"/>
        <w:rPr>
          <w:rFonts w:ascii="Times New Roman" w:hAnsi="Times New Roman" w:cs="Times New Roman"/>
        </w:rPr>
      </w:pPr>
      <w:r w:rsidRPr="00502EE6">
        <w:rPr>
          <w:rFonts w:ascii="Times New Roman" w:hAnsi="Times New Roman" w:cs="Times New Roman"/>
        </w:rPr>
        <w:t xml:space="preserve">Mathieu, E., Ritchie, H., Ortiz-Ospina, E., Roser, M., Hasell, J., Appel, C., Giattino, C., &amp; Rodés-Guirao, L. (2021). A global database of COVID-19 vaccinations. </w:t>
      </w:r>
      <w:r w:rsidRPr="00502EE6">
        <w:rPr>
          <w:rFonts w:ascii="Times New Roman" w:hAnsi="Times New Roman" w:cs="Times New Roman"/>
          <w:i/>
          <w:iCs/>
        </w:rPr>
        <w:t>Nature Human Behaviour</w:t>
      </w:r>
      <w:r w:rsidRPr="00502EE6">
        <w:rPr>
          <w:rFonts w:ascii="Times New Roman" w:hAnsi="Times New Roman" w:cs="Times New Roman"/>
        </w:rPr>
        <w:t xml:space="preserve">, </w:t>
      </w:r>
      <w:r w:rsidRPr="00502EE6">
        <w:rPr>
          <w:rFonts w:ascii="Times New Roman" w:hAnsi="Times New Roman" w:cs="Times New Roman"/>
          <w:i/>
          <w:iCs/>
        </w:rPr>
        <w:t>5</w:t>
      </w:r>
      <w:r w:rsidRPr="00502EE6">
        <w:rPr>
          <w:rFonts w:ascii="Times New Roman" w:hAnsi="Times New Roman" w:cs="Times New Roman"/>
        </w:rPr>
        <w:t>(7), 947–953. https://doi.org/10.1038/s41562-021-01122-8</w:t>
      </w:r>
    </w:p>
    <w:p w14:paraId="06426F18" w14:textId="77777777" w:rsidR="00502EE6" w:rsidRPr="00502EE6" w:rsidRDefault="00502EE6" w:rsidP="00502EE6">
      <w:pPr>
        <w:pStyle w:val="af1"/>
        <w:rPr>
          <w:rFonts w:ascii="Times New Roman" w:hAnsi="Times New Roman" w:cs="Times New Roman"/>
        </w:rPr>
      </w:pPr>
      <w:r w:rsidRPr="00502EE6">
        <w:rPr>
          <w:rFonts w:ascii="Times New Roman" w:hAnsi="Times New Roman" w:cs="Times New Roman"/>
        </w:rPr>
        <w:t xml:space="preserve">Vehtari, A., Gelman, A., Simpson, D., Carpenter, B., &amp; Bürkner, P.-C. (2021). Rank-normalization, folding, and localization: An improved rˆ for assessing convergence of MCMC (with discussion). </w:t>
      </w:r>
      <w:r w:rsidRPr="00502EE6">
        <w:rPr>
          <w:rFonts w:ascii="Times New Roman" w:hAnsi="Times New Roman" w:cs="Times New Roman"/>
          <w:i/>
          <w:iCs/>
        </w:rPr>
        <w:t>Bayesian Analysis</w:t>
      </w:r>
      <w:r w:rsidRPr="00502EE6">
        <w:rPr>
          <w:rFonts w:ascii="Times New Roman" w:hAnsi="Times New Roman" w:cs="Times New Roman"/>
        </w:rPr>
        <w:t xml:space="preserve">, </w:t>
      </w:r>
      <w:r w:rsidRPr="00502EE6">
        <w:rPr>
          <w:rFonts w:ascii="Times New Roman" w:hAnsi="Times New Roman" w:cs="Times New Roman"/>
          <w:i/>
          <w:iCs/>
        </w:rPr>
        <w:t>16</w:t>
      </w:r>
      <w:r w:rsidRPr="00502EE6">
        <w:rPr>
          <w:rFonts w:ascii="Times New Roman" w:hAnsi="Times New Roman" w:cs="Times New Roman"/>
        </w:rPr>
        <w:t>(2). https://doi.org/10.1214/20-BA1221</w:t>
      </w:r>
    </w:p>
    <w:p w14:paraId="6E703A37" w14:textId="3DAC8F9C" w:rsidR="00D85372" w:rsidRDefault="001F552E" w:rsidP="00502EE6">
      <w:pPr>
        <w:pStyle w:val="af1"/>
        <w:rPr>
          <w:rFonts w:ascii="Times New Roman" w:hAnsi="Times New Roman" w:cs="Times New Roman"/>
        </w:rPr>
        <w:sectPr w:rsidR="00D85372" w:rsidSect="001D51D2">
          <w:footerReference w:type="even" r:id="rId7"/>
          <w:footerReference w:type="default" r:id="rId8"/>
          <w:pgSz w:w="11906" w:h="16838"/>
          <w:pgMar w:top="1985" w:right="1701" w:bottom="1701" w:left="1701" w:header="851" w:footer="992" w:gutter="0"/>
          <w:lnNumType w:countBy="1" w:restart="continuous"/>
          <w:cols w:space="425"/>
          <w:docGrid w:type="lines" w:linePitch="360"/>
        </w:sectPr>
      </w:pPr>
      <w:r>
        <w:rPr>
          <w:rFonts w:ascii="Times New Roman" w:hAnsi="Times New Roman" w:cs="Times New Roman"/>
        </w:rPr>
        <w:fldChar w:fldCharType="end"/>
      </w:r>
    </w:p>
    <w:p w14:paraId="46BCA635" w14:textId="73D5FA6B" w:rsidR="001F552E" w:rsidRDefault="00D85372" w:rsidP="00D85372">
      <w:pPr>
        <w:rPr>
          <w:rFonts w:ascii="Times New Roman" w:hAnsi="Times New Roman" w:cs="Times New Roman"/>
        </w:rPr>
      </w:pPr>
      <w:r w:rsidRPr="00D85372">
        <w:rPr>
          <w:rFonts w:ascii="Times New Roman" w:hAnsi="Times New Roman" w:cs="Times New Roman"/>
          <w:b/>
          <w:bCs/>
        </w:rPr>
        <w:lastRenderedPageBreak/>
        <w:t>Supplementary Table S1.</w:t>
      </w:r>
      <w:r>
        <w:rPr>
          <w:rFonts w:ascii="Times New Roman" w:hAnsi="Times New Roman" w:cs="Times New Roman"/>
        </w:rPr>
        <w:t xml:space="preserve"> </w:t>
      </w:r>
      <w:r w:rsidRPr="00D85372">
        <w:rPr>
          <w:rFonts w:ascii="Times New Roman" w:hAnsi="Times New Roman" w:cs="Times New Roman"/>
        </w:rPr>
        <w:t xml:space="preserve">Posterior summaries of the Hierarchical Bayesian Dynamic Panel Model with two-year within-country lags (Lag-2 sensitivity specification). </w:t>
      </w:r>
    </w:p>
    <w:tbl>
      <w:tblPr>
        <w:tblW w:w="9425" w:type="dxa"/>
        <w:jc w:val="center"/>
        <w:tblCellMar>
          <w:left w:w="99" w:type="dxa"/>
          <w:right w:w="99" w:type="dxa"/>
        </w:tblCellMar>
        <w:tblLook w:val="04A0" w:firstRow="1" w:lastRow="0" w:firstColumn="1" w:lastColumn="0" w:noHBand="0" w:noVBand="1"/>
      </w:tblPr>
      <w:tblGrid>
        <w:gridCol w:w="1625"/>
        <w:gridCol w:w="1300"/>
        <w:gridCol w:w="1300"/>
        <w:gridCol w:w="1300"/>
        <w:gridCol w:w="1300"/>
        <w:gridCol w:w="1300"/>
        <w:gridCol w:w="1300"/>
      </w:tblGrid>
      <w:tr w:rsidR="00D85372" w14:paraId="239051CE" w14:textId="77777777" w:rsidTr="00E738D6">
        <w:trPr>
          <w:trHeight w:val="320"/>
          <w:jc w:val="center"/>
        </w:trPr>
        <w:tc>
          <w:tcPr>
            <w:tcW w:w="1625" w:type="dxa"/>
            <w:tcBorders>
              <w:top w:val="single" w:sz="4" w:space="0" w:color="auto"/>
              <w:left w:val="nil"/>
              <w:bottom w:val="single" w:sz="4" w:space="0" w:color="auto"/>
              <w:right w:val="nil"/>
            </w:tcBorders>
            <w:noWrap/>
            <w:vAlign w:val="center"/>
            <w:hideMark/>
          </w:tcPr>
          <w:p w14:paraId="54A9D757" w14:textId="77777777" w:rsidR="00D85372" w:rsidRDefault="00D85372" w:rsidP="00D85372">
            <w:pPr>
              <w:rPr>
                <w:rFonts w:ascii="TimesNewRomanPSMT" w:hAnsi="TimesNewRomanPSMT" w:hint="eastAsia"/>
                <w:color w:val="000000"/>
              </w:rPr>
            </w:pPr>
            <w:r>
              <w:rPr>
                <w:rFonts w:ascii="TimesNewRomanPSMT" w:hAnsi="TimesNewRomanPSMT"/>
                <w:color w:val="000000"/>
              </w:rPr>
              <w:t xml:space="preserve">　</w:t>
            </w:r>
          </w:p>
        </w:tc>
        <w:tc>
          <w:tcPr>
            <w:tcW w:w="1300" w:type="dxa"/>
            <w:tcBorders>
              <w:top w:val="single" w:sz="4" w:space="0" w:color="auto"/>
              <w:left w:val="nil"/>
              <w:bottom w:val="single" w:sz="4" w:space="0" w:color="auto"/>
              <w:right w:val="nil"/>
            </w:tcBorders>
            <w:noWrap/>
            <w:vAlign w:val="center"/>
            <w:hideMark/>
          </w:tcPr>
          <w:p w14:paraId="12B6F6F4" w14:textId="77777777" w:rsidR="00D85372" w:rsidRDefault="00D85372" w:rsidP="00D85372">
            <w:pPr>
              <w:rPr>
                <w:rFonts w:ascii="TimesNewRomanPSMT" w:hAnsi="TimesNewRomanPSMT" w:hint="eastAsia"/>
                <w:color w:val="000000"/>
              </w:rPr>
            </w:pPr>
            <w:r>
              <w:rPr>
                <w:rFonts w:ascii="TimesNewRomanPSMT" w:hAnsi="TimesNewRomanPSMT"/>
                <w:color w:val="000000"/>
              </w:rPr>
              <w:t>mean</w:t>
            </w:r>
          </w:p>
        </w:tc>
        <w:tc>
          <w:tcPr>
            <w:tcW w:w="1300" w:type="dxa"/>
            <w:tcBorders>
              <w:top w:val="single" w:sz="4" w:space="0" w:color="auto"/>
              <w:left w:val="nil"/>
              <w:bottom w:val="single" w:sz="4" w:space="0" w:color="auto"/>
              <w:right w:val="nil"/>
            </w:tcBorders>
            <w:noWrap/>
            <w:vAlign w:val="center"/>
            <w:hideMark/>
          </w:tcPr>
          <w:p w14:paraId="102CBA06" w14:textId="77777777" w:rsidR="00D85372" w:rsidRDefault="00D85372" w:rsidP="00D85372">
            <w:pPr>
              <w:rPr>
                <w:rFonts w:ascii="TimesNewRomanPSMT" w:hAnsi="TimesNewRomanPSMT" w:hint="eastAsia"/>
                <w:color w:val="000000"/>
              </w:rPr>
            </w:pPr>
            <w:proofErr w:type="spellStart"/>
            <w:r>
              <w:rPr>
                <w:rFonts w:ascii="TimesNewRomanPSMT" w:hAnsi="TimesNewRomanPSMT"/>
                <w:color w:val="000000"/>
              </w:rPr>
              <w:t>sd</w:t>
            </w:r>
            <w:proofErr w:type="spellEnd"/>
          </w:p>
        </w:tc>
        <w:tc>
          <w:tcPr>
            <w:tcW w:w="1300" w:type="dxa"/>
            <w:tcBorders>
              <w:top w:val="single" w:sz="4" w:space="0" w:color="auto"/>
              <w:left w:val="nil"/>
              <w:bottom w:val="single" w:sz="4" w:space="0" w:color="auto"/>
              <w:right w:val="nil"/>
            </w:tcBorders>
            <w:noWrap/>
            <w:vAlign w:val="center"/>
            <w:hideMark/>
          </w:tcPr>
          <w:p w14:paraId="1EE92151" w14:textId="07699F42" w:rsidR="00D85372" w:rsidRDefault="00D85372" w:rsidP="00D85372">
            <w:pPr>
              <w:rPr>
                <w:rFonts w:ascii="TimesNewRomanPSMT" w:hAnsi="TimesNewRomanPSMT" w:hint="eastAsia"/>
                <w:color w:val="000000"/>
              </w:rPr>
            </w:pPr>
            <w:r>
              <w:rPr>
                <w:rFonts w:ascii="TimesNewRomanPSMT" w:hAnsi="TimesNewRomanPSMT"/>
                <w:color w:val="000000"/>
              </w:rPr>
              <w:t>hdi_</w:t>
            </w:r>
            <w:r w:rsidR="00E93C41">
              <w:rPr>
                <w:rFonts w:ascii="TimesNewRomanPSMT" w:hAnsi="TimesNewRomanPSMT"/>
                <w:color w:val="000000"/>
              </w:rPr>
              <w:t>2.5</w:t>
            </w:r>
            <w:r>
              <w:rPr>
                <w:rFonts w:ascii="TimesNewRomanPSMT" w:hAnsi="TimesNewRomanPSMT"/>
                <w:color w:val="000000"/>
              </w:rPr>
              <w:t>%</w:t>
            </w:r>
          </w:p>
        </w:tc>
        <w:tc>
          <w:tcPr>
            <w:tcW w:w="1300" w:type="dxa"/>
            <w:tcBorders>
              <w:top w:val="single" w:sz="4" w:space="0" w:color="auto"/>
              <w:left w:val="nil"/>
              <w:bottom w:val="single" w:sz="4" w:space="0" w:color="auto"/>
              <w:right w:val="nil"/>
            </w:tcBorders>
            <w:noWrap/>
            <w:vAlign w:val="center"/>
            <w:hideMark/>
          </w:tcPr>
          <w:p w14:paraId="70AFEF8C" w14:textId="18101809" w:rsidR="00D85372" w:rsidRDefault="00D85372" w:rsidP="00D85372">
            <w:pPr>
              <w:rPr>
                <w:rFonts w:ascii="TimesNewRomanPSMT" w:hAnsi="TimesNewRomanPSMT" w:hint="eastAsia"/>
                <w:color w:val="000000"/>
              </w:rPr>
            </w:pPr>
            <w:r>
              <w:rPr>
                <w:rFonts w:ascii="TimesNewRomanPSMT" w:hAnsi="TimesNewRomanPSMT"/>
                <w:color w:val="000000"/>
              </w:rPr>
              <w:t>hdi_97</w:t>
            </w:r>
            <w:r w:rsidR="00E93C41">
              <w:rPr>
                <w:rFonts w:ascii="TimesNewRomanPSMT" w:hAnsi="TimesNewRomanPSMT"/>
                <w:color w:val="000000"/>
              </w:rPr>
              <w:t>.5</w:t>
            </w:r>
            <w:r>
              <w:rPr>
                <w:rFonts w:ascii="TimesNewRomanPSMT" w:hAnsi="TimesNewRomanPSMT"/>
                <w:color w:val="000000"/>
              </w:rPr>
              <w:t>%</w:t>
            </w:r>
          </w:p>
        </w:tc>
        <w:tc>
          <w:tcPr>
            <w:tcW w:w="1300" w:type="dxa"/>
            <w:tcBorders>
              <w:top w:val="single" w:sz="4" w:space="0" w:color="auto"/>
              <w:left w:val="nil"/>
              <w:bottom w:val="single" w:sz="4" w:space="0" w:color="auto"/>
              <w:right w:val="nil"/>
            </w:tcBorders>
            <w:noWrap/>
            <w:vAlign w:val="center"/>
            <w:hideMark/>
          </w:tcPr>
          <w:p w14:paraId="2885C6DF" w14:textId="77777777" w:rsidR="00D85372" w:rsidRDefault="00D85372" w:rsidP="00D85372">
            <w:pPr>
              <w:rPr>
                <w:rFonts w:ascii="TimesNewRomanPSMT" w:hAnsi="TimesNewRomanPSMT" w:hint="eastAsia"/>
                <w:color w:val="000000"/>
              </w:rPr>
            </w:pPr>
            <w:proofErr w:type="spellStart"/>
            <w:r>
              <w:rPr>
                <w:rFonts w:ascii="TimesNewRomanPSMT" w:hAnsi="TimesNewRomanPSMT"/>
                <w:color w:val="000000"/>
              </w:rPr>
              <w:t>ess_bulk</w:t>
            </w:r>
            <w:proofErr w:type="spellEnd"/>
          </w:p>
        </w:tc>
        <w:tc>
          <w:tcPr>
            <w:tcW w:w="1300" w:type="dxa"/>
            <w:tcBorders>
              <w:top w:val="single" w:sz="4" w:space="0" w:color="auto"/>
              <w:left w:val="nil"/>
              <w:bottom w:val="single" w:sz="4" w:space="0" w:color="auto"/>
              <w:right w:val="nil"/>
            </w:tcBorders>
            <w:noWrap/>
            <w:vAlign w:val="center"/>
            <w:hideMark/>
          </w:tcPr>
          <w:p w14:paraId="2F2B19FA" w14:textId="77777777" w:rsidR="00D85372" w:rsidRDefault="00D85372" w:rsidP="00D85372">
            <w:pPr>
              <w:rPr>
                <w:rFonts w:ascii="TimesNewRomanPSMT" w:hAnsi="TimesNewRomanPSMT" w:hint="eastAsia"/>
                <w:color w:val="000000"/>
              </w:rPr>
            </w:pPr>
            <w:proofErr w:type="spellStart"/>
            <w:r>
              <w:rPr>
                <w:rFonts w:ascii="TimesNewRomanPSMT" w:hAnsi="TimesNewRomanPSMT"/>
                <w:color w:val="000000"/>
              </w:rPr>
              <w:t>r_hat</w:t>
            </w:r>
            <w:proofErr w:type="spellEnd"/>
          </w:p>
        </w:tc>
      </w:tr>
      <w:tr w:rsidR="009D542B" w14:paraId="38386B49" w14:textId="77777777" w:rsidTr="00E738D6">
        <w:trPr>
          <w:trHeight w:val="320"/>
          <w:jc w:val="center"/>
        </w:trPr>
        <w:tc>
          <w:tcPr>
            <w:tcW w:w="1625" w:type="dxa"/>
            <w:tcBorders>
              <w:top w:val="nil"/>
              <w:left w:val="nil"/>
              <w:bottom w:val="nil"/>
              <w:right w:val="nil"/>
            </w:tcBorders>
            <w:noWrap/>
            <w:vAlign w:val="center"/>
            <w:hideMark/>
          </w:tcPr>
          <w:p w14:paraId="729F1856" w14:textId="3ACDA6C3" w:rsidR="009D542B" w:rsidRDefault="009D542B" w:rsidP="009D542B">
            <w:pPr>
              <w:rPr>
                <w:rFonts w:ascii="TimesNewRomanPSMT" w:hAnsi="TimesNewRomanPSMT" w:hint="eastAsia"/>
                <w:color w:val="000000"/>
              </w:rPr>
            </w:pPr>
            <m:oMathPara>
              <m:oMath>
                <m:r>
                  <w:rPr>
                    <w:rFonts w:ascii="Cambria Math" w:hAnsi="Cambria Math" w:cs="Times New Roman"/>
                  </w:rPr>
                  <m:t>ϕ</m:t>
                </m:r>
              </m:oMath>
            </m:oMathPara>
          </w:p>
        </w:tc>
        <w:tc>
          <w:tcPr>
            <w:tcW w:w="1300" w:type="dxa"/>
            <w:tcBorders>
              <w:top w:val="nil"/>
              <w:left w:val="nil"/>
              <w:bottom w:val="nil"/>
              <w:right w:val="nil"/>
            </w:tcBorders>
            <w:noWrap/>
            <w:vAlign w:val="center"/>
            <w:hideMark/>
          </w:tcPr>
          <w:p w14:paraId="5C75868A" w14:textId="59D4D2EF"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1.14 </w:t>
            </w:r>
          </w:p>
        </w:tc>
        <w:tc>
          <w:tcPr>
            <w:tcW w:w="1300" w:type="dxa"/>
            <w:tcBorders>
              <w:top w:val="nil"/>
              <w:left w:val="nil"/>
              <w:bottom w:val="nil"/>
              <w:right w:val="nil"/>
            </w:tcBorders>
            <w:noWrap/>
            <w:vAlign w:val="center"/>
            <w:hideMark/>
          </w:tcPr>
          <w:p w14:paraId="23B73A2B" w14:textId="7A0B0E7A"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0.09 </w:t>
            </w:r>
          </w:p>
        </w:tc>
        <w:tc>
          <w:tcPr>
            <w:tcW w:w="1300" w:type="dxa"/>
            <w:tcBorders>
              <w:top w:val="nil"/>
              <w:left w:val="nil"/>
              <w:bottom w:val="nil"/>
              <w:right w:val="nil"/>
            </w:tcBorders>
            <w:noWrap/>
            <w:vAlign w:val="center"/>
            <w:hideMark/>
          </w:tcPr>
          <w:p w14:paraId="473F5BE3" w14:textId="62FE8A7D"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0.95 </w:t>
            </w:r>
          </w:p>
        </w:tc>
        <w:tc>
          <w:tcPr>
            <w:tcW w:w="1300" w:type="dxa"/>
            <w:tcBorders>
              <w:top w:val="nil"/>
              <w:left w:val="nil"/>
              <w:bottom w:val="nil"/>
              <w:right w:val="nil"/>
            </w:tcBorders>
            <w:noWrap/>
            <w:vAlign w:val="center"/>
            <w:hideMark/>
          </w:tcPr>
          <w:p w14:paraId="64B4EC41" w14:textId="0D68E521"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1.31 </w:t>
            </w:r>
          </w:p>
        </w:tc>
        <w:tc>
          <w:tcPr>
            <w:tcW w:w="1300" w:type="dxa"/>
            <w:tcBorders>
              <w:top w:val="nil"/>
              <w:left w:val="nil"/>
              <w:bottom w:val="nil"/>
              <w:right w:val="nil"/>
            </w:tcBorders>
            <w:noWrap/>
            <w:vAlign w:val="center"/>
            <w:hideMark/>
          </w:tcPr>
          <w:p w14:paraId="0BD85CD2" w14:textId="439EB5B5"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2518.00 </w:t>
            </w:r>
          </w:p>
        </w:tc>
        <w:tc>
          <w:tcPr>
            <w:tcW w:w="1300" w:type="dxa"/>
            <w:tcBorders>
              <w:top w:val="nil"/>
              <w:left w:val="nil"/>
              <w:bottom w:val="nil"/>
              <w:right w:val="nil"/>
            </w:tcBorders>
            <w:noWrap/>
            <w:vAlign w:val="center"/>
            <w:hideMark/>
          </w:tcPr>
          <w:p w14:paraId="066DAAA7"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1ACD8113" w14:textId="77777777" w:rsidTr="00E738D6">
        <w:trPr>
          <w:trHeight w:val="320"/>
          <w:jc w:val="center"/>
        </w:trPr>
        <w:tc>
          <w:tcPr>
            <w:tcW w:w="1625" w:type="dxa"/>
            <w:tcBorders>
              <w:top w:val="nil"/>
              <w:left w:val="nil"/>
              <w:bottom w:val="nil"/>
              <w:right w:val="nil"/>
            </w:tcBorders>
            <w:noWrap/>
            <w:vAlign w:val="center"/>
            <w:hideMark/>
          </w:tcPr>
          <w:p w14:paraId="6778A636" w14:textId="2658291B" w:rsidR="009D542B" w:rsidRDefault="009D542B" w:rsidP="009D542B">
            <w:pPr>
              <w:rPr>
                <w:rFonts w:ascii="TimesNewRomanPSMT" w:hAnsi="TimesNewRomanPSMT" w:hint="eastAsia"/>
                <w:color w:val="000000"/>
              </w:rPr>
            </w:pPr>
            <m:oMathPara>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p,2</m:t>
                    </m:r>
                  </m:sub>
                </m:sSub>
              </m:oMath>
            </m:oMathPara>
          </w:p>
        </w:tc>
        <w:tc>
          <w:tcPr>
            <w:tcW w:w="1300" w:type="dxa"/>
            <w:tcBorders>
              <w:top w:val="nil"/>
              <w:left w:val="nil"/>
              <w:bottom w:val="nil"/>
              <w:right w:val="nil"/>
            </w:tcBorders>
            <w:noWrap/>
            <w:vAlign w:val="center"/>
            <w:hideMark/>
          </w:tcPr>
          <w:p w14:paraId="1A8D4587" w14:textId="0DF5E41C"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-0.05 </w:t>
            </w:r>
          </w:p>
        </w:tc>
        <w:tc>
          <w:tcPr>
            <w:tcW w:w="1300" w:type="dxa"/>
            <w:tcBorders>
              <w:top w:val="nil"/>
              <w:left w:val="nil"/>
              <w:bottom w:val="nil"/>
              <w:right w:val="nil"/>
            </w:tcBorders>
            <w:noWrap/>
            <w:vAlign w:val="center"/>
            <w:hideMark/>
          </w:tcPr>
          <w:p w14:paraId="38B112B3" w14:textId="08714996"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0.07 </w:t>
            </w:r>
          </w:p>
        </w:tc>
        <w:tc>
          <w:tcPr>
            <w:tcW w:w="1300" w:type="dxa"/>
            <w:tcBorders>
              <w:top w:val="nil"/>
              <w:left w:val="nil"/>
              <w:bottom w:val="nil"/>
              <w:right w:val="nil"/>
            </w:tcBorders>
            <w:noWrap/>
            <w:vAlign w:val="center"/>
            <w:hideMark/>
          </w:tcPr>
          <w:p w14:paraId="7C2741E1" w14:textId="4432C3D9"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-0.19 </w:t>
            </w:r>
          </w:p>
        </w:tc>
        <w:tc>
          <w:tcPr>
            <w:tcW w:w="1300" w:type="dxa"/>
            <w:tcBorders>
              <w:top w:val="nil"/>
              <w:left w:val="nil"/>
              <w:bottom w:val="nil"/>
              <w:right w:val="nil"/>
            </w:tcBorders>
            <w:noWrap/>
            <w:vAlign w:val="center"/>
            <w:hideMark/>
          </w:tcPr>
          <w:p w14:paraId="09174150" w14:textId="65BC9F02"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0.08 </w:t>
            </w:r>
          </w:p>
        </w:tc>
        <w:tc>
          <w:tcPr>
            <w:tcW w:w="1300" w:type="dxa"/>
            <w:tcBorders>
              <w:top w:val="nil"/>
              <w:left w:val="nil"/>
              <w:bottom w:val="nil"/>
              <w:right w:val="nil"/>
            </w:tcBorders>
            <w:noWrap/>
            <w:vAlign w:val="center"/>
            <w:hideMark/>
          </w:tcPr>
          <w:p w14:paraId="5C31552E" w14:textId="38155149"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5511.00 </w:t>
            </w:r>
          </w:p>
        </w:tc>
        <w:tc>
          <w:tcPr>
            <w:tcW w:w="1300" w:type="dxa"/>
            <w:tcBorders>
              <w:top w:val="nil"/>
              <w:left w:val="nil"/>
              <w:bottom w:val="nil"/>
              <w:right w:val="nil"/>
            </w:tcBorders>
            <w:noWrap/>
            <w:vAlign w:val="center"/>
            <w:hideMark/>
          </w:tcPr>
          <w:p w14:paraId="6B9DAB9C"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12EB39FE" w14:textId="77777777" w:rsidTr="00E738D6">
        <w:trPr>
          <w:trHeight w:val="320"/>
          <w:jc w:val="center"/>
        </w:trPr>
        <w:tc>
          <w:tcPr>
            <w:tcW w:w="1625" w:type="dxa"/>
            <w:tcBorders>
              <w:top w:val="nil"/>
              <w:left w:val="nil"/>
              <w:bottom w:val="nil"/>
              <w:right w:val="nil"/>
            </w:tcBorders>
            <w:noWrap/>
            <w:vAlign w:val="center"/>
            <w:hideMark/>
          </w:tcPr>
          <w:p w14:paraId="58DD840D" w14:textId="2CDE105D" w:rsidR="009D542B" w:rsidRDefault="009D542B" w:rsidP="009D542B">
            <w:pPr>
              <w:rPr>
                <w:rFonts w:ascii="TimesNewRomanPSMT" w:hAnsi="TimesNewRomanPSMT" w:hint="eastAsia"/>
                <w:color w:val="000000"/>
              </w:rPr>
            </w:pPr>
            <m:oMathPara>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s,2</m:t>
                    </m:r>
                  </m:sub>
                </m:sSub>
              </m:oMath>
            </m:oMathPara>
          </w:p>
        </w:tc>
        <w:tc>
          <w:tcPr>
            <w:tcW w:w="1300" w:type="dxa"/>
            <w:tcBorders>
              <w:top w:val="nil"/>
              <w:left w:val="nil"/>
              <w:bottom w:val="nil"/>
              <w:right w:val="nil"/>
            </w:tcBorders>
            <w:noWrap/>
            <w:vAlign w:val="center"/>
            <w:hideMark/>
          </w:tcPr>
          <w:p w14:paraId="451FD1DF" w14:textId="0DADC6DA"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0.05 </w:t>
            </w:r>
          </w:p>
        </w:tc>
        <w:tc>
          <w:tcPr>
            <w:tcW w:w="1300" w:type="dxa"/>
            <w:tcBorders>
              <w:top w:val="nil"/>
              <w:left w:val="nil"/>
              <w:bottom w:val="nil"/>
              <w:right w:val="nil"/>
            </w:tcBorders>
            <w:noWrap/>
            <w:vAlign w:val="center"/>
            <w:hideMark/>
          </w:tcPr>
          <w:p w14:paraId="70C3281B" w14:textId="69621291"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0.05 </w:t>
            </w:r>
          </w:p>
        </w:tc>
        <w:tc>
          <w:tcPr>
            <w:tcW w:w="1300" w:type="dxa"/>
            <w:tcBorders>
              <w:top w:val="nil"/>
              <w:left w:val="nil"/>
              <w:bottom w:val="nil"/>
              <w:right w:val="nil"/>
            </w:tcBorders>
            <w:noWrap/>
            <w:vAlign w:val="center"/>
            <w:hideMark/>
          </w:tcPr>
          <w:p w14:paraId="09E69AAF" w14:textId="3B678223"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-0.04 </w:t>
            </w:r>
          </w:p>
        </w:tc>
        <w:tc>
          <w:tcPr>
            <w:tcW w:w="1300" w:type="dxa"/>
            <w:tcBorders>
              <w:top w:val="nil"/>
              <w:left w:val="nil"/>
              <w:bottom w:val="nil"/>
              <w:right w:val="nil"/>
            </w:tcBorders>
            <w:noWrap/>
            <w:vAlign w:val="center"/>
            <w:hideMark/>
          </w:tcPr>
          <w:p w14:paraId="6EC8DD40" w14:textId="28FD2F56"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0.14 </w:t>
            </w:r>
          </w:p>
        </w:tc>
        <w:tc>
          <w:tcPr>
            <w:tcW w:w="1300" w:type="dxa"/>
            <w:tcBorders>
              <w:top w:val="nil"/>
              <w:left w:val="nil"/>
              <w:bottom w:val="nil"/>
              <w:right w:val="nil"/>
            </w:tcBorders>
            <w:noWrap/>
            <w:vAlign w:val="center"/>
            <w:hideMark/>
          </w:tcPr>
          <w:p w14:paraId="2ADCCA80" w14:textId="2DA6A8B8"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11790.00 </w:t>
            </w:r>
          </w:p>
        </w:tc>
        <w:tc>
          <w:tcPr>
            <w:tcW w:w="1300" w:type="dxa"/>
            <w:tcBorders>
              <w:top w:val="nil"/>
              <w:left w:val="nil"/>
              <w:bottom w:val="nil"/>
              <w:right w:val="nil"/>
            </w:tcBorders>
            <w:noWrap/>
            <w:vAlign w:val="center"/>
            <w:hideMark/>
          </w:tcPr>
          <w:p w14:paraId="735159B4"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5BADE173" w14:textId="77777777" w:rsidTr="00E738D6">
        <w:trPr>
          <w:trHeight w:val="320"/>
          <w:jc w:val="center"/>
        </w:trPr>
        <w:tc>
          <w:tcPr>
            <w:tcW w:w="1625" w:type="dxa"/>
            <w:tcBorders>
              <w:top w:val="nil"/>
              <w:left w:val="nil"/>
              <w:bottom w:val="nil"/>
              <w:right w:val="nil"/>
            </w:tcBorders>
            <w:noWrap/>
            <w:vAlign w:val="center"/>
            <w:hideMark/>
          </w:tcPr>
          <w:p w14:paraId="651C7274" w14:textId="7028AC42" w:rsidR="009D542B" w:rsidRDefault="009D542B" w:rsidP="009D542B">
            <w:pPr>
              <w:rPr>
                <w:rFonts w:ascii="TimesNewRomanPSMT" w:hAnsi="TimesNewRomanPSMT" w:hint="eastAsia"/>
                <w:color w:val="000000"/>
              </w:rPr>
            </w:pPr>
            <m:oMathPara>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pop</m:t>
                    </m:r>
                  </m:sub>
                </m:sSub>
              </m:oMath>
            </m:oMathPara>
          </w:p>
        </w:tc>
        <w:tc>
          <w:tcPr>
            <w:tcW w:w="1300" w:type="dxa"/>
            <w:tcBorders>
              <w:top w:val="nil"/>
              <w:left w:val="nil"/>
              <w:bottom w:val="nil"/>
              <w:right w:val="nil"/>
            </w:tcBorders>
            <w:noWrap/>
            <w:vAlign w:val="center"/>
            <w:hideMark/>
          </w:tcPr>
          <w:p w14:paraId="0F5FBA4A" w14:textId="7884DC0B"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-0.07 </w:t>
            </w:r>
          </w:p>
        </w:tc>
        <w:tc>
          <w:tcPr>
            <w:tcW w:w="1300" w:type="dxa"/>
            <w:tcBorders>
              <w:top w:val="nil"/>
              <w:left w:val="nil"/>
              <w:bottom w:val="nil"/>
              <w:right w:val="nil"/>
            </w:tcBorders>
            <w:noWrap/>
            <w:vAlign w:val="center"/>
            <w:hideMark/>
          </w:tcPr>
          <w:p w14:paraId="667A5CCE" w14:textId="2F8A563E"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0.09 </w:t>
            </w:r>
          </w:p>
        </w:tc>
        <w:tc>
          <w:tcPr>
            <w:tcW w:w="1300" w:type="dxa"/>
            <w:tcBorders>
              <w:top w:val="nil"/>
              <w:left w:val="nil"/>
              <w:bottom w:val="nil"/>
              <w:right w:val="nil"/>
            </w:tcBorders>
            <w:noWrap/>
            <w:vAlign w:val="center"/>
            <w:hideMark/>
          </w:tcPr>
          <w:p w14:paraId="7F474650" w14:textId="2CC06C0E"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-0.25 </w:t>
            </w:r>
          </w:p>
        </w:tc>
        <w:tc>
          <w:tcPr>
            <w:tcW w:w="1300" w:type="dxa"/>
            <w:tcBorders>
              <w:top w:val="nil"/>
              <w:left w:val="nil"/>
              <w:bottom w:val="nil"/>
              <w:right w:val="nil"/>
            </w:tcBorders>
            <w:noWrap/>
            <w:vAlign w:val="center"/>
            <w:hideMark/>
          </w:tcPr>
          <w:p w14:paraId="6C617873" w14:textId="6F7078C2"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0.10 </w:t>
            </w:r>
          </w:p>
        </w:tc>
        <w:tc>
          <w:tcPr>
            <w:tcW w:w="1300" w:type="dxa"/>
            <w:tcBorders>
              <w:top w:val="nil"/>
              <w:left w:val="nil"/>
              <w:bottom w:val="nil"/>
              <w:right w:val="nil"/>
            </w:tcBorders>
            <w:noWrap/>
            <w:vAlign w:val="center"/>
            <w:hideMark/>
          </w:tcPr>
          <w:p w14:paraId="7256CAB0" w14:textId="2FA11333"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3931.00 </w:t>
            </w:r>
          </w:p>
        </w:tc>
        <w:tc>
          <w:tcPr>
            <w:tcW w:w="1300" w:type="dxa"/>
            <w:tcBorders>
              <w:top w:val="nil"/>
              <w:left w:val="nil"/>
              <w:bottom w:val="nil"/>
              <w:right w:val="nil"/>
            </w:tcBorders>
            <w:noWrap/>
            <w:vAlign w:val="center"/>
            <w:hideMark/>
          </w:tcPr>
          <w:p w14:paraId="06AAA5F8"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36D9134C" w14:textId="77777777" w:rsidTr="00E738D6">
        <w:trPr>
          <w:trHeight w:val="320"/>
          <w:jc w:val="center"/>
        </w:trPr>
        <w:tc>
          <w:tcPr>
            <w:tcW w:w="1625" w:type="dxa"/>
            <w:tcBorders>
              <w:top w:val="nil"/>
              <w:left w:val="nil"/>
              <w:bottom w:val="nil"/>
              <w:right w:val="nil"/>
            </w:tcBorders>
            <w:noWrap/>
            <w:vAlign w:val="center"/>
            <w:hideMark/>
          </w:tcPr>
          <w:p w14:paraId="38AEE81F" w14:textId="413C0C7F" w:rsidR="009D542B" w:rsidRDefault="009D542B" w:rsidP="009D542B">
            <w:pPr>
              <w:rPr>
                <w:rFonts w:ascii="TimesNewRomanPSMT" w:hAnsi="TimesNewRomanPSMT" w:hint="eastAsia"/>
                <w:color w:val="000000"/>
              </w:rPr>
            </w:pPr>
            <m:oMathPara>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urb</m:t>
                    </m:r>
                  </m:sub>
                </m:sSub>
              </m:oMath>
            </m:oMathPara>
          </w:p>
        </w:tc>
        <w:tc>
          <w:tcPr>
            <w:tcW w:w="1300" w:type="dxa"/>
            <w:tcBorders>
              <w:top w:val="nil"/>
              <w:left w:val="nil"/>
              <w:bottom w:val="nil"/>
              <w:right w:val="nil"/>
            </w:tcBorders>
            <w:noWrap/>
            <w:vAlign w:val="center"/>
            <w:hideMark/>
          </w:tcPr>
          <w:p w14:paraId="290BC3F5" w14:textId="7423FE9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0.04 </w:t>
            </w:r>
          </w:p>
        </w:tc>
        <w:tc>
          <w:tcPr>
            <w:tcW w:w="1300" w:type="dxa"/>
            <w:tcBorders>
              <w:top w:val="nil"/>
              <w:left w:val="nil"/>
              <w:bottom w:val="nil"/>
              <w:right w:val="nil"/>
            </w:tcBorders>
            <w:noWrap/>
            <w:vAlign w:val="center"/>
            <w:hideMark/>
          </w:tcPr>
          <w:p w14:paraId="4369478D" w14:textId="58603510"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0.08 </w:t>
            </w:r>
          </w:p>
        </w:tc>
        <w:tc>
          <w:tcPr>
            <w:tcW w:w="1300" w:type="dxa"/>
            <w:tcBorders>
              <w:top w:val="nil"/>
              <w:left w:val="nil"/>
              <w:bottom w:val="nil"/>
              <w:right w:val="nil"/>
            </w:tcBorders>
            <w:noWrap/>
            <w:vAlign w:val="center"/>
            <w:hideMark/>
          </w:tcPr>
          <w:p w14:paraId="38EAB2E1" w14:textId="6A4A7A95"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-0.11 </w:t>
            </w:r>
          </w:p>
        </w:tc>
        <w:tc>
          <w:tcPr>
            <w:tcW w:w="1300" w:type="dxa"/>
            <w:tcBorders>
              <w:top w:val="nil"/>
              <w:left w:val="nil"/>
              <w:bottom w:val="nil"/>
              <w:right w:val="nil"/>
            </w:tcBorders>
            <w:noWrap/>
            <w:vAlign w:val="center"/>
            <w:hideMark/>
          </w:tcPr>
          <w:p w14:paraId="1EDD4698" w14:textId="451368A3"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0.19 </w:t>
            </w:r>
          </w:p>
        </w:tc>
        <w:tc>
          <w:tcPr>
            <w:tcW w:w="1300" w:type="dxa"/>
            <w:tcBorders>
              <w:top w:val="nil"/>
              <w:left w:val="nil"/>
              <w:bottom w:val="nil"/>
              <w:right w:val="nil"/>
            </w:tcBorders>
            <w:noWrap/>
            <w:vAlign w:val="center"/>
            <w:hideMark/>
          </w:tcPr>
          <w:p w14:paraId="29E9FB6E" w14:textId="78E522A5"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4690.00 </w:t>
            </w:r>
          </w:p>
        </w:tc>
        <w:tc>
          <w:tcPr>
            <w:tcW w:w="1300" w:type="dxa"/>
            <w:tcBorders>
              <w:top w:val="nil"/>
              <w:left w:val="nil"/>
              <w:bottom w:val="nil"/>
              <w:right w:val="nil"/>
            </w:tcBorders>
            <w:noWrap/>
            <w:vAlign w:val="center"/>
            <w:hideMark/>
          </w:tcPr>
          <w:p w14:paraId="105F6602"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2D5EE6A7" w14:textId="77777777" w:rsidTr="00E738D6">
        <w:trPr>
          <w:trHeight w:val="320"/>
          <w:jc w:val="center"/>
        </w:trPr>
        <w:tc>
          <w:tcPr>
            <w:tcW w:w="1625" w:type="dxa"/>
            <w:tcBorders>
              <w:top w:val="nil"/>
              <w:left w:val="nil"/>
              <w:bottom w:val="nil"/>
              <w:right w:val="nil"/>
            </w:tcBorders>
            <w:noWrap/>
            <w:vAlign w:val="center"/>
            <w:hideMark/>
          </w:tcPr>
          <w:p w14:paraId="40C629C5" w14:textId="343C79D4" w:rsidR="009D542B" w:rsidRDefault="009D542B" w:rsidP="009D542B">
            <w:pPr>
              <w:rPr>
                <w:rFonts w:ascii="TimesNewRomanPSMT" w:hAnsi="TimesNewRomanPSMT" w:hint="eastAsia"/>
                <w:color w:val="000000"/>
              </w:rPr>
            </w:pPr>
            <m:oMathPara>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hlth</m:t>
                    </m:r>
                  </m:sub>
                </m:sSub>
              </m:oMath>
            </m:oMathPara>
          </w:p>
        </w:tc>
        <w:tc>
          <w:tcPr>
            <w:tcW w:w="1300" w:type="dxa"/>
            <w:tcBorders>
              <w:top w:val="nil"/>
              <w:left w:val="nil"/>
              <w:bottom w:val="nil"/>
              <w:right w:val="nil"/>
            </w:tcBorders>
            <w:noWrap/>
            <w:vAlign w:val="center"/>
            <w:hideMark/>
          </w:tcPr>
          <w:p w14:paraId="0D3D3845" w14:textId="01454EF3"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0.01 </w:t>
            </w:r>
          </w:p>
        </w:tc>
        <w:tc>
          <w:tcPr>
            <w:tcW w:w="1300" w:type="dxa"/>
            <w:tcBorders>
              <w:top w:val="nil"/>
              <w:left w:val="nil"/>
              <w:bottom w:val="nil"/>
              <w:right w:val="nil"/>
            </w:tcBorders>
            <w:noWrap/>
            <w:vAlign w:val="center"/>
            <w:hideMark/>
          </w:tcPr>
          <w:p w14:paraId="00A47068" w14:textId="2A2FC745"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0.08 </w:t>
            </w:r>
          </w:p>
        </w:tc>
        <w:tc>
          <w:tcPr>
            <w:tcW w:w="1300" w:type="dxa"/>
            <w:tcBorders>
              <w:top w:val="nil"/>
              <w:left w:val="nil"/>
              <w:bottom w:val="nil"/>
              <w:right w:val="nil"/>
            </w:tcBorders>
            <w:noWrap/>
            <w:vAlign w:val="center"/>
            <w:hideMark/>
          </w:tcPr>
          <w:p w14:paraId="3F79083E" w14:textId="2B3AE4D4"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-0.14 </w:t>
            </w:r>
          </w:p>
        </w:tc>
        <w:tc>
          <w:tcPr>
            <w:tcW w:w="1300" w:type="dxa"/>
            <w:tcBorders>
              <w:top w:val="nil"/>
              <w:left w:val="nil"/>
              <w:bottom w:val="nil"/>
              <w:right w:val="nil"/>
            </w:tcBorders>
            <w:noWrap/>
            <w:vAlign w:val="center"/>
            <w:hideMark/>
          </w:tcPr>
          <w:p w14:paraId="213E10C9" w14:textId="284DBC14"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0.17 </w:t>
            </w:r>
          </w:p>
        </w:tc>
        <w:tc>
          <w:tcPr>
            <w:tcW w:w="1300" w:type="dxa"/>
            <w:tcBorders>
              <w:top w:val="nil"/>
              <w:left w:val="nil"/>
              <w:bottom w:val="nil"/>
              <w:right w:val="nil"/>
            </w:tcBorders>
            <w:noWrap/>
            <w:vAlign w:val="center"/>
            <w:hideMark/>
          </w:tcPr>
          <w:p w14:paraId="6516C14A" w14:textId="0644D71B"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4415.00 </w:t>
            </w:r>
          </w:p>
        </w:tc>
        <w:tc>
          <w:tcPr>
            <w:tcW w:w="1300" w:type="dxa"/>
            <w:tcBorders>
              <w:top w:val="nil"/>
              <w:left w:val="nil"/>
              <w:bottom w:val="nil"/>
              <w:right w:val="nil"/>
            </w:tcBorders>
            <w:noWrap/>
            <w:vAlign w:val="center"/>
            <w:hideMark/>
          </w:tcPr>
          <w:p w14:paraId="35021EA8"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37D1CE75" w14:textId="77777777" w:rsidTr="00E738D6">
        <w:trPr>
          <w:trHeight w:val="320"/>
          <w:jc w:val="center"/>
        </w:trPr>
        <w:tc>
          <w:tcPr>
            <w:tcW w:w="1625" w:type="dxa"/>
            <w:tcBorders>
              <w:top w:val="nil"/>
              <w:left w:val="nil"/>
              <w:bottom w:val="nil"/>
              <w:right w:val="nil"/>
            </w:tcBorders>
            <w:noWrap/>
            <w:vAlign w:val="center"/>
            <w:hideMark/>
          </w:tcPr>
          <w:p w14:paraId="2CC3636B" w14:textId="05CD1698" w:rsidR="009D542B" w:rsidRDefault="009D542B" w:rsidP="009D542B">
            <w:pPr>
              <w:rPr>
                <w:rFonts w:ascii="TimesNewRomanPSMT" w:hAnsi="TimesNewRomanPSMT" w:hint="eastAsia"/>
                <w:color w:val="000000"/>
              </w:rPr>
            </w:pPr>
            <m:oMathPara>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eth</m:t>
                    </m:r>
                  </m:sub>
                </m:sSub>
              </m:oMath>
            </m:oMathPara>
          </w:p>
        </w:tc>
        <w:tc>
          <w:tcPr>
            <w:tcW w:w="1300" w:type="dxa"/>
            <w:tcBorders>
              <w:top w:val="nil"/>
              <w:left w:val="nil"/>
              <w:bottom w:val="nil"/>
              <w:right w:val="nil"/>
            </w:tcBorders>
            <w:noWrap/>
            <w:vAlign w:val="center"/>
            <w:hideMark/>
          </w:tcPr>
          <w:p w14:paraId="5EC9D609" w14:textId="237D5736"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-0.03 </w:t>
            </w:r>
          </w:p>
        </w:tc>
        <w:tc>
          <w:tcPr>
            <w:tcW w:w="1300" w:type="dxa"/>
            <w:tcBorders>
              <w:top w:val="nil"/>
              <w:left w:val="nil"/>
              <w:bottom w:val="nil"/>
              <w:right w:val="nil"/>
            </w:tcBorders>
            <w:noWrap/>
            <w:vAlign w:val="center"/>
            <w:hideMark/>
          </w:tcPr>
          <w:p w14:paraId="00251321" w14:textId="411091A1"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0.07 </w:t>
            </w:r>
          </w:p>
        </w:tc>
        <w:tc>
          <w:tcPr>
            <w:tcW w:w="1300" w:type="dxa"/>
            <w:tcBorders>
              <w:top w:val="nil"/>
              <w:left w:val="nil"/>
              <w:bottom w:val="nil"/>
              <w:right w:val="nil"/>
            </w:tcBorders>
            <w:noWrap/>
            <w:vAlign w:val="center"/>
            <w:hideMark/>
          </w:tcPr>
          <w:p w14:paraId="295B9622" w14:textId="209ED649"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-0.17 </w:t>
            </w:r>
          </w:p>
        </w:tc>
        <w:tc>
          <w:tcPr>
            <w:tcW w:w="1300" w:type="dxa"/>
            <w:tcBorders>
              <w:top w:val="nil"/>
              <w:left w:val="nil"/>
              <w:bottom w:val="nil"/>
              <w:right w:val="nil"/>
            </w:tcBorders>
            <w:noWrap/>
            <w:vAlign w:val="center"/>
            <w:hideMark/>
          </w:tcPr>
          <w:p w14:paraId="399B5239" w14:textId="14848983"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0.11 </w:t>
            </w:r>
          </w:p>
        </w:tc>
        <w:tc>
          <w:tcPr>
            <w:tcW w:w="1300" w:type="dxa"/>
            <w:tcBorders>
              <w:top w:val="nil"/>
              <w:left w:val="nil"/>
              <w:bottom w:val="nil"/>
              <w:right w:val="nil"/>
            </w:tcBorders>
            <w:noWrap/>
            <w:vAlign w:val="center"/>
            <w:hideMark/>
          </w:tcPr>
          <w:p w14:paraId="16AE1B98" w14:textId="131B6208"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6075.00 </w:t>
            </w:r>
          </w:p>
        </w:tc>
        <w:tc>
          <w:tcPr>
            <w:tcW w:w="1300" w:type="dxa"/>
            <w:tcBorders>
              <w:top w:val="nil"/>
              <w:left w:val="nil"/>
              <w:bottom w:val="nil"/>
              <w:right w:val="nil"/>
            </w:tcBorders>
            <w:noWrap/>
            <w:vAlign w:val="center"/>
            <w:hideMark/>
          </w:tcPr>
          <w:p w14:paraId="30654340"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79A44FB4" w14:textId="77777777" w:rsidTr="00E738D6">
        <w:trPr>
          <w:trHeight w:val="320"/>
          <w:jc w:val="center"/>
        </w:trPr>
        <w:tc>
          <w:tcPr>
            <w:tcW w:w="1625" w:type="dxa"/>
            <w:tcBorders>
              <w:top w:val="nil"/>
              <w:left w:val="nil"/>
              <w:bottom w:val="nil"/>
              <w:right w:val="nil"/>
            </w:tcBorders>
            <w:noWrap/>
            <w:vAlign w:val="center"/>
            <w:hideMark/>
          </w:tcPr>
          <w:p w14:paraId="06EA410A" w14:textId="1B76C155" w:rsidR="009D542B" w:rsidRDefault="009D542B" w:rsidP="009D542B">
            <w:pPr>
              <w:rPr>
                <w:rFonts w:ascii="TimesNewRomanPSMT" w:hAnsi="TimesNewRomanPSMT" w:hint="eastAsia"/>
                <w:color w:val="000000"/>
              </w:rPr>
            </w:pPr>
            <m:oMathPara>
              <m:oMath>
                <m:sSub>
                  <m:sSubPr>
                    <m:ctrlPr>
                      <w:rPr>
                        <w:rFonts w:ascii="Cambria Math" w:hAnsi="Cambria Math"/>
                        <w:i/>
                        <w:color w:val="000000"/>
                      </w:rPr>
                    </m:ctrlPr>
                  </m:sSubPr>
                  <m:e>
                    <m:r>
                      <w:rPr>
                        <w:rFonts w:ascii="Cambria Math" w:hAnsi="Cambria Math"/>
                        <w:color w:val="000000"/>
                      </w:rPr>
                      <m:t>μ</m:t>
                    </m:r>
                  </m:e>
                  <m:sub>
                    <m:r>
                      <w:rPr>
                        <w:rFonts w:ascii="Cambria Math" w:hAnsi="Cambria Math"/>
                        <w:color w:val="000000"/>
                      </w:rPr>
                      <m:t>α</m:t>
                    </m:r>
                  </m:sub>
                </m:sSub>
              </m:oMath>
            </m:oMathPara>
          </w:p>
        </w:tc>
        <w:tc>
          <w:tcPr>
            <w:tcW w:w="1300" w:type="dxa"/>
            <w:tcBorders>
              <w:top w:val="nil"/>
              <w:left w:val="nil"/>
              <w:bottom w:val="nil"/>
              <w:right w:val="nil"/>
            </w:tcBorders>
            <w:noWrap/>
            <w:vAlign w:val="center"/>
            <w:hideMark/>
          </w:tcPr>
          <w:p w14:paraId="63CDCAA3" w14:textId="576FF7DF"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-0.15 </w:t>
            </w:r>
          </w:p>
        </w:tc>
        <w:tc>
          <w:tcPr>
            <w:tcW w:w="1300" w:type="dxa"/>
            <w:tcBorders>
              <w:top w:val="nil"/>
              <w:left w:val="nil"/>
              <w:bottom w:val="nil"/>
              <w:right w:val="nil"/>
            </w:tcBorders>
            <w:noWrap/>
            <w:vAlign w:val="center"/>
            <w:hideMark/>
          </w:tcPr>
          <w:p w14:paraId="68E3BD48" w14:textId="71EA3342"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0.09 </w:t>
            </w:r>
          </w:p>
        </w:tc>
        <w:tc>
          <w:tcPr>
            <w:tcW w:w="1300" w:type="dxa"/>
            <w:tcBorders>
              <w:top w:val="nil"/>
              <w:left w:val="nil"/>
              <w:bottom w:val="nil"/>
              <w:right w:val="nil"/>
            </w:tcBorders>
            <w:noWrap/>
            <w:vAlign w:val="center"/>
            <w:hideMark/>
          </w:tcPr>
          <w:p w14:paraId="03E16CD8" w14:textId="029AA3B0"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-0.32 </w:t>
            </w:r>
          </w:p>
        </w:tc>
        <w:tc>
          <w:tcPr>
            <w:tcW w:w="1300" w:type="dxa"/>
            <w:tcBorders>
              <w:top w:val="nil"/>
              <w:left w:val="nil"/>
              <w:bottom w:val="nil"/>
              <w:right w:val="nil"/>
            </w:tcBorders>
            <w:noWrap/>
            <w:vAlign w:val="center"/>
            <w:hideMark/>
          </w:tcPr>
          <w:p w14:paraId="7A194D58" w14:textId="712792BF"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0.02 </w:t>
            </w:r>
          </w:p>
        </w:tc>
        <w:tc>
          <w:tcPr>
            <w:tcW w:w="1300" w:type="dxa"/>
            <w:tcBorders>
              <w:top w:val="nil"/>
              <w:left w:val="nil"/>
              <w:bottom w:val="nil"/>
              <w:right w:val="nil"/>
            </w:tcBorders>
            <w:noWrap/>
            <w:vAlign w:val="center"/>
            <w:hideMark/>
          </w:tcPr>
          <w:p w14:paraId="37B90F9F" w14:textId="57EC0154"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4651.00 </w:t>
            </w:r>
          </w:p>
        </w:tc>
        <w:tc>
          <w:tcPr>
            <w:tcW w:w="1300" w:type="dxa"/>
            <w:tcBorders>
              <w:top w:val="nil"/>
              <w:left w:val="nil"/>
              <w:bottom w:val="nil"/>
              <w:right w:val="nil"/>
            </w:tcBorders>
            <w:noWrap/>
            <w:vAlign w:val="center"/>
            <w:hideMark/>
          </w:tcPr>
          <w:p w14:paraId="51991AC1"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237922F2" w14:textId="77777777" w:rsidTr="00E738D6">
        <w:trPr>
          <w:trHeight w:val="320"/>
          <w:jc w:val="center"/>
        </w:trPr>
        <w:tc>
          <w:tcPr>
            <w:tcW w:w="1625" w:type="dxa"/>
            <w:tcBorders>
              <w:top w:val="nil"/>
              <w:left w:val="nil"/>
              <w:bottom w:val="nil"/>
              <w:right w:val="nil"/>
            </w:tcBorders>
            <w:noWrap/>
            <w:vAlign w:val="center"/>
            <w:hideMark/>
          </w:tcPr>
          <w:p w14:paraId="2F929451" w14:textId="766205D7" w:rsidR="009D542B" w:rsidRDefault="009D542B" w:rsidP="009D542B">
            <w:pPr>
              <w:rPr>
                <w:rFonts w:ascii="TimesNewRomanPSMT" w:hAnsi="TimesNewRomanPSMT" w:hint="eastAsia"/>
                <w:color w:val="000000"/>
              </w:rPr>
            </w:pPr>
            <m:oMathPara>
              <m:oMath>
                <m:sSub>
                  <m:sSubPr>
                    <m:ctrlPr>
                      <w:rPr>
                        <w:rFonts w:ascii="Cambria Math" w:hAnsi="Cambria Math"/>
                        <w:i/>
                        <w:color w:val="000000"/>
                      </w:rPr>
                    </m:ctrlPr>
                  </m:sSubPr>
                  <m:e>
                    <m:r>
                      <w:rPr>
                        <w:rFonts w:ascii="Cambria Math" w:hAnsi="Cambria Math"/>
                        <w:color w:val="000000"/>
                      </w:rPr>
                      <m:t>σ</m:t>
                    </m:r>
                  </m:e>
                  <m:sub>
                    <m:r>
                      <w:rPr>
                        <w:rFonts w:ascii="Cambria Math" w:hAnsi="Cambria Math"/>
                        <w:color w:val="000000"/>
                      </w:rPr>
                      <m:t>region</m:t>
                    </m:r>
                  </m:sub>
                </m:sSub>
              </m:oMath>
            </m:oMathPara>
          </w:p>
        </w:tc>
        <w:tc>
          <w:tcPr>
            <w:tcW w:w="1300" w:type="dxa"/>
            <w:tcBorders>
              <w:top w:val="nil"/>
              <w:left w:val="nil"/>
              <w:bottom w:val="nil"/>
              <w:right w:val="nil"/>
            </w:tcBorders>
            <w:noWrap/>
            <w:vAlign w:val="center"/>
            <w:hideMark/>
          </w:tcPr>
          <w:p w14:paraId="2550BEDE" w14:textId="758E3AE1"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0.13 </w:t>
            </w:r>
          </w:p>
        </w:tc>
        <w:tc>
          <w:tcPr>
            <w:tcW w:w="1300" w:type="dxa"/>
            <w:tcBorders>
              <w:top w:val="nil"/>
              <w:left w:val="nil"/>
              <w:bottom w:val="nil"/>
              <w:right w:val="nil"/>
            </w:tcBorders>
            <w:noWrap/>
            <w:vAlign w:val="center"/>
            <w:hideMark/>
          </w:tcPr>
          <w:p w14:paraId="25B72384" w14:textId="3BA36E08"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0.11 </w:t>
            </w:r>
          </w:p>
        </w:tc>
        <w:tc>
          <w:tcPr>
            <w:tcW w:w="1300" w:type="dxa"/>
            <w:tcBorders>
              <w:top w:val="nil"/>
              <w:left w:val="nil"/>
              <w:bottom w:val="nil"/>
              <w:right w:val="nil"/>
            </w:tcBorders>
            <w:noWrap/>
            <w:vAlign w:val="center"/>
            <w:hideMark/>
          </w:tcPr>
          <w:p w14:paraId="7DDA42C3" w14:textId="1837D24E"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0.00 </w:t>
            </w:r>
          </w:p>
        </w:tc>
        <w:tc>
          <w:tcPr>
            <w:tcW w:w="1300" w:type="dxa"/>
            <w:tcBorders>
              <w:top w:val="nil"/>
              <w:left w:val="nil"/>
              <w:bottom w:val="nil"/>
              <w:right w:val="nil"/>
            </w:tcBorders>
            <w:noWrap/>
            <w:vAlign w:val="center"/>
            <w:hideMark/>
          </w:tcPr>
          <w:p w14:paraId="39401B71" w14:textId="22AC838F"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0.33 </w:t>
            </w:r>
          </w:p>
        </w:tc>
        <w:tc>
          <w:tcPr>
            <w:tcW w:w="1300" w:type="dxa"/>
            <w:tcBorders>
              <w:top w:val="nil"/>
              <w:left w:val="nil"/>
              <w:bottom w:val="nil"/>
              <w:right w:val="nil"/>
            </w:tcBorders>
            <w:noWrap/>
            <w:vAlign w:val="center"/>
            <w:hideMark/>
          </w:tcPr>
          <w:p w14:paraId="6B698767" w14:textId="409FAF99"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2292.00 </w:t>
            </w:r>
          </w:p>
        </w:tc>
        <w:tc>
          <w:tcPr>
            <w:tcW w:w="1300" w:type="dxa"/>
            <w:tcBorders>
              <w:top w:val="nil"/>
              <w:left w:val="nil"/>
              <w:bottom w:val="nil"/>
              <w:right w:val="nil"/>
            </w:tcBorders>
            <w:noWrap/>
            <w:vAlign w:val="center"/>
            <w:hideMark/>
          </w:tcPr>
          <w:p w14:paraId="4A7C73F4"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69C5C8E8" w14:textId="77777777" w:rsidTr="00E738D6">
        <w:trPr>
          <w:trHeight w:val="320"/>
          <w:jc w:val="center"/>
        </w:trPr>
        <w:tc>
          <w:tcPr>
            <w:tcW w:w="1625" w:type="dxa"/>
            <w:tcBorders>
              <w:top w:val="nil"/>
              <w:left w:val="nil"/>
              <w:bottom w:val="nil"/>
              <w:right w:val="nil"/>
            </w:tcBorders>
            <w:noWrap/>
            <w:vAlign w:val="center"/>
            <w:hideMark/>
          </w:tcPr>
          <w:p w14:paraId="793E6671" w14:textId="393E32BF" w:rsidR="009D542B" w:rsidRDefault="009D542B" w:rsidP="009D542B">
            <w:pPr>
              <w:rPr>
                <w:rFonts w:ascii="TimesNewRomanPSMT" w:hAnsi="TimesNewRomanPSMT" w:hint="eastAsia"/>
                <w:color w:val="000000"/>
              </w:rPr>
            </w:pPr>
            <m:oMathPara>
              <m:oMath>
                <m:sSub>
                  <m:sSubPr>
                    <m:ctrlPr>
                      <w:rPr>
                        <w:rFonts w:ascii="Cambria Math" w:hAnsi="Cambria Math"/>
                        <w:i/>
                        <w:color w:val="000000"/>
                      </w:rPr>
                    </m:ctrlPr>
                  </m:sSubPr>
                  <m:e>
                    <m:r>
                      <w:rPr>
                        <w:rFonts w:ascii="Cambria Math" w:hAnsi="Cambria Math"/>
                        <w:color w:val="000000"/>
                      </w:rPr>
                      <m:t>σ</m:t>
                    </m:r>
                  </m:e>
                  <m:sub>
                    <m:r>
                      <w:rPr>
                        <w:rFonts w:ascii="Cambria Math" w:hAnsi="Cambria Math"/>
                        <w:color w:val="000000"/>
                      </w:rPr>
                      <m:t>country</m:t>
                    </m:r>
                  </m:sub>
                </m:sSub>
              </m:oMath>
            </m:oMathPara>
          </w:p>
        </w:tc>
        <w:tc>
          <w:tcPr>
            <w:tcW w:w="1300" w:type="dxa"/>
            <w:tcBorders>
              <w:top w:val="nil"/>
              <w:left w:val="nil"/>
              <w:bottom w:val="nil"/>
              <w:right w:val="nil"/>
            </w:tcBorders>
            <w:noWrap/>
            <w:vAlign w:val="center"/>
            <w:hideMark/>
          </w:tcPr>
          <w:p w14:paraId="69ECF6A8" w14:textId="799824EC"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0.27 </w:t>
            </w:r>
          </w:p>
        </w:tc>
        <w:tc>
          <w:tcPr>
            <w:tcW w:w="1300" w:type="dxa"/>
            <w:tcBorders>
              <w:top w:val="nil"/>
              <w:left w:val="nil"/>
              <w:bottom w:val="nil"/>
              <w:right w:val="nil"/>
            </w:tcBorders>
            <w:noWrap/>
            <w:vAlign w:val="center"/>
            <w:hideMark/>
          </w:tcPr>
          <w:p w14:paraId="42BF83BE" w14:textId="102926DE"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0.10 </w:t>
            </w:r>
          </w:p>
        </w:tc>
        <w:tc>
          <w:tcPr>
            <w:tcW w:w="1300" w:type="dxa"/>
            <w:tcBorders>
              <w:top w:val="nil"/>
              <w:left w:val="nil"/>
              <w:bottom w:val="nil"/>
              <w:right w:val="nil"/>
            </w:tcBorders>
            <w:noWrap/>
            <w:vAlign w:val="center"/>
            <w:hideMark/>
          </w:tcPr>
          <w:p w14:paraId="482DDB67" w14:textId="7BB1248F"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0.07 </w:t>
            </w:r>
          </w:p>
        </w:tc>
        <w:tc>
          <w:tcPr>
            <w:tcW w:w="1300" w:type="dxa"/>
            <w:tcBorders>
              <w:top w:val="nil"/>
              <w:left w:val="nil"/>
              <w:bottom w:val="nil"/>
              <w:right w:val="nil"/>
            </w:tcBorders>
            <w:noWrap/>
            <w:vAlign w:val="center"/>
            <w:hideMark/>
          </w:tcPr>
          <w:p w14:paraId="2246CDEB" w14:textId="5A7360B1"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0.47 </w:t>
            </w:r>
          </w:p>
        </w:tc>
        <w:tc>
          <w:tcPr>
            <w:tcW w:w="1300" w:type="dxa"/>
            <w:tcBorders>
              <w:top w:val="nil"/>
              <w:left w:val="nil"/>
              <w:bottom w:val="nil"/>
              <w:right w:val="nil"/>
            </w:tcBorders>
            <w:noWrap/>
            <w:vAlign w:val="center"/>
            <w:hideMark/>
          </w:tcPr>
          <w:p w14:paraId="11567F80" w14:textId="78FD559E"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1342.00 </w:t>
            </w:r>
          </w:p>
        </w:tc>
        <w:tc>
          <w:tcPr>
            <w:tcW w:w="1300" w:type="dxa"/>
            <w:tcBorders>
              <w:top w:val="nil"/>
              <w:left w:val="nil"/>
              <w:bottom w:val="nil"/>
              <w:right w:val="nil"/>
            </w:tcBorders>
            <w:noWrap/>
            <w:vAlign w:val="center"/>
            <w:hideMark/>
          </w:tcPr>
          <w:p w14:paraId="3E65FDC8"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1.01 </w:t>
            </w:r>
          </w:p>
        </w:tc>
      </w:tr>
      <w:tr w:rsidR="009D542B" w14:paraId="62B4851B" w14:textId="77777777" w:rsidTr="00E738D6">
        <w:trPr>
          <w:trHeight w:val="320"/>
          <w:jc w:val="center"/>
        </w:trPr>
        <w:tc>
          <w:tcPr>
            <w:tcW w:w="1625" w:type="dxa"/>
            <w:tcBorders>
              <w:top w:val="nil"/>
              <w:left w:val="nil"/>
              <w:bottom w:val="single" w:sz="4" w:space="0" w:color="auto"/>
              <w:right w:val="nil"/>
            </w:tcBorders>
            <w:noWrap/>
            <w:vAlign w:val="center"/>
            <w:hideMark/>
          </w:tcPr>
          <w:p w14:paraId="63B951A8" w14:textId="4C0C978B" w:rsidR="009D542B" w:rsidRDefault="009D542B" w:rsidP="009D542B">
            <w:pPr>
              <w:rPr>
                <w:rFonts w:ascii="TimesNewRomanPSMT" w:hAnsi="TimesNewRomanPSMT" w:hint="eastAsia"/>
                <w:color w:val="000000"/>
              </w:rPr>
            </w:pPr>
            <m:oMathPara>
              <m:oMath>
                <m:sSub>
                  <m:sSubPr>
                    <m:ctrlPr>
                      <w:rPr>
                        <w:rFonts w:ascii="Cambria Math" w:hAnsi="Cambria Math"/>
                        <w:i/>
                        <w:color w:val="000000"/>
                      </w:rPr>
                    </m:ctrlPr>
                  </m:sSubPr>
                  <m:e>
                    <m:r>
                      <w:rPr>
                        <w:rFonts w:ascii="Cambria Math" w:hAnsi="Cambria Math"/>
                        <w:color w:val="000000"/>
                      </w:rPr>
                      <m:t>σ</m:t>
                    </m:r>
                  </m:e>
                  <m:sub>
                    <m:r>
                      <w:rPr>
                        <w:rFonts w:ascii="Cambria Math" w:hAnsi="Cambria Math"/>
                        <w:color w:val="000000"/>
                      </w:rPr>
                      <m:t>y</m:t>
                    </m:r>
                  </m:sub>
                </m:sSub>
              </m:oMath>
            </m:oMathPara>
          </w:p>
        </w:tc>
        <w:tc>
          <w:tcPr>
            <w:tcW w:w="1300" w:type="dxa"/>
            <w:tcBorders>
              <w:top w:val="nil"/>
              <w:left w:val="nil"/>
              <w:bottom w:val="single" w:sz="4" w:space="0" w:color="auto"/>
              <w:right w:val="nil"/>
            </w:tcBorders>
            <w:noWrap/>
            <w:vAlign w:val="center"/>
            <w:hideMark/>
          </w:tcPr>
          <w:p w14:paraId="577E9104" w14:textId="4E14F2E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0.42 </w:t>
            </w:r>
          </w:p>
        </w:tc>
        <w:tc>
          <w:tcPr>
            <w:tcW w:w="1300" w:type="dxa"/>
            <w:tcBorders>
              <w:top w:val="nil"/>
              <w:left w:val="nil"/>
              <w:bottom w:val="single" w:sz="4" w:space="0" w:color="auto"/>
              <w:right w:val="nil"/>
            </w:tcBorders>
            <w:noWrap/>
            <w:vAlign w:val="center"/>
            <w:hideMark/>
          </w:tcPr>
          <w:p w14:paraId="2D8E3161" w14:textId="396D25BD"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0.04 </w:t>
            </w:r>
          </w:p>
        </w:tc>
        <w:tc>
          <w:tcPr>
            <w:tcW w:w="1300" w:type="dxa"/>
            <w:tcBorders>
              <w:top w:val="nil"/>
              <w:left w:val="nil"/>
              <w:bottom w:val="single" w:sz="4" w:space="0" w:color="auto"/>
              <w:right w:val="nil"/>
            </w:tcBorders>
            <w:noWrap/>
            <w:vAlign w:val="center"/>
            <w:hideMark/>
          </w:tcPr>
          <w:p w14:paraId="4309116F" w14:textId="535891EF"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0.34 </w:t>
            </w:r>
          </w:p>
        </w:tc>
        <w:tc>
          <w:tcPr>
            <w:tcW w:w="1300" w:type="dxa"/>
            <w:tcBorders>
              <w:top w:val="nil"/>
              <w:left w:val="nil"/>
              <w:bottom w:val="single" w:sz="4" w:space="0" w:color="auto"/>
              <w:right w:val="nil"/>
            </w:tcBorders>
            <w:noWrap/>
            <w:vAlign w:val="center"/>
            <w:hideMark/>
          </w:tcPr>
          <w:p w14:paraId="4DEE95D5" w14:textId="24108B80"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0.50 </w:t>
            </w:r>
          </w:p>
        </w:tc>
        <w:tc>
          <w:tcPr>
            <w:tcW w:w="1300" w:type="dxa"/>
            <w:tcBorders>
              <w:top w:val="nil"/>
              <w:left w:val="nil"/>
              <w:bottom w:val="single" w:sz="4" w:space="0" w:color="auto"/>
              <w:right w:val="nil"/>
            </w:tcBorders>
            <w:noWrap/>
            <w:vAlign w:val="center"/>
            <w:hideMark/>
          </w:tcPr>
          <w:p w14:paraId="54F6E34B" w14:textId="5C34CB73"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2454.00 </w:t>
            </w:r>
          </w:p>
        </w:tc>
        <w:tc>
          <w:tcPr>
            <w:tcW w:w="1300" w:type="dxa"/>
            <w:tcBorders>
              <w:top w:val="nil"/>
              <w:left w:val="nil"/>
              <w:bottom w:val="single" w:sz="4" w:space="0" w:color="auto"/>
              <w:right w:val="nil"/>
            </w:tcBorders>
            <w:noWrap/>
            <w:vAlign w:val="center"/>
            <w:hideMark/>
          </w:tcPr>
          <w:p w14:paraId="1E7AA910"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bl>
    <w:p w14:paraId="62D9EDE0" w14:textId="769FA0EE" w:rsidR="00D85372" w:rsidRDefault="00D85372" w:rsidP="00D85372">
      <w:pPr>
        <w:rPr>
          <w:rFonts w:ascii="Times New Roman" w:hAnsi="Times New Roman" w:cs="Times New Roman"/>
        </w:rPr>
        <w:sectPr w:rsidR="00D85372" w:rsidSect="001D51D2">
          <w:pgSz w:w="11906" w:h="16838"/>
          <w:pgMar w:top="1985" w:right="1701" w:bottom="1701" w:left="1701" w:header="851" w:footer="992" w:gutter="0"/>
          <w:lnNumType w:countBy="1" w:restart="continuous"/>
          <w:cols w:space="425"/>
          <w:docGrid w:type="lines" w:linePitch="360"/>
        </w:sectPr>
      </w:pPr>
      <w:r w:rsidRPr="00D85372">
        <w:rPr>
          <w:rFonts w:ascii="Times New Roman" w:hAnsi="Times New Roman" w:cs="Times New Roman"/>
        </w:rPr>
        <w:t>The outcome is V-Dem social cohesion (</w:t>
      </w:r>
      <w:r w:rsidRPr="00D85372">
        <w:rPr>
          <w:rFonts w:ascii="Times New Roman" w:hAnsi="Times New Roman" w:cs="Times New Roman"/>
          <w:i/>
          <w:iCs/>
        </w:rPr>
        <w:t>v2smpolsoc</w:t>
      </w:r>
      <w:r w:rsidRPr="00D85372">
        <w:rPr>
          <w:rFonts w:ascii="Times New Roman" w:hAnsi="Times New Roman" w:cs="Times New Roman"/>
        </w:rPr>
        <w:t>) across 3</w:t>
      </w:r>
      <w:r w:rsidR="00B553EC">
        <w:rPr>
          <w:rFonts w:ascii="Times New Roman" w:hAnsi="Times New Roman" w:cs="Times New Roman"/>
        </w:rPr>
        <w:t>7</w:t>
      </w:r>
      <w:r w:rsidRPr="00D85372">
        <w:rPr>
          <w:rFonts w:ascii="Times New Roman" w:hAnsi="Times New Roman" w:cs="Times New Roman"/>
        </w:rPr>
        <w:t xml:space="preserve"> OECD countries, 2019–2024. Reported parameters comprise the autoregressive inertia parameter on the two-year-lagged outcome (</w:t>
      </w:r>
      <m:oMath>
        <m:r>
          <w:rPr>
            <w:rFonts w:ascii="Cambria Math" w:hAnsi="Cambria Math" w:cs="Times New Roman"/>
          </w:rPr>
          <m:t>ϕ</m:t>
        </m:r>
      </m:oMath>
      <w:r w:rsidRPr="00D85372">
        <w:rPr>
          <w:rFonts w:ascii="Times New Roman" w:hAnsi="Times New Roman" w:cs="Times New Roman"/>
        </w:rPr>
        <w:t>; v2smpolsoc_lag2), the coefficient of association on two-year-lagged log COVID-19 mortality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p,2</m:t>
            </m:r>
          </m:sub>
        </m:sSub>
      </m:oMath>
      <w:r w:rsidRPr="00D85372">
        <w:rPr>
          <w:rFonts w:ascii="Times New Roman" w:hAnsi="Times New Roman" w:cs="Times New Roman"/>
        </w:rPr>
        <w:t>; p_score_mean_lag2), the coefficient of association on the two-year-lagged mean Stringency Index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s,2</m:t>
            </m:r>
          </m:sub>
        </m:sSub>
      </m:oMath>
      <w:r w:rsidRPr="00D85372">
        <w:rPr>
          <w:rFonts w:ascii="Times New Roman" w:hAnsi="Times New Roman" w:cs="Times New Roman"/>
        </w:rPr>
        <w:t>;</w:t>
      </w:r>
      <w:r>
        <w:rPr>
          <w:rFonts w:ascii="Times New Roman" w:hAnsi="Times New Roman" w:cs="Times New Roman"/>
        </w:rPr>
        <w:t xml:space="preserve"> </w:t>
      </w:r>
      <w:r w:rsidRPr="00D85372">
        <w:rPr>
          <w:rFonts w:ascii="Times New Roman" w:hAnsi="Times New Roman" w:cs="Times New Roman"/>
        </w:rPr>
        <w:t>stringency_mean_lag2), and the four standardized macro-covariates. For each parameter we report the posterior mean, posterior standard deviation, and 95% highest-density interval (HDI), together with rank-normalized split-R̂ and bulk effective sample size. Country-level intercepts are partially pooled within UN sub-regions through a strictly non-centered, two-level hierarchy; all continuous regressors are z-standardized prior to estimation; priors and sampler settings are as specified in Appendix A. A coefficient of association is treated as credibly bounded away from zero only when its 95% HDI excludes zero.</w:t>
      </w:r>
    </w:p>
    <w:p w14:paraId="0534733E" w14:textId="2563E280" w:rsidR="00D85372" w:rsidRDefault="00D85372" w:rsidP="00D85372">
      <w:pPr>
        <w:rPr>
          <w:rFonts w:ascii="Times New Roman" w:hAnsi="Times New Roman" w:cs="Times New Roman"/>
        </w:rPr>
      </w:pPr>
      <w:r w:rsidRPr="00FB4C07">
        <w:rPr>
          <w:rFonts w:ascii="Times New Roman" w:hAnsi="Times New Roman" w:cs="Times New Roman"/>
          <w:b/>
          <w:bCs/>
        </w:rPr>
        <w:lastRenderedPageBreak/>
        <w:t>Supplementary Table S2.</w:t>
      </w:r>
      <w:r w:rsidRPr="00D85372">
        <w:rPr>
          <w:rFonts w:ascii="Times New Roman" w:hAnsi="Times New Roman" w:cs="Times New Roman"/>
        </w:rPr>
        <w:t xml:space="preserve"> Posterior summaries of the Hierarchical Bayesian Dynamic Panel Model with effect-modification (interaction) terms between pre-pandemic social cohesion and one-year-lagged pandemic-shock exposures. </w:t>
      </w:r>
    </w:p>
    <w:tbl>
      <w:tblPr>
        <w:tblW w:w="9425" w:type="dxa"/>
        <w:jc w:val="center"/>
        <w:tblCellMar>
          <w:left w:w="99" w:type="dxa"/>
          <w:right w:w="99" w:type="dxa"/>
        </w:tblCellMar>
        <w:tblLook w:val="04A0" w:firstRow="1" w:lastRow="0" w:firstColumn="1" w:lastColumn="0" w:noHBand="0" w:noVBand="1"/>
      </w:tblPr>
      <w:tblGrid>
        <w:gridCol w:w="1625"/>
        <w:gridCol w:w="1300"/>
        <w:gridCol w:w="1300"/>
        <w:gridCol w:w="1300"/>
        <w:gridCol w:w="1300"/>
        <w:gridCol w:w="1300"/>
        <w:gridCol w:w="1300"/>
      </w:tblGrid>
      <w:tr w:rsidR="00FB4C07" w14:paraId="4BE43834" w14:textId="77777777" w:rsidTr="0079025A">
        <w:trPr>
          <w:trHeight w:val="320"/>
          <w:jc w:val="center"/>
        </w:trPr>
        <w:tc>
          <w:tcPr>
            <w:tcW w:w="1625" w:type="dxa"/>
            <w:tcBorders>
              <w:top w:val="single" w:sz="4" w:space="0" w:color="auto"/>
              <w:left w:val="nil"/>
              <w:bottom w:val="single" w:sz="4" w:space="0" w:color="auto"/>
              <w:right w:val="nil"/>
            </w:tcBorders>
            <w:noWrap/>
            <w:vAlign w:val="center"/>
            <w:hideMark/>
          </w:tcPr>
          <w:p w14:paraId="5840E6C4" w14:textId="77777777" w:rsidR="00FB4C07" w:rsidRDefault="00FB4C07">
            <w:pPr>
              <w:rPr>
                <w:rFonts w:ascii="TimesNewRomanPSMT" w:hAnsi="TimesNewRomanPSMT" w:hint="eastAsia"/>
                <w:color w:val="000000"/>
              </w:rPr>
            </w:pPr>
            <w:r>
              <w:rPr>
                <w:rFonts w:ascii="TimesNewRomanPSMT" w:hAnsi="TimesNewRomanPSMT"/>
                <w:color w:val="000000"/>
              </w:rPr>
              <w:t xml:space="preserve">　</w:t>
            </w:r>
          </w:p>
        </w:tc>
        <w:tc>
          <w:tcPr>
            <w:tcW w:w="1300" w:type="dxa"/>
            <w:tcBorders>
              <w:top w:val="single" w:sz="4" w:space="0" w:color="auto"/>
              <w:left w:val="nil"/>
              <w:bottom w:val="single" w:sz="4" w:space="0" w:color="auto"/>
              <w:right w:val="nil"/>
            </w:tcBorders>
            <w:noWrap/>
            <w:vAlign w:val="center"/>
            <w:hideMark/>
          </w:tcPr>
          <w:p w14:paraId="4CE1BF40" w14:textId="77777777" w:rsidR="00FB4C07" w:rsidRDefault="00FB4C07">
            <w:pPr>
              <w:rPr>
                <w:rFonts w:ascii="TimesNewRomanPSMT" w:hAnsi="TimesNewRomanPSMT" w:hint="eastAsia"/>
                <w:color w:val="000000"/>
              </w:rPr>
            </w:pPr>
            <w:r>
              <w:rPr>
                <w:rFonts w:ascii="TimesNewRomanPSMT" w:hAnsi="TimesNewRomanPSMT"/>
                <w:color w:val="000000"/>
              </w:rPr>
              <w:t>mean</w:t>
            </w:r>
          </w:p>
        </w:tc>
        <w:tc>
          <w:tcPr>
            <w:tcW w:w="1300" w:type="dxa"/>
            <w:tcBorders>
              <w:top w:val="single" w:sz="4" w:space="0" w:color="auto"/>
              <w:left w:val="nil"/>
              <w:bottom w:val="single" w:sz="4" w:space="0" w:color="auto"/>
              <w:right w:val="nil"/>
            </w:tcBorders>
            <w:noWrap/>
            <w:vAlign w:val="center"/>
            <w:hideMark/>
          </w:tcPr>
          <w:p w14:paraId="0B72D01F" w14:textId="77777777" w:rsidR="00FB4C07" w:rsidRDefault="00FB4C07">
            <w:pPr>
              <w:rPr>
                <w:rFonts w:ascii="TimesNewRomanPSMT" w:hAnsi="TimesNewRomanPSMT" w:hint="eastAsia"/>
                <w:color w:val="000000"/>
              </w:rPr>
            </w:pPr>
            <w:proofErr w:type="spellStart"/>
            <w:r>
              <w:rPr>
                <w:rFonts w:ascii="TimesNewRomanPSMT" w:hAnsi="TimesNewRomanPSMT"/>
                <w:color w:val="000000"/>
              </w:rPr>
              <w:t>sd</w:t>
            </w:r>
            <w:proofErr w:type="spellEnd"/>
          </w:p>
        </w:tc>
        <w:tc>
          <w:tcPr>
            <w:tcW w:w="1300" w:type="dxa"/>
            <w:tcBorders>
              <w:top w:val="single" w:sz="4" w:space="0" w:color="auto"/>
              <w:left w:val="nil"/>
              <w:bottom w:val="single" w:sz="4" w:space="0" w:color="auto"/>
              <w:right w:val="nil"/>
            </w:tcBorders>
            <w:noWrap/>
            <w:vAlign w:val="center"/>
            <w:hideMark/>
          </w:tcPr>
          <w:p w14:paraId="4EA6EEE2" w14:textId="2A303B4A" w:rsidR="00FB4C07" w:rsidRDefault="00FB4C07">
            <w:pPr>
              <w:rPr>
                <w:rFonts w:ascii="TimesNewRomanPSMT" w:hAnsi="TimesNewRomanPSMT" w:hint="eastAsia"/>
                <w:color w:val="000000"/>
              </w:rPr>
            </w:pPr>
            <w:r>
              <w:rPr>
                <w:rFonts w:ascii="TimesNewRomanPSMT" w:hAnsi="TimesNewRomanPSMT"/>
                <w:color w:val="000000"/>
              </w:rPr>
              <w:t>hdi_</w:t>
            </w:r>
            <w:r w:rsidR="009D542B">
              <w:rPr>
                <w:rFonts w:ascii="TimesNewRomanPSMT" w:hAnsi="TimesNewRomanPSMT"/>
                <w:color w:val="000000"/>
              </w:rPr>
              <w:t>2.5</w:t>
            </w:r>
            <w:r>
              <w:rPr>
                <w:rFonts w:ascii="TimesNewRomanPSMT" w:hAnsi="TimesNewRomanPSMT"/>
                <w:color w:val="000000"/>
              </w:rPr>
              <w:t>%</w:t>
            </w:r>
          </w:p>
        </w:tc>
        <w:tc>
          <w:tcPr>
            <w:tcW w:w="1300" w:type="dxa"/>
            <w:tcBorders>
              <w:top w:val="single" w:sz="4" w:space="0" w:color="auto"/>
              <w:left w:val="nil"/>
              <w:bottom w:val="single" w:sz="4" w:space="0" w:color="auto"/>
              <w:right w:val="nil"/>
            </w:tcBorders>
            <w:noWrap/>
            <w:vAlign w:val="center"/>
            <w:hideMark/>
          </w:tcPr>
          <w:p w14:paraId="752721B9" w14:textId="10838A45" w:rsidR="00FB4C07" w:rsidRDefault="00FB4C07">
            <w:pPr>
              <w:rPr>
                <w:rFonts w:ascii="TimesNewRomanPSMT" w:hAnsi="TimesNewRomanPSMT" w:hint="eastAsia"/>
                <w:color w:val="000000"/>
              </w:rPr>
            </w:pPr>
            <w:r>
              <w:rPr>
                <w:rFonts w:ascii="TimesNewRomanPSMT" w:hAnsi="TimesNewRomanPSMT"/>
                <w:color w:val="000000"/>
              </w:rPr>
              <w:t>hdi_97</w:t>
            </w:r>
            <w:r w:rsidR="009D542B">
              <w:rPr>
                <w:rFonts w:ascii="TimesNewRomanPSMT" w:hAnsi="TimesNewRomanPSMT"/>
                <w:color w:val="000000"/>
              </w:rPr>
              <w:t>.5</w:t>
            </w:r>
            <w:r>
              <w:rPr>
                <w:rFonts w:ascii="TimesNewRomanPSMT" w:hAnsi="TimesNewRomanPSMT"/>
                <w:color w:val="000000"/>
              </w:rPr>
              <w:t>%</w:t>
            </w:r>
          </w:p>
        </w:tc>
        <w:tc>
          <w:tcPr>
            <w:tcW w:w="1300" w:type="dxa"/>
            <w:tcBorders>
              <w:top w:val="single" w:sz="4" w:space="0" w:color="auto"/>
              <w:left w:val="nil"/>
              <w:bottom w:val="single" w:sz="4" w:space="0" w:color="auto"/>
              <w:right w:val="nil"/>
            </w:tcBorders>
            <w:noWrap/>
            <w:vAlign w:val="center"/>
            <w:hideMark/>
          </w:tcPr>
          <w:p w14:paraId="7945BD4D" w14:textId="77777777" w:rsidR="00FB4C07" w:rsidRDefault="00FB4C07">
            <w:pPr>
              <w:rPr>
                <w:rFonts w:ascii="TimesNewRomanPSMT" w:hAnsi="TimesNewRomanPSMT" w:hint="eastAsia"/>
                <w:color w:val="000000"/>
              </w:rPr>
            </w:pPr>
            <w:proofErr w:type="spellStart"/>
            <w:r>
              <w:rPr>
                <w:rFonts w:ascii="TimesNewRomanPSMT" w:hAnsi="TimesNewRomanPSMT"/>
                <w:color w:val="000000"/>
              </w:rPr>
              <w:t>ess_bulk</w:t>
            </w:r>
            <w:proofErr w:type="spellEnd"/>
          </w:p>
        </w:tc>
        <w:tc>
          <w:tcPr>
            <w:tcW w:w="1300" w:type="dxa"/>
            <w:tcBorders>
              <w:top w:val="single" w:sz="4" w:space="0" w:color="auto"/>
              <w:left w:val="nil"/>
              <w:bottom w:val="single" w:sz="4" w:space="0" w:color="auto"/>
              <w:right w:val="nil"/>
            </w:tcBorders>
            <w:noWrap/>
            <w:vAlign w:val="center"/>
            <w:hideMark/>
          </w:tcPr>
          <w:p w14:paraId="037C1FFF" w14:textId="77777777" w:rsidR="00FB4C07" w:rsidRDefault="00FB4C07">
            <w:pPr>
              <w:rPr>
                <w:rFonts w:ascii="TimesNewRomanPSMT" w:hAnsi="TimesNewRomanPSMT" w:hint="eastAsia"/>
                <w:color w:val="000000"/>
              </w:rPr>
            </w:pPr>
            <w:proofErr w:type="spellStart"/>
            <w:r>
              <w:rPr>
                <w:rFonts w:ascii="TimesNewRomanPSMT" w:hAnsi="TimesNewRomanPSMT"/>
                <w:color w:val="000000"/>
              </w:rPr>
              <w:t>r_hat</w:t>
            </w:r>
            <w:proofErr w:type="spellEnd"/>
          </w:p>
        </w:tc>
      </w:tr>
      <w:tr w:rsidR="009D542B" w14:paraId="766575BD" w14:textId="77777777" w:rsidTr="0079025A">
        <w:trPr>
          <w:trHeight w:val="320"/>
          <w:jc w:val="center"/>
        </w:trPr>
        <w:tc>
          <w:tcPr>
            <w:tcW w:w="1625" w:type="dxa"/>
            <w:tcBorders>
              <w:top w:val="nil"/>
              <w:left w:val="nil"/>
              <w:bottom w:val="nil"/>
              <w:right w:val="nil"/>
            </w:tcBorders>
            <w:noWrap/>
            <w:vAlign w:val="center"/>
            <w:hideMark/>
          </w:tcPr>
          <w:p w14:paraId="0D4CF012" w14:textId="10ADDEC4" w:rsidR="009D542B" w:rsidRDefault="009D542B" w:rsidP="009D542B">
            <w:pPr>
              <w:rPr>
                <w:rFonts w:ascii="TimesNewRomanPSMT" w:hAnsi="TimesNewRomanPSMT" w:hint="eastAsia"/>
                <w:color w:val="000000"/>
              </w:rPr>
            </w:pPr>
            <m:oMathPara>
              <m:oMath>
                <m:r>
                  <w:rPr>
                    <w:rFonts w:ascii="Cambria Math" w:hAnsi="Cambria Math" w:cs="Times New Roman"/>
                  </w:rPr>
                  <m:t>ϕ</m:t>
                </m:r>
              </m:oMath>
            </m:oMathPara>
          </w:p>
        </w:tc>
        <w:tc>
          <w:tcPr>
            <w:tcW w:w="1300" w:type="dxa"/>
            <w:tcBorders>
              <w:top w:val="nil"/>
              <w:left w:val="nil"/>
              <w:bottom w:val="nil"/>
              <w:right w:val="nil"/>
            </w:tcBorders>
            <w:noWrap/>
            <w:vAlign w:val="center"/>
            <w:hideMark/>
          </w:tcPr>
          <w:p w14:paraId="5BA29976" w14:textId="1054EDE3"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1.28 </w:t>
            </w:r>
          </w:p>
        </w:tc>
        <w:tc>
          <w:tcPr>
            <w:tcW w:w="1300" w:type="dxa"/>
            <w:tcBorders>
              <w:top w:val="nil"/>
              <w:left w:val="nil"/>
              <w:bottom w:val="nil"/>
              <w:right w:val="nil"/>
            </w:tcBorders>
            <w:noWrap/>
            <w:vAlign w:val="center"/>
            <w:hideMark/>
          </w:tcPr>
          <w:p w14:paraId="07E6232E" w14:textId="079A8F63"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0.05 </w:t>
            </w:r>
          </w:p>
        </w:tc>
        <w:tc>
          <w:tcPr>
            <w:tcW w:w="1300" w:type="dxa"/>
            <w:tcBorders>
              <w:top w:val="nil"/>
              <w:left w:val="nil"/>
              <w:bottom w:val="nil"/>
              <w:right w:val="nil"/>
            </w:tcBorders>
            <w:noWrap/>
            <w:vAlign w:val="center"/>
            <w:hideMark/>
          </w:tcPr>
          <w:p w14:paraId="22E050FD" w14:textId="48CDAA7E"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1.19 </w:t>
            </w:r>
          </w:p>
        </w:tc>
        <w:tc>
          <w:tcPr>
            <w:tcW w:w="1300" w:type="dxa"/>
            <w:tcBorders>
              <w:top w:val="nil"/>
              <w:left w:val="nil"/>
              <w:bottom w:val="nil"/>
              <w:right w:val="nil"/>
            </w:tcBorders>
            <w:noWrap/>
            <w:vAlign w:val="center"/>
            <w:hideMark/>
          </w:tcPr>
          <w:p w14:paraId="128FB302" w14:textId="4202F5DD"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1.37 </w:t>
            </w:r>
          </w:p>
        </w:tc>
        <w:tc>
          <w:tcPr>
            <w:tcW w:w="1300" w:type="dxa"/>
            <w:tcBorders>
              <w:top w:val="nil"/>
              <w:left w:val="nil"/>
              <w:bottom w:val="nil"/>
              <w:right w:val="nil"/>
            </w:tcBorders>
            <w:noWrap/>
            <w:vAlign w:val="center"/>
            <w:hideMark/>
          </w:tcPr>
          <w:p w14:paraId="2DD316F0" w14:textId="06C06A16"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9507.00 </w:t>
            </w:r>
          </w:p>
        </w:tc>
        <w:tc>
          <w:tcPr>
            <w:tcW w:w="1300" w:type="dxa"/>
            <w:tcBorders>
              <w:top w:val="nil"/>
              <w:left w:val="nil"/>
              <w:bottom w:val="nil"/>
              <w:right w:val="nil"/>
            </w:tcBorders>
            <w:noWrap/>
            <w:vAlign w:val="center"/>
            <w:hideMark/>
          </w:tcPr>
          <w:p w14:paraId="1623CC68"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13069E75" w14:textId="77777777" w:rsidTr="0079025A">
        <w:trPr>
          <w:trHeight w:val="320"/>
          <w:jc w:val="center"/>
        </w:trPr>
        <w:tc>
          <w:tcPr>
            <w:tcW w:w="1625" w:type="dxa"/>
            <w:tcBorders>
              <w:top w:val="nil"/>
              <w:left w:val="nil"/>
              <w:bottom w:val="nil"/>
              <w:right w:val="nil"/>
            </w:tcBorders>
            <w:noWrap/>
            <w:vAlign w:val="center"/>
            <w:hideMark/>
          </w:tcPr>
          <w:p w14:paraId="2D62CA33" w14:textId="4ED284E7" w:rsidR="009D542B" w:rsidRDefault="009D542B" w:rsidP="009D542B">
            <w:pPr>
              <w:rPr>
                <w:rFonts w:ascii="TimesNewRomanPSMT" w:hAnsi="TimesNewRomanPSMT" w:hint="eastAsia"/>
                <w:color w:val="000000"/>
              </w:rPr>
            </w:pPr>
            <m:oMathPara>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p</m:t>
                    </m:r>
                  </m:sub>
                </m:sSub>
              </m:oMath>
            </m:oMathPara>
          </w:p>
        </w:tc>
        <w:tc>
          <w:tcPr>
            <w:tcW w:w="1300" w:type="dxa"/>
            <w:tcBorders>
              <w:top w:val="nil"/>
              <w:left w:val="nil"/>
              <w:bottom w:val="nil"/>
              <w:right w:val="nil"/>
            </w:tcBorders>
            <w:noWrap/>
            <w:vAlign w:val="center"/>
            <w:hideMark/>
          </w:tcPr>
          <w:p w14:paraId="41F3C7A4" w14:textId="4658D86D"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-0.01 </w:t>
            </w:r>
          </w:p>
        </w:tc>
        <w:tc>
          <w:tcPr>
            <w:tcW w:w="1300" w:type="dxa"/>
            <w:tcBorders>
              <w:top w:val="nil"/>
              <w:left w:val="nil"/>
              <w:bottom w:val="nil"/>
              <w:right w:val="nil"/>
            </w:tcBorders>
            <w:noWrap/>
            <w:vAlign w:val="center"/>
            <w:hideMark/>
          </w:tcPr>
          <w:p w14:paraId="403EB280" w14:textId="4FC94811"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0.05 </w:t>
            </w:r>
          </w:p>
        </w:tc>
        <w:tc>
          <w:tcPr>
            <w:tcW w:w="1300" w:type="dxa"/>
            <w:tcBorders>
              <w:top w:val="nil"/>
              <w:left w:val="nil"/>
              <w:bottom w:val="nil"/>
              <w:right w:val="nil"/>
            </w:tcBorders>
            <w:noWrap/>
            <w:vAlign w:val="center"/>
            <w:hideMark/>
          </w:tcPr>
          <w:p w14:paraId="40529CC3" w14:textId="00CBA8D3"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-0.10 </w:t>
            </w:r>
          </w:p>
        </w:tc>
        <w:tc>
          <w:tcPr>
            <w:tcW w:w="1300" w:type="dxa"/>
            <w:tcBorders>
              <w:top w:val="nil"/>
              <w:left w:val="nil"/>
              <w:bottom w:val="nil"/>
              <w:right w:val="nil"/>
            </w:tcBorders>
            <w:noWrap/>
            <w:vAlign w:val="center"/>
            <w:hideMark/>
          </w:tcPr>
          <w:p w14:paraId="3C54AA86" w14:textId="1AD97D09"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0.09 </w:t>
            </w:r>
          </w:p>
        </w:tc>
        <w:tc>
          <w:tcPr>
            <w:tcW w:w="1300" w:type="dxa"/>
            <w:tcBorders>
              <w:top w:val="nil"/>
              <w:left w:val="nil"/>
              <w:bottom w:val="nil"/>
              <w:right w:val="nil"/>
            </w:tcBorders>
            <w:noWrap/>
            <w:vAlign w:val="center"/>
            <w:hideMark/>
          </w:tcPr>
          <w:p w14:paraId="171EADAD" w14:textId="3F2980C5"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10708.00 </w:t>
            </w:r>
          </w:p>
        </w:tc>
        <w:tc>
          <w:tcPr>
            <w:tcW w:w="1300" w:type="dxa"/>
            <w:tcBorders>
              <w:top w:val="nil"/>
              <w:left w:val="nil"/>
              <w:bottom w:val="nil"/>
              <w:right w:val="nil"/>
            </w:tcBorders>
            <w:noWrap/>
            <w:vAlign w:val="center"/>
            <w:hideMark/>
          </w:tcPr>
          <w:p w14:paraId="0EF974E8"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5286FD0F" w14:textId="77777777" w:rsidTr="0079025A">
        <w:trPr>
          <w:trHeight w:val="320"/>
          <w:jc w:val="center"/>
        </w:trPr>
        <w:tc>
          <w:tcPr>
            <w:tcW w:w="1625" w:type="dxa"/>
            <w:tcBorders>
              <w:top w:val="nil"/>
              <w:left w:val="nil"/>
              <w:bottom w:val="nil"/>
              <w:right w:val="nil"/>
            </w:tcBorders>
            <w:noWrap/>
            <w:vAlign w:val="center"/>
            <w:hideMark/>
          </w:tcPr>
          <w:p w14:paraId="7FF9AE7D" w14:textId="4FCA5A6D" w:rsidR="009D542B" w:rsidRDefault="009D542B" w:rsidP="009D542B">
            <w:pPr>
              <w:rPr>
                <w:rFonts w:ascii="TimesNewRomanPSMT" w:hAnsi="TimesNewRomanPSMT" w:hint="eastAsia"/>
                <w:color w:val="000000"/>
              </w:rPr>
            </w:pPr>
            <m:oMathPara>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m:t>
                    </m:r>
                  </m:sub>
                </m:sSub>
              </m:oMath>
            </m:oMathPara>
          </w:p>
        </w:tc>
        <w:tc>
          <w:tcPr>
            <w:tcW w:w="1300" w:type="dxa"/>
            <w:tcBorders>
              <w:top w:val="nil"/>
              <w:left w:val="nil"/>
              <w:bottom w:val="nil"/>
              <w:right w:val="nil"/>
            </w:tcBorders>
            <w:noWrap/>
            <w:vAlign w:val="center"/>
            <w:hideMark/>
          </w:tcPr>
          <w:p w14:paraId="28A7F643" w14:textId="438C9523"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-0.01 </w:t>
            </w:r>
          </w:p>
        </w:tc>
        <w:tc>
          <w:tcPr>
            <w:tcW w:w="1300" w:type="dxa"/>
            <w:tcBorders>
              <w:top w:val="nil"/>
              <w:left w:val="nil"/>
              <w:bottom w:val="nil"/>
              <w:right w:val="nil"/>
            </w:tcBorders>
            <w:noWrap/>
            <w:vAlign w:val="center"/>
            <w:hideMark/>
          </w:tcPr>
          <w:p w14:paraId="4E9F1DC3" w14:textId="30AD391C"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0.04 </w:t>
            </w:r>
          </w:p>
        </w:tc>
        <w:tc>
          <w:tcPr>
            <w:tcW w:w="1300" w:type="dxa"/>
            <w:tcBorders>
              <w:top w:val="nil"/>
              <w:left w:val="nil"/>
              <w:bottom w:val="nil"/>
              <w:right w:val="nil"/>
            </w:tcBorders>
            <w:noWrap/>
            <w:vAlign w:val="center"/>
            <w:hideMark/>
          </w:tcPr>
          <w:p w14:paraId="4945AF3C" w14:textId="60AE1C84"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-0.08 </w:t>
            </w:r>
          </w:p>
        </w:tc>
        <w:tc>
          <w:tcPr>
            <w:tcW w:w="1300" w:type="dxa"/>
            <w:tcBorders>
              <w:top w:val="nil"/>
              <w:left w:val="nil"/>
              <w:bottom w:val="nil"/>
              <w:right w:val="nil"/>
            </w:tcBorders>
            <w:noWrap/>
            <w:vAlign w:val="center"/>
            <w:hideMark/>
          </w:tcPr>
          <w:p w14:paraId="11607222" w14:textId="6D8B1865"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0.06 </w:t>
            </w:r>
          </w:p>
        </w:tc>
        <w:tc>
          <w:tcPr>
            <w:tcW w:w="1300" w:type="dxa"/>
            <w:tcBorders>
              <w:top w:val="nil"/>
              <w:left w:val="nil"/>
              <w:bottom w:val="nil"/>
              <w:right w:val="nil"/>
            </w:tcBorders>
            <w:noWrap/>
            <w:vAlign w:val="center"/>
            <w:hideMark/>
          </w:tcPr>
          <w:p w14:paraId="3C0733F4" w14:textId="7CD8FFA9"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14613.00 </w:t>
            </w:r>
          </w:p>
        </w:tc>
        <w:tc>
          <w:tcPr>
            <w:tcW w:w="1300" w:type="dxa"/>
            <w:tcBorders>
              <w:top w:val="nil"/>
              <w:left w:val="nil"/>
              <w:bottom w:val="nil"/>
              <w:right w:val="nil"/>
            </w:tcBorders>
            <w:noWrap/>
            <w:vAlign w:val="center"/>
            <w:hideMark/>
          </w:tcPr>
          <w:p w14:paraId="7B60FAEB"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018CE9A4" w14:textId="77777777" w:rsidTr="0079025A">
        <w:trPr>
          <w:trHeight w:val="320"/>
          <w:jc w:val="center"/>
        </w:trPr>
        <w:tc>
          <w:tcPr>
            <w:tcW w:w="1625" w:type="dxa"/>
            <w:tcBorders>
              <w:top w:val="nil"/>
              <w:left w:val="nil"/>
              <w:bottom w:val="nil"/>
              <w:right w:val="nil"/>
            </w:tcBorders>
            <w:noWrap/>
            <w:vAlign w:val="center"/>
            <w:hideMark/>
          </w:tcPr>
          <w:p w14:paraId="1FA713AD" w14:textId="17D3DAED" w:rsidR="009D542B" w:rsidRDefault="009D542B" w:rsidP="009D542B">
            <w:pPr>
              <w:rPr>
                <w:rFonts w:ascii="TimesNewRomanPSMT" w:hAnsi="TimesNewRomanPSMT" w:hint="eastAsia"/>
                <w:color w:val="000000"/>
              </w:rPr>
            </w:pPr>
            <m:oMathPara>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inter,p</m:t>
                    </m:r>
                  </m:sub>
                </m:sSub>
              </m:oMath>
            </m:oMathPara>
          </w:p>
        </w:tc>
        <w:tc>
          <w:tcPr>
            <w:tcW w:w="1300" w:type="dxa"/>
            <w:tcBorders>
              <w:top w:val="nil"/>
              <w:left w:val="nil"/>
              <w:bottom w:val="nil"/>
              <w:right w:val="nil"/>
            </w:tcBorders>
            <w:noWrap/>
            <w:vAlign w:val="center"/>
            <w:hideMark/>
          </w:tcPr>
          <w:p w14:paraId="67AA848D" w14:textId="1F30C80D"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-0.08 </w:t>
            </w:r>
          </w:p>
        </w:tc>
        <w:tc>
          <w:tcPr>
            <w:tcW w:w="1300" w:type="dxa"/>
            <w:tcBorders>
              <w:top w:val="nil"/>
              <w:left w:val="nil"/>
              <w:bottom w:val="nil"/>
              <w:right w:val="nil"/>
            </w:tcBorders>
            <w:noWrap/>
            <w:vAlign w:val="center"/>
            <w:hideMark/>
          </w:tcPr>
          <w:p w14:paraId="13ABF19D" w14:textId="16408E41"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0.04 </w:t>
            </w:r>
          </w:p>
        </w:tc>
        <w:tc>
          <w:tcPr>
            <w:tcW w:w="1300" w:type="dxa"/>
            <w:tcBorders>
              <w:top w:val="nil"/>
              <w:left w:val="nil"/>
              <w:bottom w:val="nil"/>
              <w:right w:val="nil"/>
            </w:tcBorders>
            <w:noWrap/>
            <w:vAlign w:val="center"/>
            <w:hideMark/>
          </w:tcPr>
          <w:p w14:paraId="4660C616" w14:textId="253067B0"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-0.15 </w:t>
            </w:r>
          </w:p>
        </w:tc>
        <w:tc>
          <w:tcPr>
            <w:tcW w:w="1300" w:type="dxa"/>
            <w:tcBorders>
              <w:top w:val="nil"/>
              <w:left w:val="nil"/>
              <w:bottom w:val="nil"/>
              <w:right w:val="nil"/>
            </w:tcBorders>
            <w:noWrap/>
            <w:vAlign w:val="center"/>
            <w:hideMark/>
          </w:tcPr>
          <w:p w14:paraId="099C20B9" w14:textId="38146665"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0.00 </w:t>
            </w:r>
          </w:p>
        </w:tc>
        <w:tc>
          <w:tcPr>
            <w:tcW w:w="1300" w:type="dxa"/>
            <w:tcBorders>
              <w:top w:val="nil"/>
              <w:left w:val="nil"/>
              <w:bottom w:val="nil"/>
              <w:right w:val="nil"/>
            </w:tcBorders>
            <w:noWrap/>
            <w:vAlign w:val="center"/>
            <w:hideMark/>
          </w:tcPr>
          <w:p w14:paraId="45A00DCF" w14:textId="21C07774"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10707.00 </w:t>
            </w:r>
          </w:p>
        </w:tc>
        <w:tc>
          <w:tcPr>
            <w:tcW w:w="1300" w:type="dxa"/>
            <w:tcBorders>
              <w:top w:val="nil"/>
              <w:left w:val="nil"/>
              <w:bottom w:val="nil"/>
              <w:right w:val="nil"/>
            </w:tcBorders>
            <w:noWrap/>
            <w:vAlign w:val="center"/>
            <w:hideMark/>
          </w:tcPr>
          <w:p w14:paraId="283E854F"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64B125CA" w14:textId="77777777" w:rsidTr="0079025A">
        <w:trPr>
          <w:trHeight w:val="320"/>
          <w:jc w:val="center"/>
        </w:trPr>
        <w:tc>
          <w:tcPr>
            <w:tcW w:w="1625" w:type="dxa"/>
            <w:tcBorders>
              <w:top w:val="nil"/>
              <w:left w:val="nil"/>
              <w:bottom w:val="nil"/>
              <w:right w:val="nil"/>
            </w:tcBorders>
            <w:noWrap/>
            <w:vAlign w:val="center"/>
            <w:hideMark/>
          </w:tcPr>
          <w:p w14:paraId="15EBE610" w14:textId="4A8E2B5B" w:rsidR="009D542B" w:rsidRDefault="009D542B" w:rsidP="009D542B">
            <w:pPr>
              <w:rPr>
                <w:rFonts w:ascii="TimesNewRomanPSMT" w:hAnsi="TimesNewRomanPSMT" w:hint="eastAsia"/>
                <w:color w:val="000000"/>
              </w:rPr>
            </w:pPr>
            <m:oMathPara>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inter,s</m:t>
                    </m:r>
                  </m:sub>
                </m:sSub>
              </m:oMath>
            </m:oMathPara>
          </w:p>
        </w:tc>
        <w:tc>
          <w:tcPr>
            <w:tcW w:w="1300" w:type="dxa"/>
            <w:tcBorders>
              <w:top w:val="nil"/>
              <w:left w:val="nil"/>
              <w:bottom w:val="nil"/>
              <w:right w:val="nil"/>
            </w:tcBorders>
            <w:noWrap/>
            <w:vAlign w:val="center"/>
            <w:hideMark/>
          </w:tcPr>
          <w:p w14:paraId="15E5B11C" w14:textId="59C86C1C"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-0.03 </w:t>
            </w:r>
          </w:p>
        </w:tc>
        <w:tc>
          <w:tcPr>
            <w:tcW w:w="1300" w:type="dxa"/>
            <w:tcBorders>
              <w:top w:val="nil"/>
              <w:left w:val="nil"/>
              <w:bottom w:val="nil"/>
              <w:right w:val="nil"/>
            </w:tcBorders>
            <w:noWrap/>
            <w:vAlign w:val="center"/>
            <w:hideMark/>
          </w:tcPr>
          <w:p w14:paraId="27C82E1E" w14:textId="5A2C9E68"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0.04 </w:t>
            </w:r>
          </w:p>
        </w:tc>
        <w:tc>
          <w:tcPr>
            <w:tcW w:w="1300" w:type="dxa"/>
            <w:tcBorders>
              <w:top w:val="nil"/>
              <w:left w:val="nil"/>
              <w:bottom w:val="nil"/>
              <w:right w:val="nil"/>
            </w:tcBorders>
            <w:noWrap/>
            <w:vAlign w:val="center"/>
            <w:hideMark/>
          </w:tcPr>
          <w:p w14:paraId="459DF3CD" w14:textId="0DBF1396"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-0.10 </w:t>
            </w:r>
          </w:p>
        </w:tc>
        <w:tc>
          <w:tcPr>
            <w:tcW w:w="1300" w:type="dxa"/>
            <w:tcBorders>
              <w:top w:val="nil"/>
              <w:left w:val="nil"/>
              <w:bottom w:val="nil"/>
              <w:right w:val="nil"/>
            </w:tcBorders>
            <w:noWrap/>
            <w:vAlign w:val="center"/>
            <w:hideMark/>
          </w:tcPr>
          <w:p w14:paraId="579ED8D3" w14:textId="4DC66C6A"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0.05 </w:t>
            </w:r>
          </w:p>
        </w:tc>
        <w:tc>
          <w:tcPr>
            <w:tcW w:w="1300" w:type="dxa"/>
            <w:tcBorders>
              <w:top w:val="nil"/>
              <w:left w:val="nil"/>
              <w:bottom w:val="nil"/>
              <w:right w:val="nil"/>
            </w:tcBorders>
            <w:noWrap/>
            <w:vAlign w:val="center"/>
            <w:hideMark/>
          </w:tcPr>
          <w:p w14:paraId="03F0F49E" w14:textId="5227B585"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14181.00 </w:t>
            </w:r>
          </w:p>
        </w:tc>
        <w:tc>
          <w:tcPr>
            <w:tcW w:w="1300" w:type="dxa"/>
            <w:tcBorders>
              <w:top w:val="nil"/>
              <w:left w:val="nil"/>
              <w:bottom w:val="nil"/>
              <w:right w:val="nil"/>
            </w:tcBorders>
            <w:noWrap/>
            <w:vAlign w:val="center"/>
            <w:hideMark/>
          </w:tcPr>
          <w:p w14:paraId="4DE4FC55"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7795A7DA" w14:textId="77777777" w:rsidTr="0079025A">
        <w:trPr>
          <w:trHeight w:val="320"/>
          <w:jc w:val="center"/>
        </w:trPr>
        <w:tc>
          <w:tcPr>
            <w:tcW w:w="1625" w:type="dxa"/>
            <w:tcBorders>
              <w:top w:val="nil"/>
              <w:left w:val="nil"/>
              <w:bottom w:val="nil"/>
              <w:right w:val="nil"/>
            </w:tcBorders>
            <w:noWrap/>
            <w:vAlign w:val="center"/>
            <w:hideMark/>
          </w:tcPr>
          <w:p w14:paraId="7B039936" w14:textId="5C7C8605" w:rsidR="009D542B" w:rsidRDefault="009D542B" w:rsidP="009D542B">
            <w:pPr>
              <w:rPr>
                <w:rFonts w:ascii="TimesNewRomanPSMT" w:hAnsi="TimesNewRomanPSMT" w:hint="eastAsia"/>
                <w:color w:val="000000"/>
              </w:rPr>
            </w:pPr>
            <m:oMathPara>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pop</m:t>
                    </m:r>
                  </m:sub>
                </m:sSub>
              </m:oMath>
            </m:oMathPara>
          </w:p>
        </w:tc>
        <w:tc>
          <w:tcPr>
            <w:tcW w:w="1300" w:type="dxa"/>
            <w:tcBorders>
              <w:top w:val="nil"/>
              <w:left w:val="nil"/>
              <w:bottom w:val="nil"/>
              <w:right w:val="nil"/>
            </w:tcBorders>
            <w:noWrap/>
            <w:vAlign w:val="center"/>
            <w:hideMark/>
          </w:tcPr>
          <w:p w14:paraId="54199CDC" w14:textId="02110D6A"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-0.03 </w:t>
            </w:r>
          </w:p>
        </w:tc>
        <w:tc>
          <w:tcPr>
            <w:tcW w:w="1300" w:type="dxa"/>
            <w:tcBorders>
              <w:top w:val="nil"/>
              <w:left w:val="nil"/>
              <w:bottom w:val="nil"/>
              <w:right w:val="nil"/>
            </w:tcBorders>
            <w:noWrap/>
            <w:vAlign w:val="center"/>
            <w:hideMark/>
          </w:tcPr>
          <w:p w14:paraId="75A38181" w14:textId="500ADF1E"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0.05 </w:t>
            </w:r>
          </w:p>
        </w:tc>
        <w:tc>
          <w:tcPr>
            <w:tcW w:w="1300" w:type="dxa"/>
            <w:tcBorders>
              <w:top w:val="nil"/>
              <w:left w:val="nil"/>
              <w:bottom w:val="nil"/>
              <w:right w:val="nil"/>
            </w:tcBorders>
            <w:noWrap/>
            <w:vAlign w:val="center"/>
            <w:hideMark/>
          </w:tcPr>
          <w:p w14:paraId="1CAC2D0C" w14:textId="3BA27E03"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-0.13 </w:t>
            </w:r>
          </w:p>
        </w:tc>
        <w:tc>
          <w:tcPr>
            <w:tcW w:w="1300" w:type="dxa"/>
            <w:tcBorders>
              <w:top w:val="nil"/>
              <w:left w:val="nil"/>
              <w:bottom w:val="nil"/>
              <w:right w:val="nil"/>
            </w:tcBorders>
            <w:noWrap/>
            <w:vAlign w:val="center"/>
            <w:hideMark/>
          </w:tcPr>
          <w:p w14:paraId="1448F084" w14:textId="59C5B94E"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0.07 </w:t>
            </w:r>
          </w:p>
        </w:tc>
        <w:tc>
          <w:tcPr>
            <w:tcW w:w="1300" w:type="dxa"/>
            <w:tcBorders>
              <w:top w:val="nil"/>
              <w:left w:val="nil"/>
              <w:bottom w:val="nil"/>
              <w:right w:val="nil"/>
            </w:tcBorders>
            <w:noWrap/>
            <w:vAlign w:val="center"/>
            <w:hideMark/>
          </w:tcPr>
          <w:p w14:paraId="4D3FB28C" w14:textId="318D88CA"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8543.00 </w:t>
            </w:r>
          </w:p>
        </w:tc>
        <w:tc>
          <w:tcPr>
            <w:tcW w:w="1300" w:type="dxa"/>
            <w:tcBorders>
              <w:top w:val="nil"/>
              <w:left w:val="nil"/>
              <w:bottom w:val="nil"/>
              <w:right w:val="nil"/>
            </w:tcBorders>
            <w:noWrap/>
            <w:vAlign w:val="center"/>
            <w:hideMark/>
          </w:tcPr>
          <w:p w14:paraId="1FB18059"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71391CE4" w14:textId="77777777" w:rsidTr="0079025A">
        <w:trPr>
          <w:trHeight w:val="320"/>
          <w:jc w:val="center"/>
        </w:trPr>
        <w:tc>
          <w:tcPr>
            <w:tcW w:w="1625" w:type="dxa"/>
            <w:tcBorders>
              <w:top w:val="nil"/>
              <w:left w:val="nil"/>
              <w:bottom w:val="nil"/>
              <w:right w:val="nil"/>
            </w:tcBorders>
            <w:noWrap/>
            <w:vAlign w:val="center"/>
            <w:hideMark/>
          </w:tcPr>
          <w:p w14:paraId="43554803" w14:textId="7C984EF1" w:rsidR="009D542B" w:rsidRDefault="009D542B" w:rsidP="009D542B">
            <w:pPr>
              <w:rPr>
                <w:rFonts w:ascii="TimesNewRomanPSMT" w:hAnsi="TimesNewRomanPSMT" w:hint="eastAsia"/>
                <w:color w:val="000000"/>
              </w:rPr>
            </w:pPr>
            <m:oMathPara>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urb</m:t>
                    </m:r>
                  </m:sub>
                </m:sSub>
              </m:oMath>
            </m:oMathPara>
          </w:p>
        </w:tc>
        <w:tc>
          <w:tcPr>
            <w:tcW w:w="1300" w:type="dxa"/>
            <w:tcBorders>
              <w:top w:val="nil"/>
              <w:left w:val="nil"/>
              <w:bottom w:val="nil"/>
              <w:right w:val="nil"/>
            </w:tcBorders>
            <w:noWrap/>
            <w:vAlign w:val="center"/>
            <w:hideMark/>
          </w:tcPr>
          <w:p w14:paraId="39B871A2" w14:textId="18F74A85"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0.02 </w:t>
            </w:r>
          </w:p>
        </w:tc>
        <w:tc>
          <w:tcPr>
            <w:tcW w:w="1300" w:type="dxa"/>
            <w:tcBorders>
              <w:top w:val="nil"/>
              <w:left w:val="nil"/>
              <w:bottom w:val="nil"/>
              <w:right w:val="nil"/>
            </w:tcBorders>
            <w:noWrap/>
            <w:vAlign w:val="center"/>
            <w:hideMark/>
          </w:tcPr>
          <w:p w14:paraId="73EC25D2" w14:textId="459ADD59"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0.04 </w:t>
            </w:r>
          </w:p>
        </w:tc>
        <w:tc>
          <w:tcPr>
            <w:tcW w:w="1300" w:type="dxa"/>
            <w:tcBorders>
              <w:top w:val="nil"/>
              <w:left w:val="nil"/>
              <w:bottom w:val="nil"/>
              <w:right w:val="nil"/>
            </w:tcBorders>
            <w:noWrap/>
            <w:vAlign w:val="center"/>
            <w:hideMark/>
          </w:tcPr>
          <w:p w14:paraId="4573DE8D" w14:textId="33A3093D"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-0.06 </w:t>
            </w:r>
          </w:p>
        </w:tc>
        <w:tc>
          <w:tcPr>
            <w:tcW w:w="1300" w:type="dxa"/>
            <w:tcBorders>
              <w:top w:val="nil"/>
              <w:left w:val="nil"/>
              <w:bottom w:val="nil"/>
              <w:right w:val="nil"/>
            </w:tcBorders>
            <w:noWrap/>
            <w:vAlign w:val="center"/>
            <w:hideMark/>
          </w:tcPr>
          <w:p w14:paraId="092DAB68" w14:textId="15DF60EB"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0.11 </w:t>
            </w:r>
          </w:p>
        </w:tc>
        <w:tc>
          <w:tcPr>
            <w:tcW w:w="1300" w:type="dxa"/>
            <w:tcBorders>
              <w:top w:val="nil"/>
              <w:left w:val="nil"/>
              <w:bottom w:val="nil"/>
              <w:right w:val="nil"/>
            </w:tcBorders>
            <w:noWrap/>
            <w:vAlign w:val="center"/>
            <w:hideMark/>
          </w:tcPr>
          <w:p w14:paraId="381562A3" w14:textId="3C043CD9"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9068.00 </w:t>
            </w:r>
          </w:p>
        </w:tc>
        <w:tc>
          <w:tcPr>
            <w:tcW w:w="1300" w:type="dxa"/>
            <w:tcBorders>
              <w:top w:val="nil"/>
              <w:left w:val="nil"/>
              <w:bottom w:val="nil"/>
              <w:right w:val="nil"/>
            </w:tcBorders>
            <w:noWrap/>
            <w:vAlign w:val="center"/>
            <w:hideMark/>
          </w:tcPr>
          <w:p w14:paraId="2775E75A"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439B609A" w14:textId="77777777" w:rsidTr="0079025A">
        <w:trPr>
          <w:trHeight w:val="320"/>
          <w:jc w:val="center"/>
        </w:trPr>
        <w:tc>
          <w:tcPr>
            <w:tcW w:w="1625" w:type="dxa"/>
            <w:tcBorders>
              <w:top w:val="nil"/>
              <w:left w:val="nil"/>
              <w:bottom w:val="nil"/>
              <w:right w:val="nil"/>
            </w:tcBorders>
            <w:noWrap/>
            <w:vAlign w:val="center"/>
            <w:hideMark/>
          </w:tcPr>
          <w:p w14:paraId="371655AF" w14:textId="3DAE19F9" w:rsidR="009D542B" w:rsidRDefault="009D542B" w:rsidP="009D542B">
            <w:pPr>
              <w:rPr>
                <w:rFonts w:ascii="TimesNewRomanPSMT" w:hAnsi="TimesNewRomanPSMT" w:hint="eastAsia"/>
                <w:color w:val="000000"/>
              </w:rPr>
            </w:pPr>
            <m:oMathPara>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hlth</m:t>
                    </m:r>
                  </m:sub>
                </m:sSub>
              </m:oMath>
            </m:oMathPara>
          </w:p>
        </w:tc>
        <w:tc>
          <w:tcPr>
            <w:tcW w:w="1300" w:type="dxa"/>
            <w:tcBorders>
              <w:top w:val="nil"/>
              <w:left w:val="nil"/>
              <w:bottom w:val="nil"/>
              <w:right w:val="nil"/>
            </w:tcBorders>
            <w:noWrap/>
            <w:vAlign w:val="center"/>
            <w:hideMark/>
          </w:tcPr>
          <w:p w14:paraId="6EE1E1FA" w14:textId="33124DC0"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0.02 </w:t>
            </w:r>
          </w:p>
        </w:tc>
        <w:tc>
          <w:tcPr>
            <w:tcW w:w="1300" w:type="dxa"/>
            <w:tcBorders>
              <w:top w:val="nil"/>
              <w:left w:val="nil"/>
              <w:bottom w:val="nil"/>
              <w:right w:val="nil"/>
            </w:tcBorders>
            <w:noWrap/>
            <w:vAlign w:val="center"/>
            <w:hideMark/>
          </w:tcPr>
          <w:p w14:paraId="6AA737FE" w14:textId="33E4F0C3"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0.05 </w:t>
            </w:r>
          </w:p>
        </w:tc>
        <w:tc>
          <w:tcPr>
            <w:tcW w:w="1300" w:type="dxa"/>
            <w:tcBorders>
              <w:top w:val="nil"/>
              <w:left w:val="nil"/>
              <w:bottom w:val="nil"/>
              <w:right w:val="nil"/>
            </w:tcBorders>
            <w:noWrap/>
            <w:vAlign w:val="center"/>
            <w:hideMark/>
          </w:tcPr>
          <w:p w14:paraId="2C1BF500" w14:textId="52E70562"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-0.07 </w:t>
            </w:r>
          </w:p>
        </w:tc>
        <w:tc>
          <w:tcPr>
            <w:tcW w:w="1300" w:type="dxa"/>
            <w:tcBorders>
              <w:top w:val="nil"/>
              <w:left w:val="nil"/>
              <w:bottom w:val="nil"/>
              <w:right w:val="nil"/>
            </w:tcBorders>
            <w:noWrap/>
            <w:vAlign w:val="center"/>
            <w:hideMark/>
          </w:tcPr>
          <w:p w14:paraId="4792BFCA" w14:textId="4E48FBDE"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0.11 </w:t>
            </w:r>
          </w:p>
        </w:tc>
        <w:tc>
          <w:tcPr>
            <w:tcW w:w="1300" w:type="dxa"/>
            <w:tcBorders>
              <w:top w:val="nil"/>
              <w:left w:val="nil"/>
              <w:bottom w:val="nil"/>
              <w:right w:val="nil"/>
            </w:tcBorders>
            <w:noWrap/>
            <w:vAlign w:val="center"/>
            <w:hideMark/>
          </w:tcPr>
          <w:p w14:paraId="63D48A76" w14:textId="392C660E"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9499.00 </w:t>
            </w:r>
          </w:p>
        </w:tc>
        <w:tc>
          <w:tcPr>
            <w:tcW w:w="1300" w:type="dxa"/>
            <w:tcBorders>
              <w:top w:val="nil"/>
              <w:left w:val="nil"/>
              <w:bottom w:val="nil"/>
              <w:right w:val="nil"/>
            </w:tcBorders>
            <w:noWrap/>
            <w:vAlign w:val="center"/>
            <w:hideMark/>
          </w:tcPr>
          <w:p w14:paraId="6BD0C827"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3A60BAE4" w14:textId="77777777" w:rsidTr="0079025A">
        <w:trPr>
          <w:trHeight w:val="320"/>
          <w:jc w:val="center"/>
        </w:trPr>
        <w:tc>
          <w:tcPr>
            <w:tcW w:w="1625" w:type="dxa"/>
            <w:tcBorders>
              <w:top w:val="nil"/>
              <w:left w:val="nil"/>
              <w:bottom w:val="nil"/>
              <w:right w:val="nil"/>
            </w:tcBorders>
            <w:noWrap/>
            <w:vAlign w:val="center"/>
            <w:hideMark/>
          </w:tcPr>
          <w:p w14:paraId="3AD5C518" w14:textId="4D176854" w:rsidR="009D542B" w:rsidRDefault="009D542B" w:rsidP="009D542B">
            <w:pPr>
              <w:rPr>
                <w:rFonts w:ascii="TimesNewRomanPSMT" w:hAnsi="TimesNewRomanPSMT" w:hint="eastAsia"/>
                <w:color w:val="000000"/>
              </w:rPr>
            </w:pPr>
            <m:oMathPara>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eth</m:t>
                    </m:r>
                  </m:sub>
                </m:sSub>
              </m:oMath>
            </m:oMathPara>
          </w:p>
        </w:tc>
        <w:tc>
          <w:tcPr>
            <w:tcW w:w="1300" w:type="dxa"/>
            <w:tcBorders>
              <w:top w:val="nil"/>
              <w:left w:val="nil"/>
              <w:bottom w:val="nil"/>
              <w:right w:val="nil"/>
            </w:tcBorders>
            <w:noWrap/>
            <w:vAlign w:val="center"/>
            <w:hideMark/>
          </w:tcPr>
          <w:p w14:paraId="35F6F8B2" w14:textId="35531331"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-0.03 </w:t>
            </w:r>
          </w:p>
        </w:tc>
        <w:tc>
          <w:tcPr>
            <w:tcW w:w="1300" w:type="dxa"/>
            <w:tcBorders>
              <w:top w:val="nil"/>
              <w:left w:val="nil"/>
              <w:bottom w:val="nil"/>
              <w:right w:val="nil"/>
            </w:tcBorders>
            <w:noWrap/>
            <w:vAlign w:val="center"/>
            <w:hideMark/>
          </w:tcPr>
          <w:p w14:paraId="5EAF895F" w14:textId="0C341D13"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0.04 </w:t>
            </w:r>
          </w:p>
        </w:tc>
        <w:tc>
          <w:tcPr>
            <w:tcW w:w="1300" w:type="dxa"/>
            <w:tcBorders>
              <w:top w:val="nil"/>
              <w:left w:val="nil"/>
              <w:bottom w:val="nil"/>
              <w:right w:val="nil"/>
            </w:tcBorders>
            <w:noWrap/>
            <w:vAlign w:val="center"/>
            <w:hideMark/>
          </w:tcPr>
          <w:p w14:paraId="0F35F102" w14:textId="6A96FD95"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-0.10 </w:t>
            </w:r>
          </w:p>
        </w:tc>
        <w:tc>
          <w:tcPr>
            <w:tcW w:w="1300" w:type="dxa"/>
            <w:tcBorders>
              <w:top w:val="nil"/>
              <w:left w:val="nil"/>
              <w:bottom w:val="nil"/>
              <w:right w:val="nil"/>
            </w:tcBorders>
            <w:noWrap/>
            <w:vAlign w:val="center"/>
            <w:hideMark/>
          </w:tcPr>
          <w:p w14:paraId="236B97FE" w14:textId="6FAE9490"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0.05 </w:t>
            </w:r>
          </w:p>
        </w:tc>
        <w:tc>
          <w:tcPr>
            <w:tcW w:w="1300" w:type="dxa"/>
            <w:tcBorders>
              <w:top w:val="nil"/>
              <w:left w:val="nil"/>
              <w:bottom w:val="nil"/>
              <w:right w:val="nil"/>
            </w:tcBorders>
            <w:noWrap/>
            <w:vAlign w:val="center"/>
            <w:hideMark/>
          </w:tcPr>
          <w:p w14:paraId="71B2C2F0" w14:textId="6BF69E4D"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10102.00 </w:t>
            </w:r>
          </w:p>
        </w:tc>
        <w:tc>
          <w:tcPr>
            <w:tcW w:w="1300" w:type="dxa"/>
            <w:tcBorders>
              <w:top w:val="nil"/>
              <w:left w:val="nil"/>
              <w:bottom w:val="nil"/>
              <w:right w:val="nil"/>
            </w:tcBorders>
            <w:noWrap/>
            <w:vAlign w:val="center"/>
            <w:hideMark/>
          </w:tcPr>
          <w:p w14:paraId="71ED5EF4"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70D14FD8" w14:textId="77777777" w:rsidTr="0079025A">
        <w:trPr>
          <w:trHeight w:val="320"/>
          <w:jc w:val="center"/>
        </w:trPr>
        <w:tc>
          <w:tcPr>
            <w:tcW w:w="1625" w:type="dxa"/>
            <w:tcBorders>
              <w:top w:val="nil"/>
              <w:left w:val="nil"/>
              <w:bottom w:val="nil"/>
              <w:right w:val="nil"/>
            </w:tcBorders>
            <w:noWrap/>
            <w:vAlign w:val="center"/>
            <w:hideMark/>
          </w:tcPr>
          <w:p w14:paraId="2BEE873C" w14:textId="16D8E56A" w:rsidR="009D542B" w:rsidRDefault="009D542B" w:rsidP="009D542B">
            <w:pPr>
              <w:rPr>
                <w:rFonts w:ascii="TimesNewRomanPSMT" w:hAnsi="TimesNewRomanPSMT" w:hint="eastAsia"/>
                <w:color w:val="000000"/>
              </w:rPr>
            </w:pPr>
            <m:oMathPara>
              <m:oMath>
                <m:sSub>
                  <m:sSubPr>
                    <m:ctrlPr>
                      <w:rPr>
                        <w:rFonts w:ascii="Cambria Math" w:hAnsi="Cambria Math"/>
                        <w:i/>
                        <w:color w:val="000000"/>
                      </w:rPr>
                    </m:ctrlPr>
                  </m:sSubPr>
                  <m:e>
                    <m:r>
                      <w:rPr>
                        <w:rFonts w:ascii="Cambria Math" w:hAnsi="Cambria Math"/>
                        <w:color w:val="000000"/>
                      </w:rPr>
                      <m:t>μ</m:t>
                    </m:r>
                  </m:e>
                  <m:sub>
                    <m:r>
                      <w:rPr>
                        <w:rFonts w:ascii="Cambria Math" w:hAnsi="Cambria Math"/>
                        <w:color w:val="000000"/>
                      </w:rPr>
                      <m:t>α</m:t>
                    </m:r>
                  </m:sub>
                </m:sSub>
              </m:oMath>
            </m:oMathPara>
          </w:p>
        </w:tc>
        <w:tc>
          <w:tcPr>
            <w:tcW w:w="1300" w:type="dxa"/>
            <w:tcBorders>
              <w:top w:val="nil"/>
              <w:left w:val="nil"/>
              <w:bottom w:val="nil"/>
              <w:right w:val="nil"/>
            </w:tcBorders>
            <w:noWrap/>
            <w:vAlign w:val="center"/>
            <w:hideMark/>
          </w:tcPr>
          <w:p w14:paraId="78C6CA6E" w14:textId="521330F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-0.16 </w:t>
            </w:r>
          </w:p>
        </w:tc>
        <w:tc>
          <w:tcPr>
            <w:tcW w:w="1300" w:type="dxa"/>
            <w:tcBorders>
              <w:top w:val="nil"/>
              <w:left w:val="nil"/>
              <w:bottom w:val="nil"/>
              <w:right w:val="nil"/>
            </w:tcBorders>
            <w:noWrap/>
            <w:vAlign w:val="center"/>
            <w:hideMark/>
          </w:tcPr>
          <w:p w14:paraId="7D50E2A8" w14:textId="72A5DBD6"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0.05 </w:t>
            </w:r>
          </w:p>
        </w:tc>
        <w:tc>
          <w:tcPr>
            <w:tcW w:w="1300" w:type="dxa"/>
            <w:tcBorders>
              <w:top w:val="nil"/>
              <w:left w:val="nil"/>
              <w:bottom w:val="nil"/>
              <w:right w:val="nil"/>
            </w:tcBorders>
            <w:noWrap/>
            <w:vAlign w:val="center"/>
            <w:hideMark/>
          </w:tcPr>
          <w:p w14:paraId="23143B3F" w14:textId="21CDF6C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-0.27 </w:t>
            </w:r>
          </w:p>
        </w:tc>
        <w:tc>
          <w:tcPr>
            <w:tcW w:w="1300" w:type="dxa"/>
            <w:tcBorders>
              <w:top w:val="nil"/>
              <w:left w:val="nil"/>
              <w:bottom w:val="nil"/>
              <w:right w:val="nil"/>
            </w:tcBorders>
            <w:noWrap/>
            <w:vAlign w:val="center"/>
            <w:hideMark/>
          </w:tcPr>
          <w:p w14:paraId="5A31AF3C" w14:textId="181B5069"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-0.06 </w:t>
            </w:r>
          </w:p>
        </w:tc>
        <w:tc>
          <w:tcPr>
            <w:tcW w:w="1300" w:type="dxa"/>
            <w:tcBorders>
              <w:top w:val="nil"/>
              <w:left w:val="nil"/>
              <w:bottom w:val="nil"/>
              <w:right w:val="nil"/>
            </w:tcBorders>
            <w:noWrap/>
            <w:vAlign w:val="center"/>
            <w:hideMark/>
          </w:tcPr>
          <w:p w14:paraId="3F1C7859" w14:textId="5134BAEC"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6554.00 </w:t>
            </w:r>
          </w:p>
        </w:tc>
        <w:tc>
          <w:tcPr>
            <w:tcW w:w="1300" w:type="dxa"/>
            <w:tcBorders>
              <w:top w:val="nil"/>
              <w:left w:val="nil"/>
              <w:bottom w:val="nil"/>
              <w:right w:val="nil"/>
            </w:tcBorders>
            <w:noWrap/>
            <w:vAlign w:val="center"/>
            <w:hideMark/>
          </w:tcPr>
          <w:p w14:paraId="4241C938"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0F1520F9" w14:textId="77777777" w:rsidTr="0079025A">
        <w:trPr>
          <w:trHeight w:val="320"/>
          <w:jc w:val="center"/>
        </w:trPr>
        <w:tc>
          <w:tcPr>
            <w:tcW w:w="1625" w:type="dxa"/>
            <w:tcBorders>
              <w:top w:val="nil"/>
              <w:left w:val="nil"/>
              <w:bottom w:val="nil"/>
              <w:right w:val="nil"/>
            </w:tcBorders>
            <w:noWrap/>
            <w:vAlign w:val="center"/>
            <w:hideMark/>
          </w:tcPr>
          <w:p w14:paraId="28F0FDE4" w14:textId="1FAD9C1C" w:rsidR="009D542B" w:rsidRDefault="009D542B" w:rsidP="009D542B">
            <w:pPr>
              <w:rPr>
                <w:rFonts w:ascii="TimesNewRomanPSMT" w:hAnsi="TimesNewRomanPSMT" w:hint="eastAsia"/>
                <w:color w:val="000000"/>
              </w:rPr>
            </w:pPr>
            <m:oMathPara>
              <m:oMath>
                <m:sSub>
                  <m:sSubPr>
                    <m:ctrlPr>
                      <w:rPr>
                        <w:rFonts w:ascii="Cambria Math" w:hAnsi="Cambria Math"/>
                        <w:i/>
                        <w:color w:val="000000"/>
                      </w:rPr>
                    </m:ctrlPr>
                  </m:sSubPr>
                  <m:e>
                    <m:r>
                      <w:rPr>
                        <w:rFonts w:ascii="Cambria Math" w:hAnsi="Cambria Math"/>
                        <w:color w:val="000000"/>
                      </w:rPr>
                      <m:t>σ</m:t>
                    </m:r>
                  </m:e>
                  <m:sub>
                    <m:r>
                      <w:rPr>
                        <w:rFonts w:ascii="Cambria Math" w:hAnsi="Cambria Math"/>
                        <w:color w:val="000000"/>
                      </w:rPr>
                      <m:t>region</m:t>
                    </m:r>
                  </m:sub>
                </m:sSub>
              </m:oMath>
            </m:oMathPara>
          </w:p>
        </w:tc>
        <w:tc>
          <w:tcPr>
            <w:tcW w:w="1300" w:type="dxa"/>
            <w:tcBorders>
              <w:top w:val="nil"/>
              <w:left w:val="nil"/>
              <w:bottom w:val="nil"/>
              <w:right w:val="nil"/>
            </w:tcBorders>
            <w:noWrap/>
            <w:vAlign w:val="center"/>
            <w:hideMark/>
          </w:tcPr>
          <w:p w14:paraId="4048E760" w14:textId="4D4F9A11"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0.07 </w:t>
            </w:r>
          </w:p>
        </w:tc>
        <w:tc>
          <w:tcPr>
            <w:tcW w:w="1300" w:type="dxa"/>
            <w:tcBorders>
              <w:top w:val="nil"/>
              <w:left w:val="nil"/>
              <w:bottom w:val="nil"/>
              <w:right w:val="nil"/>
            </w:tcBorders>
            <w:noWrap/>
            <w:vAlign w:val="center"/>
            <w:hideMark/>
          </w:tcPr>
          <w:p w14:paraId="47E115A8" w14:textId="033E20DC"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0.06 </w:t>
            </w:r>
          </w:p>
        </w:tc>
        <w:tc>
          <w:tcPr>
            <w:tcW w:w="1300" w:type="dxa"/>
            <w:tcBorders>
              <w:top w:val="nil"/>
              <w:left w:val="nil"/>
              <w:bottom w:val="nil"/>
              <w:right w:val="nil"/>
            </w:tcBorders>
            <w:noWrap/>
            <w:vAlign w:val="center"/>
            <w:hideMark/>
          </w:tcPr>
          <w:p w14:paraId="2108A852" w14:textId="6EA8B779"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0.00 </w:t>
            </w:r>
          </w:p>
        </w:tc>
        <w:tc>
          <w:tcPr>
            <w:tcW w:w="1300" w:type="dxa"/>
            <w:tcBorders>
              <w:top w:val="nil"/>
              <w:left w:val="nil"/>
              <w:bottom w:val="nil"/>
              <w:right w:val="nil"/>
            </w:tcBorders>
            <w:noWrap/>
            <w:vAlign w:val="center"/>
            <w:hideMark/>
          </w:tcPr>
          <w:p w14:paraId="642E26E8" w14:textId="7501A218"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0.19 </w:t>
            </w:r>
          </w:p>
        </w:tc>
        <w:tc>
          <w:tcPr>
            <w:tcW w:w="1300" w:type="dxa"/>
            <w:tcBorders>
              <w:top w:val="nil"/>
              <w:left w:val="nil"/>
              <w:bottom w:val="nil"/>
              <w:right w:val="nil"/>
            </w:tcBorders>
            <w:noWrap/>
            <w:vAlign w:val="center"/>
            <w:hideMark/>
          </w:tcPr>
          <w:p w14:paraId="5997794E" w14:textId="18D0E65B"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3265.00 </w:t>
            </w:r>
          </w:p>
        </w:tc>
        <w:tc>
          <w:tcPr>
            <w:tcW w:w="1300" w:type="dxa"/>
            <w:tcBorders>
              <w:top w:val="nil"/>
              <w:left w:val="nil"/>
              <w:bottom w:val="nil"/>
              <w:right w:val="nil"/>
            </w:tcBorders>
            <w:noWrap/>
            <w:vAlign w:val="center"/>
            <w:hideMark/>
          </w:tcPr>
          <w:p w14:paraId="23159C2D"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261541A2" w14:textId="77777777" w:rsidTr="0079025A">
        <w:trPr>
          <w:trHeight w:val="320"/>
          <w:jc w:val="center"/>
        </w:trPr>
        <w:tc>
          <w:tcPr>
            <w:tcW w:w="1625" w:type="dxa"/>
            <w:tcBorders>
              <w:top w:val="nil"/>
              <w:left w:val="nil"/>
              <w:bottom w:val="nil"/>
              <w:right w:val="nil"/>
            </w:tcBorders>
            <w:noWrap/>
            <w:vAlign w:val="center"/>
            <w:hideMark/>
          </w:tcPr>
          <w:p w14:paraId="389EB3E5" w14:textId="623839AC" w:rsidR="009D542B" w:rsidRDefault="009D542B" w:rsidP="009D542B">
            <w:pPr>
              <w:rPr>
                <w:rFonts w:ascii="TimesNewRomanPSMT" w:hAnsi="TimesNewRomanPSMT" w:hint="eastAsia"/>
                <w:color w:val="000000"/>
              </w:rPr>
            </w:pPr>
            <m:oMathPara>
              <m:oMath>
                <m:sSub>
                  <m:sSubPr>
                    <m:ctrlPr>
                      <w:rPr>
                        <w:rFonts w:ascii="Cambria Math" w:hAnsi="Cambria Math"/>
                        <w:i/>
                        <w:color w:val="000000"/>
                      </w:rPr>
                    </m:ctrlPr>
                  </m:sSubPr>
                  <m:e>
                    <m:r>
                      <w:rPr>
                        <w:rFonts w:ascii="Cambria Math" w:hAnsi="Cambria Math"/>
                        <w:color w:val="000000"/>
                      </w:rPr>
                      <m:t>σ</m:t>
                    </m:r>
                  </m:e>
                  <m:sub>
                    <m:r>
                      <w:rPr>
                        <w:rFonts w:ascii="Cambria Math" w:hAnsi="Cambria Math"/>
                        <w:color w:val="000000"/>
                      </w:rPr>
                      <m:t>country</m:t>
                    </m:r>
                  </m:sub>
                </m:sSub>
              </m:oMath>
            </m:oMathPara>
          </w:p>
        </w:tc>
        <w:tc>
          <w:tcPr>
            <w:tcW w:w="1300" w:type="dxa"/>
            <w:tcBorders>
              <w:top w:val="nil"/>
              <w:left w:val="nil"/>
              <w:bottom w:val="nil"/>
              <w:right w:val="nil"/>
            </w:tcBorders>
            <w:noWrap/>
            <w:vAlign w:val="center"/>
            <w:hideMark/>
          </w:tcPr>
          <w:p w14:paraId="3B681DF3" w14:textId="167A08F3"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0.07 </w:t>
            </w:r>
          </w:p>
        </w:tc>
        <w:tc>
          <w:tcPr>
            <w:tcW w:w="1300" w:type="dxa"/>
            <w:tcBorders>
              <w:top w:val="nil"/>
              <w:left w:val="nil"/>
              <w:bottom w:val="nil"/>
              <w:right w:val="nil"/>
            </w:tcBorders>
            <w:noWrap/>
            <w:vAlign w:val="center"/>
            <w:hideMark/>
          </w:tcPr>
          <w:p w14:paraId="2451D13D" w14:textId="0BC43680"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0.05 </w:t>
            </w:r>
          </w:p>
        </w:tc>
        <w:tc>
          <w:tcPr>
            <w:tcW w:w="1300" w:type="dxa"/>
            <w:tcBorders>
              <w:top w:val="nil"/>
              <w:left w:val="nil"/>
              <w:bottom w:val="nil"/>
              <w:right w:val="nil"/>
            </w:tcBorders>
            <w:noWrap/>
            <w:vAlign w:val="center"/>
            <w:hideMark/>
          </w:tcPr>
          <w:p w14:paraId="71D4E274" w14:textId="0F79BA3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0.00 </w:t>
            </w:r>
          </w:p>
        </w:tc>
        <w:tc>
          <w:tcPr>
            <w:tcW w:w="1300" w:type="dxa"/>
            <w:tcBorders>
              <w:top w:val="nil"/>
              <w:left w:val="nil"/>
              <w:bottom w:val="nil"/>
              <w:right w:val="nil"/>
            </w:tcBorders>
            <w:noWrap/>
            <w:vAlign w:val="center"/>
            <w:hideMark/>
          </w:tcPr>
          <w:p w14:paraId="0F007F6B" w14:textId="56172B96"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0.15 </w:t>
            </w:r>
          </w:p>
        </w:tc>
        <w:tc>
          <w:tcPr>
            <w:tcW w:w="1300" w:type="dxa"/>
            <w:tcBorders>
              <w:top w:val="nil"/>
              <w:left w:val="nil"/>
              <w:bottom w:val="nil"/>
              <w:right w:val="nil"/>
            </w:tcBorders>
            <w:noWrap/>
            <w:vAlign w:val="center"/>
            <w:hideMark/>
          </w:tcPr>
          <w:p w14:paraId="2124E857" w14:textId="2B7FF67F"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2512.00 </w:t>
            </w:r>
          </w:p>
        </w:tc>
        <w:tc>
          <w:tcPr>
            <w:tcW w:w="1300" w:type="dxa"/>
            <w:tcBorders>
              <w:top w:val="nil"/>
              <w:left w:val="nil"/>
              <w:bottom w:val="nil"/>
              <w:right w:val="nil"/>
            </w:tcBorders>
            <w:noWrap/>
            <w:vAlign w:val="center"/>
            <w:hideMark/>
          </w:tcPr>
          <w:p w14:paraId="1FF21B7D"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r w:rsidR="009D542B" w14:paraId="13FA6A49" w14:textId="77777777" w:rsidTr="0079025A">
        <w:trPr>
          <w:trHeight w:val="320"/>
          <w:jc w:val="center"/>
        </w:trPr>
        <w:tc>
          <w:tcPr>
            <w:tcW w:w="1625" w:type="dxa"/>
            <w:tcBorders>
              <w:top w:val="nil"/>
              <w:left w:val="nil"/>
              <w:bottom w:val="single" w:sz="4" w:space="0" w:color="auto"/>
              <w:right w:val="nil"/>
            </w:tcBorders>
            <w:noWrap/>
            <w:vAlign w:val="center"/>
            <w:hideMark/>
          </w:tcPr>
          <w:p w14:paraId="1883B8AC" w14:textId="5E769C27" w:rsidR="009D542B" w:rsidRDefault="009D542B" w:rsidP="009D542B">
            <w:pPr>
              <w:rPr>
                <w:rFonts w:ascii="TimesNewRomanPSMT" w:hAnsi="TimesNewRomanPSMT" w:hint="eastAsia"/>
                <w:color w:val="000000"/>
              </w:rPr>
            </w:pPr>
            <m:oMathPara>
              <m:oMath>
                <m:sSub>
                  <m:sSubPr>
                    <m:ctrlPr>
                      <w:rPr>
                        <w:rFonts w:ascii="Cambria Math" w:hAnsi="Cambria Math"/>
                        <w:i/>
                        <w:color w:val="000000"/>
                      </w:rPr>
                    </m:ctrlPr>
                  </m:sSubPr>
                  <m:e>
                    <m:r>
                      <w:rPr>
                        <w:rFonts w:ascii="Cambria Math" w:hAnsi="Cambria Math"/>
                        <w:color w:val="000000"/>
                      </w:rPr>
                      <m:t>σ</m:t>
                    </m:r>
                  </m:e>
                  <m:sub>
                    <m:r>
                      <w:rPr>
                        <w:rFonts w:ascii="Cambria Math" w:hAnsi="Cambria Math"/>
                        <w:color w:val="000000"/>
                      </w:rPr>
                      <m:t>y</m:t>
                    </m:r>
                  </m:sub>
                </m:sSub>
              </m:oMath>
            </m:oMathPara>
          </w:p>
        </w:tc>
        <w:tc>
          <w:tcPr>
            <w:tcW w:w="1300" w:type="dxa"/>
            <w:tcBorders>
              <w:top w:val="nil"/>
              <w:left w:val="nil"/>
              <w:bottom w:val="single" w:sz="4" w:space="0" w:color="auto"/>
              <w:right w:val="nil"/>
            </w:tcBorders>
            <w:noWrap/>
            <w:vAlign w:val="center"/>
            <w:hideMark/>
          </w:tcPr>
          <w:p w14:paraId="105069A4" w14:textId="7B02118E"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0.34 </w:t>
            </w:r>
          </w:p>
        </w:tc>
        <w:tc>
          <w:tcPr>
            <w:tcW w:w="1300" w:type="dxa"/>
            <w:tcBorders>
              <w:top w:val="nil"/>
              <w:left w:val="nil"/>
              <w:bottom w:val="single" w:sz="4" w:space="0" w:color="auto"/>
              <w:right w:val="nil"/>
            </w:tcBorders>
            <w:noWrap/>
            <w:vAlign w:val="center"/>
            <w:hideMark/>
          </w:tcPr>
          <w:p w14:paraId="77F1732B" w14:textId="13897879"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0.03 </w:t>
            </w:r>
          </w:p>
        </w:tc>
        <w:tc>
          <w:tcPr>
            <w:tcW w:w="1300" w:type="dxa"/>
            <w:tcBorders>
              <w:top w:val="nil"/>
              <w:left w:val="nil"/>
              <w:bottom w:val="single" w:sz="4" w:space="0" w:color="auto"/>
              <w:right w:val="nil"/>
            </w:tcBorders>
            <w:noWrap/>
            <w:vAlign w:val="center"/>
            <w:hideMark/>
          </w:tcPr>
          <w:p w14:paraId="04DC3A7A" w14:textId="566DE7CF"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0.29 </w:t>
            </w:r>
          </w:p>
        </w:tc>
        <w:tc>
          <w:tcPr>
            <w:tcW w:w="1300" w:type="dxa"/>
            <w:tcBorders>
              <w:top w:val="nil"/>
              <w:left w:val="nil"/>
              <w:bottom w:val="single" w:sz="4" w:space="0" w:color="auto"/>
              <w:right w:val="nil"/>
            </w:tcBorders>
            <w:noWrap/>
            <w:vAlign w:val="center"/>
            <w:hideMark/>
          </w:tcPr>
          <w:p w14:paraId="0FBC058F" w14:textId="7E8A67B6"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0.39 </w:t>
            </w:r>
          </w:p>
        </w:tc>
        <w:tc>
          <w:tcPr>
            <w:tcW w:w="1300" w:type="dxa"/>
            <w:tcBorders>
              <w:top w:val="nil"/>
              <w:left w:val="nil"/>
              <w:bottom w:val="single" w:sz="4" w:space="0" w:color="auto"/>
              <w:right w:val="nil"/>
            </w:tcBorders>
            <w:noWrap/>
            <w:vAlign w:val="center"/>
            <w:hideMark/>
          </w:tcPr>
          <w:p w14:paraId="3B2DEB02" w14:textId="586ECC15"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10367.00 </w:t>
            </w:r>
          </w:p>
        </w:tc>
        <w:tc>
          <w:tcPr>
            <w:tcW w:w="1300" w:type="dxa"/>
            <w:tcBorders>
              <w:top w:val="nil"/>
              <w:left w:val="nil"/>
              <w:bottom w:val="single" w:sz="4" w:space="0" w:color="auto"/>
              <w:right w:val="nil"/>
            </w:tcBorders>
            <w:noWrap/>
            <w:vAlign w:val="center"/>
            <w:hideMark/>
          </w:tcPr>
          <w:p w14:paraId="6B9D7E12" w14:textId="77777777" w:rsidR="009D542B" w:rsidRDefault="009D542B" w:rsidP="009D542B">
            <w:pPr>
              <w:jc w:val="right"/>
              <w:rPr>
                <w:rFonts w:ascii="TimesNewRomanPSMT" w:hAnsi="TimesNewRomanPSMT" w:hint="eastAsia"/>
                <w:color w:val="000000"/>
              </w:rPr>
            </w:pPr>
            <w:r>
              <w:rPr>
                <w:rFonts w:ascii="TimesNewRomanPSMT" w:hAnsi="TimesNewRomanPSMT"/>
                <w:color w:val="000000"/>
              </w:rPr>
              <w:t xml:space="preserve">1.00 </w:t>
            </w:r>
          </w:p>
        </w:tc>
      </w:tr>
    </w:tbl>
    <w:p w14:paraId="57AFB9FA" w14:textId="77777777" w:rsidR="00D85372" w:rsidRDefault="00D85372" w:rsidP="00D85372">
      <w:pPr>
        <w:rPr>
          <w:rFonts w:ascii="Times New Roman" w:hAnsi="Times New Roman" w:cs="Times New Roman"/>
        </w:rPr>
      </w:pPr>
    </w:p>
    <w:p w14:paraId="7D5DEB0B" w14:textId="77824A93" w:rsidR="00D85372" w:rsidRPr="001F552E" w:rsidRDefault="00D85372" w:rsidP="00D85372">
      <w:pPr>
        <w:rPr>
          <w:rFonts w:ascii="Times New Roman" w:hAnsi="Times New Roman" w:cs="Times New Roman"/>
        </w:rPr>
      </w:pPr>
      <w:r w:rsidRPr="00D85372">
        <w:rPr>
          <w:rFonts w:ascii="Times New Roman" w:hAnsi="Times New Roman" w:cs="Times New Roman"/>
        </w:rPr>
        <w:t>The outcome is V-Dem social cohesion (</w:t>
      </w:r>
      <w:r w:rsidRPr="00D85372">
        <w:rPr>
          <w:rFonts w:ascii="Times New Roman" w:hAnsi="Times New Roman" w:cs="Times New Roman"/>
          <w:i/>
          <w:iCs/>
        </w:rPr>
        <w:t>v2smpolsoc</w:t>
      </w:r>
      <w:r w:rsidRPr="00D85372">
        <w:rPr>
          <w:rFonts w:ascii="Times New Roman" w:hAnsi="Times New Roman" w:cs="Times New Roman"/>
        </w:rPr>
        <w:t>) across 3</w:t>
      </w:r>
      <w:r w:rsidR="00B553EC">
        <w:rPr>
          <w:rFonts w:ascii="Times New Roman" w:hAnsi="Times New Roman" w:cs="Times New Roman"/>
        </w:rPr>
        <w:t>7</w:t>
      </w:r>
      <w:r w:rsidRPr="00D85372">
        <w:rPr>
          <w:rFonts w:ascii="Times New Roman" w:hAnsi="Times New Roman" w:cs="Times New Roman"/>
        </w:rPr>
        <w:t xml:space="preserve"> OECD countries, 2019–2024. Reported parameters comprise the autoregressive inertia parameter (</w:t>
      </w:r>
      <m:oMath>
        <m:r>
          <w:rPr>
            <w:rFonts w:ascii="Cambria Math" w:hAnsi="Cambria Math" w:cs="Times New Roman"/>
          </w:rPr>
          <m:t>ϕ</m:t>
        </m:r>
      </m:oMath>
      <w:r w:rsidRPr="00D85372">
        <w:rPr>
          <w:rFonts w:ascii="Times New Roman" w:hAnsi="Times New Roman" w:cs="Times New Roman"/>
        </w:rPr>
        <w:t>) on one-year-lagged cohesion, the lower-order coefficients of association on one-year-lagged log COVID-19 mortality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p</m:t>
            </m:r>
          </m:sub>
        </m:sSub>
      </m:oMath>
      <w:r w:rsidRPr="00D85372">
        <w:rPr>
          <w:rFonts w:ascii="Times New Roman" w:hAnsi="Times New Roman" w:cs="Times New Roman"/>
        </w:rPr>
        <w:t>) and one-year-lagged mean Stringency Index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m:t>
            </m:r>
          </m:sub>
        </m:sSub>
      </m:oMath>
      <w:r w:rsidRPr="00D85372">
        <w:rPr>
          <w:rFonts w:ascii="Times New Roman" w:hAnsi="Times New Roman" w:cs="Times New Roman"/>
        </w:rPr>
        <w:t>), the two product (interaction) terms between baseline 2019 cohesion (v2smpolsoc_2019) and each one-year-lagged pandemic-shock exposure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inter, p</m:t>
            </m:r>
          </m:sub>
        </m:sSub>
      </m:oMath>
      <w:r w:rsidRPr="00D85372">
        <w:rPr>
          <w:rFonts w:ascii="Times New Roman" w:hAnsi="Times New Roman" w:cs="Times New Roman"/>
        </w:rPr>
        <w:t xml:space="preserve"> for mortality;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inter,s</m:t>
            </m:r>
          </m:sub>
        </m:sSub>
      </m:oMath>
      <w:r w:rsidRPr="00D85372">
        <w:rPr>
          <w:rFonts w:ascii="Times New Roman" w:hAnsi="Times New Roman" w:cs="Times New Roman"/>
        </w:rPr>
        <w:t xml:space="preserve"> for stringency), and the four standardized macro-covariates. For each parameter we report the posterior mean, posterior standard deviation, and 95% highest-density interval (HDI), together with rank-normalized split-R̂ and bulk effective sample size. The time-invariant main term in baseline 2019 cohesion is absorbed by the partially pooled country-level intercept under the strictly non-centered hierarchy. Priors, sampler settings, and convergence criteria are as specified in Appendix A. Effect modification by baseline cohesion is treated as credibly supported only when the 95% HDI of an interaction term excludes zero.</w:t>
      </w:r>
    </w:p>
    <w:sectPr w:rsidR="00D85372" w:rsidRPr="001F552E" w:rsidSect="001D51D2">
      <w:pgSz w:w="11906" w:h="16838"/>
      <w:pgMar w:top="1985" w:right="1701" w:bottom="1701" w:left="1701" w:header="851" w:footer="992" w:gutter="0"/>
      <w:lnNumType w:countBy="1" w:restart="continuou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2A6A7" w14:textId="77777777" w:rsidR="00920D7B" w:rsidRDefault="00920D7B" w:rsidP="001D51D2">
      <w:r>
        <w:separator/>
      </w:r>
    </w:p>
  </w:endnote>
  <w:endnote w:type="continuationSeparator" w:id="0">
    <w:p w14:paraId="28300601" w14:textId="77777777" w:rsidR="00920D7B" w:rsidRDefault="00920D7B" w:rsidP="001D5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TimesNewRomanPSMT">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188567798"/>
      <w:docPartObj>
        <w:docPartGallery w:val="Page Numbers (Bottom of Page)"/>
        <w:docPartUnique/>
      </w:docPartObj>
    </w:sdtPr>
    <w:sdtContent>
      <w:p w14:paraId="74C8E207" w14:textId="22409A4D" w:rsidR="00E02397" w:rsidRDefault="00E02397" w:rsidP="00A06C8A">
        <w:pPr>
          <w:pStyle w:val="ab"/>
          <w:framePr w:wrap="none" w:vAnchor="text" w:hAnchor="margin" w:xAlign="right" w:y="1"/>
          <w:rPr>
            <w:rStyle w:val="ad"/>
          </w:rPr>
        </w:pPr>
        <w:r>
          <w:rPr>
            <w:rStyle w:val="ad"/>
          </w:rPr>
          <w:fldChar w:fldCharType="begin"/>
        </w:r>
        <w:r>
          <w:rPr>
            <w:rStyle w:val="ad"/>
          </w:rPr>
          <w:instrText xml:space="preserve"> PAGE </w:instrText>
        </w:r>
        <w:r>
          <w:rPr>
            <w:rStyle w:val="ad"/>
          </w:rPr>
          <w:fldChar w:fldCharType="separate"/>
        </w:r>
        <w:r>
          <w:rPr>
            <w:rStyle w:val="ad"/>
          </w:rPr>
          <w:fldChar w:fldCharType="end"/>
        </w:r>
      </w:p>
    </w:sdtContent>
  </w:sdt>
  <w:p w14:paraId="00F5E7C3" w14:textId="77777777" w:rsidR="00E02397" w:rsidRDefault="00E02397" w:rsidP="00E02397">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929172214"/>
      <w:docPartObj>
        <w:docPartGallery w:val="Page Numbers (Bottom of Page)"/>
        <w:docPartUnique/>
      </w:docPartObj>
    </w:sdtPr>
    <w:sdtContent>
      <w:p w14:paraId="3D3B6ABD" w14:textId="653F9B30" w:rsidR="00E02397" w:rsidRDefault="00E02397" w:rsidP="00A06C8A">
        <w:pPr>
          <w:pStyle w:val="ab"/>
          <w:framePr w:wrap="none" w:vAnchor="text" w:hAnchor="margin" w:xAlign="right" w:y="1"/>
          <w:rPr>
            <w:rStyle w:val="ad"/>
          </w:rPr>
        </w:pPr>
        <w:r>
          <w:rPr>
            <w:rStyle w:val="ad"/>
          </w:rPr>
          <w:fldChar w:fldCharType="begin"/>
        </w:r>
        <w:r>
          <w:rPr>
            <w:rStyle w:val="ad"/>
          </w:rPr>
          <w:instrText xml:space="preserve"> PAGE </w:instrText>
        </w:r>
        <w:r>
          <w:rPr>
            <w:rStyle w:val="ad"/>
          </w:rPr>
          <w:fldChar w:fldCharType="separate"/>
        </w:r>
        <w:r>
          <w:rPr>
            <w:rStyle w:val="ad"/>
            <w:noProof/>
          </w:rPr>
          <w:t>6</w:t>
        </w:r>
        <w:r>
          <w:rPr>
            <w:rStyle w:val="ad"/>
          </w:rPr>
          <w:fldChar w:fldCharType="end"/>
        </w:r>
      </w:p>
    </w:sdtContent>
  </w:sdt>
  <w:p w14:paraId="622EECB3" w14:textId="77777777" w:rsidR="00E02397" w:rsidRDefault="00E02397" w:rsidP="00E02397">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094BC" w14:textId="77777777" w:rsidR="00920D7B" w:rsidRDefault="00920D7B" w:rsidP="001D51D2">
      <w:r>
        <w:separator/>
      </w:r>
    </w:p>
  </w:footnote>
  <w:footnote w:type="continuationSeparator" w:id="0">
    <w:p w14:paraId="4B650690" w14:textId="77777777" w:rsidR="00920D7B" w:rsidRDefault="00920D7B" w:rsidP="001D51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4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92E"/>
    <w:rsid w:val="00010F11"/>
    <w:rsid w:val="00023F68"/>
    <w:rsid w:val="0004392E"/>
    <w:rsid w:val="00046A74"/>
    <w:rsid w:val="000621D5"/>
    <w:rsid w:val="000722BC"/>
    <w:rsid w:val="000815B7"/>
    <w:rsid w:val="00094559"/>
    <w:rsid w:val="000B7741"/>
    <w:rsid w:val="000D574A"/>
    <w:rsid w:val="001111D2"/>
    <w:rsid w:val="0011319E"/>
    <w:rsid w:val="00117D2F"/>
    <w:rsid w:val="00121CE2"/>
    <w:rsid w:val="00127954"/>
    <w:rsid w:val="00137D71"/>
    <w:rsid w:val="0015039B"/>
    <w:rsid w:val="001700F6"/>
    <w:rsid w:val="00183D4B"/>
    <w:rsid w:val="001920EE"/>
    <w:rsid w:val="001A2CA6"/>
    <w:rsid w:val="001A6880"/>
    <w:rsid w:val="001C7E7D"/>
    <w:rsid w:val="001D0AB9"/>
    <w:rsid w:val="001D2B01"/>
    <w:rsid w:val="001D51D2"/>
    <w:rsid w:val="001E1E5A"/>
    <w:rsid w:val="001F0186"/>
    <w:rsid w:val="001F552E"/>
    <w:rsid w:val="0021280C"/>
    <w:rsid w:val="00263326"/>
    <w:rsid w:val="002768CD"/>
    <w:rsid w:val="00277180"/>
    <w:rsid w:val="0028627E"/>
    <w:rsid w:val="002B3226"/>
    <w:rsid w:val="002C2F30"/>
    <w:rsid w:val="002D05EA"/>
    <w:rsid w:val="003025AA"/>
    <w:rsid w:val="003202D3"/>
    <w:rsid w:val="00367D4E"/>
    <w:rsid w:val="00381D27"/>
    <w:rsid w:val="00384831"/>
    <w:rsid w:val="00390758"/>
    <w:rsid w:val="00394367"/>
    <w:rsid w:val="003B5926"/>
    <w:rsid w:val="003C3AED"/>
    <w:rsid w:val="003C6667"/>
    <w:rsid w:val="003F037C"/>
    <w:rsid w:val="003F2A3D"/>
    <w:rsid w:val="00417268"/>
    <w:rsid w:val="00437F03"/>
    <w:rsid w:val="00441094"/>
    <w:rsid w:val="0047738E"/>
    <w:rsid w:val="00480315"/>
    <w:rsid w:val="004846D6"/>
    <w:rsid w:val="004A30FB"/>
    <w:rsid w:val="004B4D0D"/>
    <w:rsid w:val="004F117F"/>
    <w:rsid w:val="00502EE6"/>
    <w:rsid w:val="005066A3"/>
    <w:rsid w:val="00513535"/>
    <w:rsid w:val="00516426"/>
    <w:rsid w:val="005437F9"/>
    <w:rsid w:val="00547DC1"/>
    <w:rsid w:val="00562330"/>
    <w:rsid w:val="00592D69"/>
    <w:rsid w:val="005A17C6"/>
    <w:rsid w:val="005C52BA"/>
    <w:rsid w:val="005D0F04"/>
    <w:rsid w:val="005E3172"/>
    <w:rsid w:val="005E37E7"/>
    <w:rsid w:val="005F64A9"/>
    <w:rsid w:val="00610459"/>
    <w:rsid w:val="00622FED"/>
    <w:rsid w:val="006546B4"/>
    <w:rsid w:val="00662329"/>
    <w:rsid w:val="00664F1A"/>
    <w:rsid w:val="00682D53"/>
    <w:rsid w:val="00696A17"/>
    <w:rsid w:val="006E2B26"/>
    <w:rsid w:val="006E5444"/>
    <w:rsid w:val="006F049A"/>
    <w:rsid w:val="00753CFD"/>
    <w:rsid w:val="00775024"/>
    <w:rsid w:val="00775DA7"/>
    <w:rsid w:val="00776354"/>
    <w:rsid w:val="007769D2"/>
    <w:rsid w:val="00784362"/>
    <w:rsid w:val="0079025A"/>
    <w:rsid w:val="0079567C"/>
    <w:rsid w:val="00796C9F"/>
    <w:rsid w:val="007B099F"/>
    <w:rsid w:val="007B5E68"/>
    <w:rsid w:val="007B677B"/>
    <w:rsid w:val="007C4FD9"/>
    <w:rsid w:val="007F159A"/>
    <w:rsid w:val="0080104E"/>
    <w:rsid w:val="008020E3"/>
    <w:rsid w:val="008212D0"/>
    <w:rsid w:val="00822AE0"/>
    <w:rsid w:val="00835538"/>
    <w:rsid w:val="00835F5E"/>
    <w:rsid w:val="00837407"/>
    <w:rsid w:val="00845A1D"/>
    <w:rsid w:val="00871D72"/>
    <w:rsid w:val="0088035A"/>
    <w:rsid w:val="00897B66"/>
    <w:rsid w:val="008A53A0"/>
    <w:rsid w:val="008B3655"/>
    <w:rsid w:val="008D6E44"/>
    <w:rsid w:val="008E58D7"/>
    <w:rsid w:val="008E6B8B"/>
    <w:rsid w:val="008E6C34"/>
    <w:rsid w:val="008E7BF9"/>
    <w:rsid w:val="00911AFB"/>
    <w:rsid w:val="009154FF"/>
    <w:rsid w:val="009156F2"/>
    <w:rsid w:val="00920D7B"/>
    <w:rsid w:val="00935E68"/>
    <w:rsid w:val="00961E61"/>
    <w:rsid w:val="00962F1C"/>
    <w:rsid w:val="00964EF4"/>
    <w:rsid w:val="0098321D"/>
    <w:rsid w:val="00986A0A"/>
    <w:rsid w:val="009D092E"/>
    <w:rsid w:val="009D542B"/>
    <w:rsid w:val="009F7452"/>
    <w:rsid w:val="00A04131"/>
    <w:rsid w:val="00A475E0"/>
    <w:rsid w:val="00A633BA"/>
    <w:rsid w:val="00A65A86"/>
    <w:rsid w:val="00A7435B"/>
    <w:rsid w:val="00A8218F"/>
    <w:rsid w:val="00A9183A"/>
    <w:rsid w:val="00A91C86"/>
    <w:rsid w:val="00AB0F6B"/>
    <w:rsid w:val="00AD3159"/>
    <w:rsid w:val="00B2597C"/>
    <w:rsid w:val="00B553EC"/>
    <w:rsid w:val="00B6638D"/>
    <w:rsid w:val="00B752EA"/>
    <w:rsid w:val="00B8268A"/>
    <w:rsid w:val="00BA6036"/>
    <w:rsid w:val="00BD41E0"/>
    <w:rsid w:val="00BF7780"/>
    <w:rsid w:val="00C02759"/>
    <w:rsid w:val="00C23526"/>
    <w:rsid w:val="00C31821"/>
    <w:rsid w:val="00C737DA"/>
    <w:rsid w:val="00C931E6"/>
    <w:rsid w:val="00CB4A1C"/>
    <w:rsid w:val="00CC49BF"/>
    <w:rsid w:val="00CE3917"/>
    <w:rsid w:val="00CF1160"/>
    <w:rsid w:val="00D025AA"/>
    <w:rsid w:val="00D0644C"/>
    <w:rsid w:val="00D37177"/>
    <w:rsid w:val="00D6099A"/>
    <w:rsid w:val="00D85372"/>
    <w:rsid w:val="00DA264A"/>
    <w:rsid w:val="00DB3FA0"/>
    <w:rsid w:val="00DB4A8B"/>
    <w:rsid w:val="00DC0072"/>
    <w:rsid w:val="00DC45DC"/>
    <w:rsid w:val="00DD5DE0"/>
    <w:rsid w:val="00DD6F61"/>
    <w:rsid w:val="00DE1B97"/>
    <w:rsid w:val="00DE3C57"/>
    <w:rsid w:val="00DE7588"/>
    <w:rsid w:val="00E02397"/>
    <w:rsid w:val="00E077B2"/>
    <w:rsid w:val="00E203F1"/>
    <w:rsid w:val="00E55B76"/>
    <w:rsid w:val="00E650BA"/>
    <w:rsid w:val="00E738D6"/>
    <w:rsid w:val="00E766AF"/>
    <w:rsid w:val="00E77022"/>
    <w:rsid w:val="00E93C41"/>
    <w:rsid w:val="00EA111B"/>
    <w:rsid w:val="00EB617A"/>
    <w:rsid w:val="00EB6335"/>
    <w:rsid w:val="00EC01FD"/>
    <w:rsid w:val="00ED1F6D"/>
    <w:rsid w:val="00EE29CC"/>
    <w:rsid w:val="00EF2745"/>
    <w:rsid w:val="00F113BB"/>
    <w:rsid w:val="00F202F5"/>
    <w:rsid w:val="00F61335"/>
    <w:rsid w:val="00F77F75"/>
    <w:rsid w:val="00F90F75"/>
    <w:rsid w:val="00F94E62"/>
    <w:rsid w:val="00FB4C07"/>
    <w:rsid w:val="00FC32C7"/>
    <w:rsid w:val="00FD013E"/>
    <w:rsid w:val="00FD5B9C"/>
    <w:rsid w:val="00FE45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85B57D5"/>
  <w15:chartTrackingRefBased/>
  <w15:docId w15:val="{745676BC-69FA-8747-9A0B-1E07EA73E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4C07"/>
    <w:rPr>
      <w:rFonts w:ascii="ＭＳ Ｐゴシック" w:eastAsia="ＭＳ Ｐゴシック" w:hAnsi="ＭＳ Ｐゴシック" w:cs="ＭＳ Ｐゴシック"/>
      <w:kern w:val="0"/>
      <w:sz w:val="24"/>
    </w:rPr>
  </w:style>
  <w:style w:type="paragraph" w:styleId="1">
    <w:name w:val="heading 1"/>
    <w:basedOn w:val="a"/>
    <w:next w:val="a"/>
    <w:link w:val="10"/>
    <w:uiPriority w:val="9"/>
    <w:qFormat/>
    <w:rsid w:val="0004392E"/>
    <w:pPr>
      <w:keepNext/>
      <w:keepLines/>
      <w:widowControl w:val="0"/>
      <w:spacing w:before="280" w:after="80"/>
      <w:jc w:val="both"/>
      <w:outlineLvl w:val="0"/>
    </w:pPr>
    <w:rPr>
      <w:rFonts w:asciiTheme="majorHAnsi" w:eastAsiaTheme="majorEastAsia" w:hAnsiTheme="majorHAnsi" w:cstheme="majorBidi"/>
      <w:color w:val="000000" w:themeColor="text1"/>
      <w:kern w:val="2"/>
      <w:sz w:val="32"/>
      <w:szCs w:val="32"/>
    </w:rPr>
  </w:style>
  <w:style w:type="paragraph" w:styleId="2">
    <w:name w:val="heading 2"/>
    <w:basedOn w:val="a"/>
    <w:next w:val="a"/>
    <w:link w:val="20"/>
    <w:uiPriority w:val="9"/>
    <w:semiHidden/>
    <w:unhideWhenUsed/>
    <w:qFormat/>
    <w:rsid w:val="0004392E"/>
    <w:pPr>
      <w:keepNext/>
      <w:keepLines/>
      <w:widowControl w:val="0"/>
      <w:spacing w:before="160" w:after="80"/>
      <w:jc w:val="both"/>
      <w:outlineLvl w:val="1"/>
    </w:pPr>
    <w:rPr>
      <w:rFonts w:asciiTheme="majorHAnsi" w:eastAsiaTheme="majorEastAsia" w:hAnsiTheme="majorHAnsi" w:cstheme="majorBidi"/>
      <w:color w:val="000000" w:themeColor="text1"/>
      <w:kern w:val="2"/>
      <w:sz w:val="28"/>
      <w:szCs w:val="28"/>
    </w:rPr>
  </w:style>
  <w:style w:type="paragraph" w:styleId="3">
    <w:name w:val="heading 3"/>
    <w:basedOn w:val="a"/>
    <w:next w:val="a"/>
    <w:link w:val="30"/>
    <w:uiPriority w:val="9"/>
    <w:semiHidden/>
    <w:unhideWhenUsed/>
    <w:qFormat/>
    <w:rsid w:val="0004392E"/>
    <w:pPr>
      <w:keepNext/>
      <w:keepLines/>
      <w:widowControl w:val="0"/>
      <w:spacing w:before="160" w:after="80"/>
      <w:jc w:val="both"/>
      <w:outlineLvl w:val="2"/>
    </w:pPr>
    <w:rPr>
      <w:rFonts w:asciiTheme="majorHAnsi" w:eastAsiaTheme="majorEastAsia" w:hAnsiTheme="majorHAnsi" w:cstheme="majorBidi"/>
      <w:color w:val="000000" w:themeColor="text1"/>
      <w:kern w:val="2"/>
    </w:rPr>
  </w:style>
  <w:style w:type="paragraph" w:styleId="4">
    <w:name w:val="heading 4"/>
    <w:basedOn w:val="a"/>
    <w:next w:val="a"/>
    <w:link w:val="40"/>
    <w:uiPriority w:val="9"/>
    <w:semiHidden/>
    <w:unhideWhenUsed/>
    <w:qFormat/>
    <w:rsid w:val="0004392E"/>
    <w:pPr>
      <w:keepNext/>
      <w:keepLines/>
      <w:widowControl w:val="0"/>
      <w:spacing w:before="80" w:after="40"/>
      <w:jc w:val="both"/>
      <w:outlineLvl w:val="3"/>
    </w:pPr>
    <w:rPr>
      <w:rFonts w:asciiTheme="majorHAnsi" w:eastAsiaTheme="majorEastAsia" w:hAnsiTheme="majorHAnsi" w:cstheme="majorBidi"/>
      <w:color w:val="000000" w:themeColor="text1"/>
      <w:kern w:val="2"/>
      <w:sz w:val="21"/>
    </w:rPr>
  </w:style>
  <w:style w:type="paragraph" w:styleId="5">
    <w:name w:val="heading 5"/>
    <w:basedOn w:val="a"/>
    <w:next w:val="a"/>
    <w:link w:val="50"/>
    <w:uiPriority w:val="9"/>
    <w:semiHidden/>
    <w:unhideWhenUsed/>
    <w:qFormat/>
    <w:rsid w:val="0004392E"/>
    <w:pPr>
      <w:keepNext/>
      <w:keepLines/>
      <w:widowControl w:val="0"/>
      <w:spacing w:before="80" w:after="40"/>
      <w:ind w:leftChars="100" w:left="100"/>
      <w:jc w:val="both"/>
      <w:outlineLvl w:val="4"/>
    </w:pPr>
    <w:rPr>
      <w:rFonts w:asciiTheme="majorHAnsi" w:eastAsiaTheme="majorEastAsia" w:hAnsiTheme="majorHAnsi" w:cstheme="majorBidi"/>
      <w:color w:val="000000" w:themeColor="text1"/>
      <w:kern w:val="2"/>
      <w:sz w:val="21"/>
    </w:rPr>
  </w:style>
  <w:style w:type="paragraph" w:styleId="6">
    <w:name w:val="heading 6"/>
    <w:basedOn w:val="a"/>
    <w:next w:val="a"/>
    <w:link w:val="60"/>
    <w:uiPriority w:val="9"/>
    <w:semiHidden/>
    <w:unhideWhenUsed/>
    <w:qFormat/>
    <w:rsid w:val="0004392E"/>
    <w:pPr>
      <w:keepNext/>
      <w:keepLines/>
      <w:widowControl w:val="0"/>
      <w:spacing w:before="80" w:after="40"/>
      <w:ind w:leftChars="200" w:left="200"/>
      <w:jc w:val="both"/>
      <w:outlineLvl w:val="5"/>
    </w:pPr>
    <w:rPr>
      <w:rFonts w:asciiTheme="majorHAnsi" w:eastAsiaTheme="majorEastAsia" w:hAnsiTheme="majorHAnsi" w:cstheme="majorBidi"/>
      <w:color w:val="000000" w:themeColor="text1"/>
      <w:kern w:val="2"/>
      <w:sz w:val="21"/>
    </w:rPr>
  </w:style>
  <w:style w:type="paragraph" w:styleId="7">
    <w:name w:val="heading 7"/>
    <w:basedOn w:val="a"/>
    <w:next w:val="a"/>
    <w:link w:val="70"/>
    <w:uiPriority w:val="9"/>
    <w:semiHidden/>
    <w:unhideWhenUsed/>
    <w:qFormat/>
    <w:rsid w:val="0004392E"/>
    <w:pPr>
      <w:keepNext/>
      <w:keepLines/>
      <w:widowControl w:val="0"/>
      <w:spacing w:before="80" w:after="40"/>
      <w:ind w:leftChars="300" w:left="300"/>
      <w:jc w:val="both"/>
      <w:outlineLvl w:val="6"/>
    </w:pPr>
    <w:rPr>
      <w:rFonts w:asciiTheme="majorHAnsi" w:eastAsiaTheme="majorEastAsia" w:hAnsiTheme="majorHAnsi" w:cstheme="majorBidi"/>
      <w:color w:val="000000" w:themeColor="text1"/>
      <w:kern w:val="2"/>
      <w:sz w:val="21"/>
    </w:rPr>
  </w:style>
  <w:style w:type="paragraph" w:styleId="8">
    <w:name w:val="heading 8"/>
    <w:basedOn w:val="a"/>
    <w:next w:val="a"/>
    <w:link w:val="80"/>
    <w:uiPriority w:val="9"/>
    <w:semiHidden/>
    <w:unhideWhenUsed/>
    <w:qFormat/>
    <w:rsid w:val="0004392E"/>
    <w:pPr>
      <w:keepNext/>
      <w:keepLines/>
      <w:widowControl w:val="0"/>
      <w:spacing w:before="80" w:after="40"/>
      <w:ind w:leftChars="400" w:left="400"/>
      <w:jc w:val="both"/>
      <w:outlineLvl w:val="7"/>
    </w:pPr>
    <w:rPr>
      <w:rFonts w:asciiTheme="majorHAnsi" w:eastAsiaTheme="majorEastAsia" w:hAnsiTheme="majorHAnsi" w:cstheme="majorBidi"/>
      <w:color w:val="000000" w:themeColor="text1"/>
      <w:kern w:val="2"/>
      <w:sz w:val="21"/>
    </w:rPr>
  </w:style>
  <w:style w:type="paragraph" w:styleId="9">
    <w:name w:val="heading 9"/>
    <w:basedOn w:val="a"/>
    <w:next w:val="a"/>
    <w:link w:val="90"/>
    <w:uiPriority w:val="9"/>
    <w:semiHidden/>
    <w:unhideWhenUsed/>
    <w:qFormat/>
    <w:rsid w:val="0004392E"/>
    <w:pPr>
      <w:keepNext/>
      <w:keepLines/>
      <w:widowControl w:val="0"/>
      <w:spacing w:before="80" w:after="40"/>
      <w:ind w:leftChars="500" w:left="500"/>
      <w:jc w:val="both"/>
      <w:outlineLvl w:val="8"/>
    </w:pPr>
    <w:rPr>
      <w:rFonts w:asciiTheme="majorHAnsi" w:eastAsiaTheme="majorEastAsia" w:hAnsiTheme="majorHAnsi" w:cstheme="majorBidi"/>
      <w:color w:val="000000" w:themeColor="text1"/>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4392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4392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4392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4392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4392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4392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4392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4392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4392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4392E"/>
    <w:pPr>
      <w:widowControl w:val="0"/>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439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392E"/>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rPr>
  </w:style>
  <w:style w:type="character" w:customStyle="1" w:styleId="a6">
    <w:name w:val="副題 (文字)"/>
    <w:basedOn w:val="a0"/>
    <w:link w:val="a5"/>
    <w:uiPriority w:val="11"/>
    <w:rsid w:val="000439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392E"/>
    <w:pPr>
      <w:widowControl w:val="0"/>
      <w:spacing w:before="160" w:after="160"/>
      <w:jc w:val="center"/>
    </w:pPr>
    <w:rPr>
      <w:rFonts w:asciiTheme="minorHAnsi" w:eastAsiaTheme="minorEastAsia" w:hAnsiTheme="minorHAnsi" w:cstheme="minorBidi"/>
      <w:i/>
      <w:iCs/>
      <w:color w:val="404040" w:themeColor="text1" w:themeTint="BF"/>
      <w:kern w:val="2"/>
      <w:sz w:val="21"/>
    </w:rPr>
  </w:style>
  <w:style w:type="character" w:customStyle="1" w:styleId="a8">
    <w:name w:val="引用文 (文字)"/>
    <w:basedOn w:val="a0"/>
    <w:link w:val="a7"/>
    <w:uiPriority w:val="29"/>
    <w:rsid w:val="0004392E"/>
    <w:rPr>
      <w:i/>
      <w:iCs/>
      <w:color w:val="404040" w:themeColor="text1" w:themeTint="BF"/>
    </w:rPr>
  </w:style>
  <w:style w:type="paragraph" w:styleId="a9">
    <w:name w:val="List Paragraph"/>
    <w:basedOn w:val="a"/>
    <w:uiPriority w:val="34"/>
    <w:qFormat/>
    <w:rsid w:val="0004392E"/>
    <w:pPr>
      <w:widowControl w:val="0"/>
      <w:ind w:left="720"/>
      <w:contextualSpacing/>
      <w:jc w:val="both"/>
    </w:pPr>
    <w:rPr>
      <w:rFonts w:asciiTheme="minorHAnsi" w:eastAsiaTheme="minorEastAsia" w:hAnsiTheme="minorHAnsi" w:cstheme="minorBidi"/>
      <w:kern w:val="2"/>
      <w:sz w:val="21"/>
    </w:rPr>
  </w:style>
  <w:style w:type="character" w:styleId="21">
    <w:name w:val="Intense Emphasis"/>
    <w:basedOn w:val="a0"/>
    <w:uiPriority w:val="21"/>
    <w:qFormat/>
    <w:rsid w:val="0004392E"/>
    <w:rPr>
      <w:i/>
      <w:iCs/>
      <w:color w:val="0F4761" w:themeColor="accent1" w:themeShade="BF"/>
    </w:rPr>
  </w:style>
  <w:style w:type="paragraph" w:styleId="22">
    <w:name w:val="Intense Quote"/>
    <w:basedOn w:val="a"/>
    <w:next w:val="a"/>
    <w:link w:val="23"/>
    <w:uiPriority w:val="30"/>
    <w:qFormat/>
    <w:rsid w:val="0004392E"/>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rPr>
  </w:style>
  <w:style w:type="character" w:customStyle="1" w:styleId="23">
    <w:name w:val="引用文 2 (文字)"/>
    <w:basedOn w:val="a0"/>
    <w:link w:val="22"/>
    <w:uiPriority w:val="30"/>
    <w:rsid w:val="0004392E"/>
    <w:rPr>
      <w:i/>
      <w:iCs/>
      <w:color w:val="0F4761" w:themeColor="accent1" w:themeShade="BF"/>
    </w:rPr>
  </w:style>
  <w:style w:type="character" w:styleId="24">
    <w:name w:val="Intense Reference"/>
    <w:basedOn w:val="a0"/>
    <w:uiPriority w:val="32"/>
    <w:qFormat/>
    <w:rsid w:val="0004392E"/>
    <w:rPr>
      <w:b/>
      <w:bCs/>
      <w:smallCaps/>
      <w:color w:val="0F4761" w:themeColor="accent1" w:themeShade="BF"/>
      <w:spacing w:val="5"/>
    </w:rPr>
  </w:style>
  <w:style w:type="character" w:styleId="aa">
    <w:name w:val="Placeholder Text"/>
    <w:basedOn w:val="a0"/>
    <w:uiPriority w:val="99"/>
    <w:semiHidden/>
    <w:rsid w:val="0004392E"/>
    <w:rPr>
      <w:color w:val="666666"/>
    </w:rPr>
  </w:style>
  <w:style w:type="paragraph" w:styleId="ab">
    <w:name w:val="footer"/>
    <w:basedOn w:val="a"/>
    <w:link w:val="ac"/>
    <w:uiPriority w:val="99"/>
    <w:unhideWhenUsed/>
    <w:rsid w:val="001D51D2"/>
    <w:pPr>
      <w:tabs>
        <w:tab w:val="center" w:pos="4252"/>
        <w:tab w:val="right" w:pos="8504"/>
      </w:tabs>
      <w:snapToGrid w:val="0"/>
    </w:pPr>
  </w:style>
  <w:style w:type="character" w:customStyle="1" w:styleId="ac">
    <w:name w:val="フッター (文字)"/>
    <w:basedOn w:val="a0"/>
    <w:link w:val="ab"/>
    <w:uiPriority w:val="99"/>
    <w:rsid w:val="001D51D2"/>
    <w:rPr>
      <w:rFonts w:ascii="ＭＳ Ｐゴシック" w:eastAsia="ＭＳ Ｐゴシック" w:hAnsi="ＭＳ Ｐゴシック" w:cs="ＭＳ Ｐゴシック"/>
      <w:kern w:val="0"/>
      <w:sz w:val="24"/>
    </w:rPr>
  </w:style>
  <w:style w:type="character" w:styleId="ad">
    <w:name w:val="page number"/>
    <w:basedOn w:val="a0"/>
    <w:uiPriority w:val="99"/>
    <w:semiHidden/>
    <w:unhideWhenUsed/>
    <w:rsid w:val="001D51D2"/>
  </w:style>
  <w:style w:type="character" w:styleId="ae">
    <w:name w:val="line number"/>
    <w:basedOn w:val="a0"/>
    <w:uiPriority w:val="99"/>
    <w:semiHidden/>
    <w:unhideWhenUsed/>
    <w:rsid w:val="001D51D2"/>
  </w:style>
  <w:style w:type="character" w:styleId="af">
    <w:name w:val="Hyperlink"/>
    <w:basedOn w:val="a0"/>
    <w:uiPriority w:val="99"/>
    <w:unhideWhenUsed/>
    <w:rsid w:val="001F552E"/>
    <w:rPr>
      <w:color w:val="467886" w:themeColor="hyperlink"/>
      <w:u w:val="single"/>
    </w:rPr>
  </w:style>
  <w:style w:type="character" w:styleId="af0">
    <w:name w:val="Unresolved Mention"/>
    <w:basedOn w:val="a0"/>
    <w:uiPriority w:val="99"/>
    <w:semiHidden/>
    <w:unhideWhenUsed/>
    <w:rsid w:val="001F552E"/>
    <w:rPr>
      <w:color w:val="605E5C"/>
      <w:shd w:val="clear" w:color="auto" w:fill="E1DFDD"/>
    </w:rPr>
  </w:style>
  <w:style w:type="paragraph" w:styleId="af1">
    <w:name w:val="Bibliography"/>
    <w:basedOn w:val="a"/>
    <w:next w:val="a"/>
    <w:uiPriority w:val="37"/>
    <w:unhideWhenUsed/>
    <w:rsid w:val="001F552E"/>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denovo2021/EIPSA"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12</Pages>
  <Words>4286</Words>
  <Characters>24433</Characters>
  <Application>Microsoft Office Word</Application>
  <DocSecurity>0</DocSecurity>
  <Lines>203</Lines>
  <Paragraphs>57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河原　智樹</dc:creator>
  <cp:keywords/>
  <dc:description/>
  <cp:lastModifiedBy>河原　智樹</cp:lastModifiedBy>
  <cp:revision>24</cp:revision>
  <cp:lastPrinted>2026-05-03T01:38:00Z</cp:lastPrinted>
  <dcterms:created xsi:type="dcterms:W3CDTF">2026-02-16T06:11:00Z</dcterms:created>
  <dcterms:modified xsi:type="dcterms:W3CDTF">2026-05-03T07:42:00Z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id="XdzWhKov"/&gt;&lt;style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