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C478" w14:textId="38865240" w:rsidR="00660EB9" w:rsidRDefault="00294CA2" w:rsidP="00231B98">
      <w:pPr>
        <w:spacing w:line="480" w:lineRule="auto"/>
        <w:jc w:val="center"/>
        <w:rPr>
          <w:rFonts w:ascii="Times New Roman" w:hAnsi="Times New Roman" w:cs="Times New Roman"/>
          <w:b/>
          <w:bCs/>
          <w:sz w:val="24"/>
        </w:rPr>
      </w:pPr>
      <w:r w:rsidRPr="00294CA2">
        <w:rPr>
          <w:rFonts w:ascii="Times New Roman" w:hAnsi="Times New Roman" w:cs="Times New Roman"/>
          <w:b/>
          <w:bCs/>
          <w:sz w:val="24"/>
        </w:rPr>
        <w:t>Pre-pandemic social cohesion determined COVID-19 lockdown strategy but did not drive polarization</w:t>
      </w:r>
      <w:r w:rsidR="00B1191D" w:rsidRPr="00B1191D">
        <w:rPr>
          <w:rFonts w:ascii="Times New Roman" w:hAnsi="Times New Roman" w:cs="Times New Roman"/>
          <w:b/>
          <w:bCs/>
          <w:sz w:val="24"/>
        </w:rPr>
        <w:t>: A Bayesian dynamic panel analysis of 3</w:t>
      </w:r>
      <w:r w:rsidR="00066FCC">
        <w:rPr>
          <w:rFonts w:ascii="Times New Roman" w:hAnsi="Times New Roman" w:cs="Times New Roman"/>
          <w:b/>
          <w:bCs/>
          <w:sz w:val="24"/>
        </w:rPr>
        <w:t>7</w:t>
      </w:r>
      <w:r w:rsidR="00B1191D" w:rsidRPr="00B1191D">
        <w:rPr>
          <w:rFonts w:ascii="Times New Roman" w:hAnsi="Times New Roman" w:cs="Times New Roman"/>
          <w:b/>
          <w:bCs/>
          <w:sz w:val="24"/>
        </w:rPr>
        <w:t xml:space="preserve"> OECD countries</w:t>
      </w:r>
    </w:p>
    <w:p w14:paraId="431C72AA" w14:textId="07B4DC04" w:rsidR="00F44841" w:rsidRDefault="00F44841" w:rsidP="00F44841">
      <w:pPr>
        <w:spacing w:line="480" w:lineRule="auto"/>
        <w:jc w:val="center"/>
        <w:rPr>
          <w:rFonts w:ascii="Times New Roman" w:hAnsi="Times New Roman" w:cs="Times New Roman"/>
          <w:sz w:val="24"/>
        </w:rPr>
      </w:pPr>
      <w:r w:rsidRPr="00972DD0">
        <w:rPr>
          <w:rFonts w:ascii="Times New Roman" w:hAnsi="Times New Roman" w:cs="Times New Roman" w:hint="eastAsia"/>
          <w:sz w:val="24"/>
        </w:rPr>
        <w:t>T</w:t>
      </w:r>
      <w:r w:rsidRPr="00972DD0">
        <w:rPr>
          <w:rFonts w:ascii="Times New Roman" w:hAnsi="Times New Roman" w:cs="Times New Roman"/>
          <w:sz w:val="24"/>
        </w:rPr>
        <w:t>omoki Kawahara</w:t>
      </w:r>
      <w:r w:rsidRPr="0099231C">
        <w:rPr>
          <w:rFonts w:ascii="Times New Roman" w:hAnsi="Times New Roman" w:cs="Times New Roman"/>
          <w:sz w:val="24"/>
          <w:vertAlign w:val="superscript"/>
        </w:rPr>
        <w:t>1</w:t>
      </w:r>
      <w:r w:rsidR="003379E6">
        <w:rPr>
          <w:rFonts w:ascii="Times New Roman" w:hAnsi="Times New Roman" w:cs="Times New Roman"/>
          <w:sz w:val="24"/>
          <w:vertAlign w:val="superscript"/>
        </w:rPr>
        <w:t>, 2</w:t>
      </w:r>
      <w:r w:rsidRPr="00972DD0">
        <w:rPr>
          <w:rFonts w:ascii="Times New Roman" w:hAnsi="Times New Roman" w:cs="Times New Roman"/>
          <w:sz w:val="24"/>
        </w:rPr>
        <w:t xml:space="preserve">, </w:t>
      </w:r>
      <w:r w:rsidR="007F0CF3">
        <w:rPr>
          <w:rFonts w:ascii="Times New Roman" w:hAnsi="Times New Roman" w:cs="Times New Roman"/>
          <w:sz w:val="24"/>
        </w:rPr>
        <w:t>Takeo Fujiwara</w:t>
      </w:r>
      <w:r w:rsidR="007F0CF3" w:rsidRPr="007F0CF3">
        <w:rPr>
          <w:rFonts w:ascii="Times New Roman" w:hAnsi="Times New Roman" w:cs="Times New Roman"/>
          <w:sz w:val="24"/>
          <w:vertAlign w:val="superscript"/>
        </w:rPr>
        <w:t>2</w:t>
      </w:r>
    </w:p>
    <w:p w14:paraId="3567BCA0" w14:textId="77777777" w:rsidR="00F44841" w:rsidRDefault="00F44841" w:rsidP="00F44841">
      <w:pPr>
        <w:spacing w:line="480" w:lineRule="auto"/>
        <w:rPr>
          <w:rFonts w:ascii="Times New Roman" w:eastAsia="Times New Roman" w:hAnsi="Times New Roman" w:cs="Times New Roman"/>
          <w:sz w:val="24"/>
        </w:rPr>
      </w:pPr>
    </w:p>
    <w:p w14:paraId="33D5FE6D" w14:textId="42F4E04E" w:rsidR="00F44841" w:rsidRDefault="00F44841" w:rsidP="00F44841">
      <w:pPr>
        <w:spacing w:line="480" w:lineRule="auto"/>
        <w:rPr>
          <w:rFonts w:ascii="Times New Roman" w:hAnsi="Times New Roman" w:cs="Times New Roman"/>
          <w:sz w:val="24"/>
        </w:rPr>
      </w:pPr>
      <w:r w:rsidRPr="00972DD0">
        <w:rPr>
          <w:rFonts w:ascii="Times New Roman" w:hAnsi="Times New Roman" w:cs="Times New Roman" w:hint="eastAsia"/>
          <w:b/>
          <w:bCs/>
          <w:sz w:val="24"/>
        </w:rPr>
        <w:t>A</w:t>
      </w:r>
      <w:r w:rsidRPr="00972DD0">
        <w:rPr>
          <w:rFonts w:ascii="Times New Roman" w:hAnsi="Times New Roman" w:cs="Times New Roman"/>
          <w:b/>
          <w:bCs/>
          <w:sz w:val="24"/>
        </w:rPr>
        <w:t>ffiliations:</w:t>
      </w:r>
      <w:r w:rsidRPr="00972DD0">
        <w:rPr>
          <w:rFonts w:ascii="Times New Roman" w:hAnsi="Times New Roman" w:cs="Times New Roman"/>
          <w:sz w:val="24"/>
        </w:rPr>
        <w:t xml:space="preserve"> </w:t>
      </w:r>
      <w:r>
        <w:rPr>
          <w:rFonts w:ascii="Times New Roman" w:hAnsi="Times New Roman" w:cs="Times New Roman"/>
          <w:sz w:val="24"/>
        </w:rPr>
        <w:t xml:space="preserve">1: </w:t>
      </w:r>
      <w:r w:rsidRPr="00972DD0">
        <w:rPr>
          <w:rFonts w:ascii="Times New Roman" w:hAnsi="Times New Roman" w:cs="Times New Roman"/>
          <w:sz w:val="24"/>
        </w:rPr>
        <w:t xml:space="preserve">Department of </w:t>
      </w:r>
      <w:r>
        <w:rPr>
          <w:rFonts w:ascii="Times New Roman" w:hAnsi="Times New Roman" w:cs="Times New Roman"/>
          <w:sz w:val="24"/>
        </w:rPr>
        <w:t>Clinical Information Applied Sciences</w:t>
      </w:r>
      <w:r w:rsidRPr="00972DD0">
        <w:rPr>
          <w:rFonts w:ascii="Times New Roman" w:hAnsi="Times New Roman" w:cs="Times New Roman"/>
          <w:sz w:val="24"/>
        </w:rPr>
        <w:t xml:space="preserve">, </w:t>
      </w:r>
      <w:r>
        <w:rPr>
          <w:rFonts w:ascii="Times New Roman" w:hAnsi="Times New Roman" w:cs="Times New Roman"/>
          <w:sz w:val="24"/>
        </w:rPr>
        <w:t>Institute of Science Tokyo</w:t>
      </w:r>
      <w:r w:rsidRPr="00972DD0">
        <w:rPr>
          <w:rFonts w:ascii="Times New Roman" w:hAnsi="Times New Roman" w:cs="Times New Roman"/>
          <w:sz w:val="24"/>
        </w:rPr>
        <w:t>, Tokyo, Japan</w:t>
      </w:r>
      <w:r>
        <w:rPr>
          <w:rFonts w:ascii="Times New Roman" w:hAnsi="Times New Roman" w:cs="Times New Roman"/>
          <w:sz w:val="24"/>
        </w:rPr>
        <w:t xml:space="preserve">. 2: </w:t>
      </w:r>
      <w:r w:rsidRPr="00972DD0">
        <w:rPr>
          <w:rFonts w:ascii="Times New Roman" w:hAnsi="Times New Roman" w:cs="Times New Roman"/>
          <w:sz w:val="24"/>
        </w:rPr>
        <w:t xml:space="preserve">Department of </w:t>
      </w:r>
      <w:r>
        <w:rPr>
          <w:rFonts w:ascii="Times New Roman" w:hAnsi="Times New Roman" w:cs="Times New Roman"/>
          <w:sz w:val="24"/>
        </w:rPr>
        <w:t>Public</w:t>
      </w:r>
      <w:r w:rsidRPr="00972DD0">
        <w:rPr>
          <w:rFonts w:ascii="Times New Roman" w:hAnsi="Times New Roman" w:cs="Times New Roman"/>
          <w:sz w:val="24"/>
        </w:rPr>
        <w:t xml:space="preserve"> Health, </w:t>
      </w:r>
      <w:r>
        <w:rPr>
          <w:rFonts w:ascii="Times New Roman" w:hAnsi="Times New Roman" w:cs="Times New Roman"/>
          <w:sz w:val="24"/>
        </w:rPr>
        <w:t>Institute of Science Tokyo</w:t>
      </w:r>
      <w:r w:rsidRPr="00972DD0">
        <w:rPr>
          <w:rFonts w:ascii="Times New Roman" w:hAnsi="Times New Roman" w:cs="Times New Roman"/>
          <w:sz w:val="24"/>
        </w:rPr>
        <w:t>, Tokyo, Japan</w:t>
      </w:r>
      <w:r>
        <w:rPr>
          <w:rFonts w:ascii="Times New Roman" w:hAnsi="Times New Roman" w:cs="Times New Roman"/>
          <w:sz w:val="24"/>
        </w:rPr>
        <w:t>.</w:t>
      </w:r>
    </w:p>
    <w:p w14:paraId="112F2844" w14:textId="77777777" w:rsidR="00F44841" w:rsidRDefault="00F44841" w:rsidP="00F44841">
      <w:pPr>
        <w:spacing w:line="480" w:lineRule="auto"/>
        <w:rPr>
          <w:rFonts w:ascii="Times New Roman" w:hAnsi="Times New Roman" w:cs="Times New Roman"/>
          <w:sz w:val="24"/>
        </w:rPr>
      </w:pPr>
    </w:p>
    <w:p w14:paraId="3BEF7F76" w14:textId="7882D7EF" w:rsidR="008641D3" w:rsidRPr="00AF7969" w:rsidRDefault="00F44841" w:rsidP="005C61C4">
      <w:pPr>
        <w:spacing w:line="480" w:lineRule="auto"/>
        <w:sectPr w:rsidR="008641D3" w:rsidRPr="00AF7969" w:rsidSect="00765611">
          <w:footerReference w:type="even" r:id="rId6"/>
          <w:footerReference w:type="default" r:id="rId7"/>
          <w:pgSz w:w="11906" w:h="16838"/>
          <w:pgMar w:top="1985" w:right="1701" w:bottom="1701" w:left="1701" w:header="851" w:footer="992" w:gutter="0"/>
          <w:lnNumType w:countBy="1" w:restart="continuous"/>
          <w:cols w:space="425"/>
          <w:docGrid w:type="lines" w:linePitch="360"/>
        </w:sectPr>
      </w:pPr>
      <w:r w:rsidRPr="00972DD0">
        <w:rPr>
          <w:rFonts w:ascii="Times New Roman" w:eastAsia="Times New Roman" w:hAnsi="Times New Roman" w:cs="Times New Roman"/>
          <w:b/>
          <w:sz w:val="24"/>
        </w:rPr>
        <w:t>Address Correspondence to:</w:t>
      </w:r>
      <w:r w:rsidRPr="00972DD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Tomoki Kawahara, Assistant Professor, Department of Public Health, Institute of Science Tokyo, </w:t>
      </w:r>
      <w:r w:rsidRPr="00E41ACB">
        <w:rPr>
          <w:rFonts w:ascii="Times New Roman" w:eastAsia="Times New Roman" w:hAnsi="Times New Roman" w:cs="Times New Roman"/>
          <w:sz w:val="24"/>
        </w:rPr>
        <w:t xml:space="preserve">1-5-45 </w:t>
      </w:r>
      <w:proofErr w:type="spellStart"/>
      <w:r w:rsidRPr="00E41ACB">
        <w:rPr>
          <w:rFonts w:ascii="Times New Roman" w:eastAsia="Times New Roman" w:hAnsi="Times New Roman" w:cs="Times New Roman"/>
          <w:sz w:val="24"/>
        </w:rPr>
        <w:t>Yushima</w:t>
      </w:r>
      <w:proofErr w:type="spellEnd"/>
      <w:r w:rsidRPr="00E41ACB">
        <w:rPr>
          <w:rFonts w:ascii="Times New Roman" w:eastAsia="Times New Roman" w:hAnsi="Times New Roman" w:cs="Times New Roman"/>
          <w:sz w:val="24"/>
        </w:rPr>
        <w:t>, Bunkyo-</w:t>
      </w:r>
      <w:proofErr w:type="spellStart"/>
      <w:r w:rsidRPr="00E41ACB">
        <w:rPr>
          <w:rFonts w:ascii="Times New Roman" w:eastAsia="Times New Roman" w:hAnsi="Times New Roman" w:cs="Times New Roman"/>
          <w:sz w:val="24"/>
        </w:rPr>
        <w:t>ku</w:t>
      </w:r>
      <w:proofErr w:type="spellEnd"/>
      <w:r w:rsidRPr="00E41ACB">
        <w:rPr>
          <w:rFonts w:ascii="Times New Roman" w:eastAsia="Times New Roman" w:hAnsi="Times New Roman" w:cs="Times New Roman"/>
          <w:sz w:val="24"/>
        </w:rPr>
        <w:t xml:space="preserve">, Tokyo, 113-8510, Japan. Tel. +81-3-5803-5187, Fax. +81-3-5803-5190, Email: </w:t>
      </w:r>
      <w:hyperlink r:id="rId8" w:history="1">
        <w:r w:rsidR="002A4756" w:rsidRPr="002A4756">
          <w:rPr>
            <w:rStyle w:val="aa"/>
            <w:rFonts w:ascii="Times New Roman" w:eastAsia="ＭＳ 明朝" w:hAnsi="Times New Roman" w:cs="Times New Roman"/>
            <w:sz w:val="24"/>
          </w:rPr>
          <w:t>kawahara.hlth@tmd.ac.jp</w:t>
        </w:r>
      </w:hyperlink>
    </w:p>
    <w:p w14:paraId="21650EDD" w14:textId="7B78458B" w:rsidR="00660EB9" w:rsidRPr="00660EB9" w:rsidRDefault="00660EB9" w:rsidP="005C61C4">
      <w:pPr>
        <w:spacing w:line="480" w:lineRule="auto"/>
        <w:rPr>
          <w:rFonts w:ascii="Times New Roman" w:hAnsi="Times New Roman" w:cs="Times New Roman"/>
          <w:b/>
          <w:bCs/>
          <w:sz w:val="24"/>
        </w:rPr>
      </w:pPr>
      <w:r w:rsidRPr="00660EB9">
        <w:rPr>
          <w:rFonts w:ascii="Times New Roman" w:hAnsi="Times New Roman" w:cs="Times New Roman"/>
          <w:b/>
          <w:bCs/>
          <w:sz w:val="24"/>
        </w:rPr>
        <w:lastRenderedPageBreak/>
        <w:t>Abstract</w:t>
      </w:r>
    </w:p>
    <w:p w14:paraId="542A0B1D" w14:textId="0D9F7966" w:rsidR="007F0CF3" w:rsidRPr="007F0CF3" w:rsidRDefault="007F0CF3" w:rsidP="005C61C4">
      <w:pPr>
        <w:spacing w:line="480" w:lineRule="auto"/>
        <w:rPr>
          <w:rFonts w:ascii="Times New Roman" w:hAnsi="Times New Roman" w:cs="Times New Roman"/>
          <w:sz w:val="24"/>
        </w:rPr>
        <w:sectPr w:rsidR="007F0CF3" w:rsidRPr="007F0CF3" w:rsidSect="00765611">
          <w:pgSz w:w="11906" w:h="16838"/>
          <w:pgMar w:top="1985" w:right="1701" w:bottom="1701" w:left="1701" w:header="851" w:footer="992" w:gutter="0"/>
          <w:lnNumType w:countBy="1" w:restart="continuous"/>
          <w:cols w:space="425"/>
          <w:docGrid w:type="lines" w:linePitch="360"/>
        </w:sectPr>
      </w:pPr>
      <w:r w:rsidRPr="007F0CF3">
        <w:rPr>
          <w:rFonts w:ascii="Times New Roman" w:hAnsi="Times New Roman" w:cs="Times New Roman"/>
          <w:sz w:val="24"/>
        </w:rPr>
        <w:t>Infectious disease outbreaks are theorized to drive societies toward authoritarianism and social division, yet it remains unclear whether political disruptions during the COVID-19 pandemic were caused by the biological threat or the restrictive policy response. Here we show that across 3</w:t>
      </w:r>
      <w:r w:rsidR="00066FCC">
        <w:rPr>
          <w:rFonts w:ascii="Times New Roman" w:hAnsi="Times New Roman" w:cs="Times New Roman"/>
          <w:sz w:val="24"/>
        </w:rPr>
        <w:t>7</w:t>
      </w:r>
      <w:r w:rsidRPr="007F0CF3">
        <w:rPr>
          <w:rFonts w:ascii="Times New Roman" w:hAnsi="Times New Roman" w:cs="Times New Roman"/>
          <w:sz w:val="24"/>
        </w:rPr>
        <w:t xml:space="preserve"> OECD nations, neither COVID-19 mortality nor lockdown stringency significantly predicted changes in social polarization between 2019 and 2024. Using a panel data analysis integrating V-Dem, EM-DAT, and OxCGRT datasets, we find that the trajectory of declining social cohesion was structural and pre-dated the pandemic. </w:t>
      </w:r>
      <w:r w:rsidR="00373093" w:rsidRPr="00373093">
        <w:rPr>
          <w:rFonts w:ascii="Times New Roman" w:hAnsi="Times New Roman" w:cs="Times New Roman"/>
          <w:sz w:val="24"/>
        </w:rPr>
        <w:t xml:space="preserve">Rather than a credible association between lockdowns and polarization, we identify a robust selection effect: pre-pandemic social cohesion was negatively associated with subsequent lockdown stringency (r = </w:t>
      </w:r>
      <w:r w:rsidR="00373093">
        <w:rPr>
          <w:rFonts w:ascii="Times New Roman" w:hAnsi="Times New Roman" w:cs="Times New Roman"/>
          <w:sz w:val="24"/>
        </w:rPr>
        <w:t>-</w:t>
      </w:r>
      <w:r w:rsidR="00373093" w:rsidRPr="00373093">
        <w:rPr>
          <w:rFonts w:ascii="Times New Roman" w:hAnsi="Times New Roman" w:cs="Times New Roman"/>
          <w:sz w:val="24"/>
        </w:rPr>
        <w:t>0.51).</w:t>
      </w:r>
      <w:r w:rsidRPr="007F0CF3">
        <w:rPr>
          <w:rFonts w:ascii="Times New Roman" w:hAnsi="Times New Roman" w:cs="Times New Roman"/>
          <w:sz w:val="24"/>
        </w:rPr>
        <w:t xml:space="preserve"> Socially cohesive societies, such as </w:t>
      </w:r>
      <w:r w:rsidR="001F0C3F" w:rsidRPr="001F0C3F">
        <w:rPr>
          <w:rFonts w:ascii="Times New Roman" w:hAnsi="Times New Roman" w:cs="Times New Roman"/>
          <w:sz w:val="24"/>
        </w:rPr>
        <w:t>Japan, the Nordic countries, and New Zealand</w:t>
      </w:r>
      <w:r w:rsidRPr="007F0CF3">
        <w:rPr>
          <w:rFonts w:ascii="Times New Roman" w:hAnsi="Times New Roman" w:cs="Times New Roman"/>
          <w:sz w:val="24"/>
        </w:rPr>
        <w:t>, achieved compliance through voluntary adaptation and adopted lighter restrictions, whereas polarized societies were compelled to rely on coercive mandates. These results challenge the narrative that pandemic response measures eroded democratic norms, suggesting instead that the capacity to govern without coercion is a function of pre-existing social capital.</w:t>
      </w:r>
    </w:p>
    <w:p w14:paraId="7115FFB4" w14:textId="77777777" w:rsidR="00C35FB2" w:rsidRPr="006D4935" w:rsidRDefault="00C35FB2" w:rsidP="00361045">
      <w:pPr>
        <w:spacing w:line="480" w:lineRule="auto"/>
        <w:rPr>
          <w:rFonts w:ascii="Times New Roman" w:hAnsi="Times New Roman" w:cs="Times New Roman"/>
          <w:sz w:val="24"/>
        </w:rPr>
      </w:pPr>
    </w:p>
    <w:p w14:paraId="685D95CE" w14:textId="0F90CBB1" w:rsidR="00C35FB2" w:rsidRPr="00361045" w:rsidRDefault="00C35FB2" w:rsidP="00C61B02">
      <w:pPr>
        <w:spacing w:line="480" w:lineRule="auto"/>
        <w:rPr>
          <w:rFonts w:ascii="Times New Roman" w:hAnsi="Times New Roman" w:cs="Times New Roman"/>
          <w:sz w:val="24"/>
        </w:rPr>
        <w:sectPr w:rsidR="00C35FB2" w:rsidRPr="00361045" w:rsidSect="00765611">
          <w:pgSz w:w="11906" w:h="16838"/>
          <w:pgMar w:top="1985" w:right="1701" w:bottom="1701" w:left="1701" w:header="851" w:footer="992" w:gutter="0"/>
          <w:lnNumType w:countBy="1" w:restart="continuous"/>
          <w:cols w:space="425"/>
          <w:docGrid w:type="lines" w:linePitch="360"/>
        </w:sectPr>
      </w:pPr>
      <w:r w:rsidRPr="00C35FB2">
        <w:rPr>
          <w:rFonts w:ascii="Times New Roman" w:hAnsi="Times New Roman" w:cs="Times New Roman"/>
          <w:sz w:val="24"/>
        </w:rPr>
        <w:t>Keywords: COVID-19</w:t>
      </w:r>
      <w:r>
        <w:rPr>
          <w:rFonts w:ascii="Times New Roman" w:hAnsi="Times New Roman" w:cs="Times New Roman"/>
          <w:sz w:val="24"/>
        </w:rPr>
        <w:t>,</w:t>
      </w:r>
      <w:r w:rsidRPr="00C35FB2">
        <w:rPr>
          <w:rFonts w:ascii="Times New Roman" w:hAnsi="Times New Roman" w:cs="Times New Roman"/>
          <w:sz w:val="24"/>
        </w:rPr>
        <w:t xml:space="preserve"> social polarization</w:t>
      </w:r>
      <w:r>
        <w:rPr>
          <w:rFonts w:ascii="Times New Roman" w:hAnsi="Times New Roman" w:cs="Times New Roman"/>
          <w:sz w:val="24"/>
        </w:rPr>
        <w:t>,</w:t>
      </w:r>
      <w:r w:rsidRPr="00C35FB2">
        <w:rPr>
          <w:rFonts w:ascii="Times New Roman" w:hAnsi="Times New Roman" w:cs="Times New Roman"/>
          <w:sz w:val="24"/>
        </w:rPr>
        <w:t xml:space="preserve"> social cohesion</w:t>
      </w:r>
      <w:r>
        <w:rPr>
          <w:rFonts w:ascii="Times New Roman" w:hAnsi="Times New Roman" w:cs="Times New Roman"/>
          <w:sz w:val="24"/>
        </w:rPr>
        <w:t>,</w:t>
      </w:r>
      <w:r w:rsidRPr="00C35FB2">
        <w:rPr>
          <w:rFonts w:ascii="Times New Roman" w:hAnsi="Times New Roman" w:cs="Times New Roman"/>
          <w:sz w:val="24"/>
        </w:rPr>
        <w:t xml:space="preserve"> pandemic policy</w:t>
      </w:r>
      <w:r>
        <w:rPr>
          <w:rFonts w:ascii="Times New Roman" w:hAnsi="Times New Roman" w:cs="Times New Roman"/>
          <w:sz w:val="24"/>
        </w:rPr>
        <w:t>,</w:t>
      </w:r>
      <w:r w:rsidRPr="00C35FB2">
        <w:rPr>
          <w:rFonts w:ascii="Times New Roman" w:hAnsi="Times New Roman" w:cs="Times New Roman"/>
          <w:sz w:val="24"/>
        </w:rPr>
        <w:t xml:space="preserve"> V-Dem</w:t>
      </w:r>
    </w:p>
    <w:p w14:paraId="1A886110" w14:textId="5DA3339D" w:rsidR="005C61C4" w:rsidRPr="005C61C4" w:rsidRDefault="005C61C4" w:rsidP="005C61C4">
      <w:pPr>
        <w:spacing w:line="480" w:lineRule="auto"/>
        <w:rPr>
          <w:rFonts w:ascii="Times New Roman" w:hAnsi="Times New Roman" w:cs="Times New Roman"/>
          <w:b/>
          <w:bCs/>
          <w:sz w:val="24"/>
        </w:rPr>
      </w:pPr>
      <w:r w:rsidRPr="005C61C4">
        <w:rPr>
          <w:rFonts w:ascii="Times New Roman" w:hAnsi="Times New Roman" w:cs="Times New Roman"/>
          <w:b/>
          <w:bCs/>
          <w:sz w:val="24"/>
        </w:rPr>
        <w:lastRenderedPageBreak/>
        <w:t>Introduction</w:t>
      </w:r>
    </w:p>
    <w:p w14:paraId="39D539A3" w14:textId="5A27366F" w:rsidR="00AC5CA7" w:rsidRPr="00AC5CA7" w:rsidRDefault="000E74FF" w:rsidP="00AC5CA7">
      <w:pPr>
        <w:spacing w:line="480" w:lineRule="auto"/>
        <w:rPr>
          <w:rFonts w:ascii="Times New Roman" w:hAnsi="Times New Roman" w:cs="Times New Roman"/>
          <w:sz w:val="24"/>
        </w:rPr>
      </w:pPr>
      <w:r w:rsidRPr="000E74FF">
        <w:rPr>
          <w:rFonts w:ascii="Times New Roman" w:hAnsi="Times New Roman" w:cs="Times New Roman"/>
          <w:sz w:val="24"/>
        </w:rPr>
        <w:t xml:space="preserve">The link between infectious disease and political authoritarianism is among the most provocative hypotheses in evolutionary political psychology. The Parasite-Stress Theory of Values, advanced by Thornhill and Fincher </w:t>
      </w:r>
      <w:r w:rsidR="006251FE">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{"citationID":"tAZgtUco","properties":{"unsorted":false,"formattedCitation":"(Thornhill &amp; Fincher, 2014)","plainCitation":"(Thornhill &amp; Fincher, 2014)","noteIndex":0},"citationItems":[{"id":386,"uris":["http://zotero.org/users/19944767/items/4SECZC62"],"itemData":{"id":386,"type":"book","publisher":"Springer","title":"The parasite-stress theory of values and sociality: Infectious disease, history and human values worldwide","author":[{"family":"Thornhill","given":"R."},{"family":"Fincher","given":"C. L."}],"issued":{"date-parts":[["2014"]]}}}],"schema":"https://github.com/citation-style-language/schema/raw/master/csl-citation.json"}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(Thornhill &amp; Fincher, 2014)</w:t>
      </w:r>
      <w:r w:rsidR="006251FE">
        <w:rPr>
          <w:rFonts w:ascii="Times New Roman" w:hAnsi="Times New Roman" w:cs="Times New Roman"/>
          <w:sz w:val="24"/>
        </w:rPr>
        <w:fldChar w:fldCharType="end"/>
      </w:r>
      <w:r w:rsidRPr="000E74FF">
        <w:rPr>
          <w:rFonts w:ascii="Times New Roman" w:hAnsi="Times New Roman" w:cs="Times New Roman"/>
          <w:sz w:val="24"/>
        </w:rPr>
        <w:t xml:space="preserve">, posits that societies historically exposed to high pathogen prevalence develop stronger in-group conformity, reduced openness to outsiders, and greater deference to authority </w:t>
      </w:r>
      <w:r w:rsidR="00425D59">
        <w:rPr>
          <w:rFonts w:ascii="Times New Roman" w:hAnsi="Times New Roman" w:cs="Times New Roman"/>
          <w:sz w:val="24"/>
        </w:rPr>
        <w:t>–</w:t>
      </w:r>
      <w:r w:rsidRPr="000E74FF">
        <w:rPr>
          <w:rFonts w:ascii="Times New Roman" w:hAnsi="Times New Roman" w:cs="Times New Roman"/>
          <w:sz w:val="24"/>
        </w:rPr>
        <w:t xml:space="preserve"> behavioral adaptations argued to limit contagion at the cost of individual liberty. Cross-national evidence has been adduced in its support: regions with higher parasite stress have been reported to exhibit more authoritarian governance, greater ethnocentrism, and reduced interpersonal trust </w:t>
      </w:r>
      <w:r w:rsidR="006251FE">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{"citationID":"We2HUDjQ","properties":{"unsorted":false,"formattedCitation":"(Murray &amp; Schaller, 2010; Thornhill &amp; Fincher, 2014)","plainCitation":"(Murray &amp; Schaller, 2010; Thornhill &amp; Fincher, 2014)","noteIndex":0},"citationItems":[{"id":"N0LCjfXp/HVxhfRxu","uris":["http://zotero.org/users/19944767/items/7A2C8RNQ"],"itemData":{"id":377,"type":"article-journal","abstract":"Regional differences in disease prevalence are associated with a wide array of cross-cultural differences. However, the complex relationships among culture, disease, and other ecological variables remain underinvestigated. Future research into the origins of cultural differences will benefit from the availability of a numerical index identifying the extent to which infectious diseases have been historically prevalent within regions defined by geopolitical borders. This article introduces such an index. This index is based on disease prevalence data obtained from old epidemiological atlases and is calculated for 230 geopolitical regions (mostly nations) around the world.","container-title":"Journal of Cross-Cultural Psychology","DOI":"10.1177/0022022109349510","ISSN":"0022-0221, 1552-5422","issue":"1","journalAbbreviation":"Journal of Cross-Cultural Psychology","language":"en","license":"https://journals.sagepub.com/page/policies/text-and-data-mining-license","page":"99-108","source":"DOI.org (Crossref)","title":"Historical Prevalence of Infectious Diseases Within 230 Geopolitical Regions: A Tool for Investigating Origins of Culture","title-short":"Historical Prevalence of Infectious Diseases Within 230 Geopolitical Regions","volume":"41","author":[{"family":"Murray","given":"Damian R."},{"family":"Schaller","given":"Mark"}],"issued":{"date-parts":[["2010",1]]}}},{"id":386,"uris":["http://zotero.org/users/19944767/items/4SECZC62"],"itemData":{"id":386,"type":"book","publisher":"Springer","title":"The parasite-stress theory of values and sociality: Infectious disease, history and human values worldwide","author":[{"family":"Thornhill","given":"R."},{"family":"Fincher","given":"C. L."}],"issued":{"date-parts":[["2014"]]}}}],"schema":"https://github.com/citation-style-language/schema/raw/master/csl-citation.json"}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(Murray &amp; Schaller, 2010; Thornhill &amp; Fincher, 2014)</w:t>
      </w:r>
      <w:r w:rsidR="006251FE">
        <w:rPr>
          <w:rFonts w:ascii="Times New Roman" w:hAnsi="Times New Roman" w:cs="Times New Roman"/>
          <w:sz w:val="24"/>
        </w:rPr>
        <w:fldChar w:fldCharType="end"/>
      </w:r>
      <w:r w:rsidRPr="000E74FF">
        <w:rPr>
          <w:rFonts w:ascii="Times New Roman" w:hAnsi="Times New Roman" w:cs="Times New Roman"/>
          <w:sz w:val="24"/>
        </w:rPr>
        <w:t xml:space="preserve">. The framework has nevertheless been subject to sustained methodological critique. Currie and Mace </w:t>
      </w:r>
      <w:r w:rsidR="006251FE">
        <w:rPr>
          <w:rFonts w:ascii="Times New Roman" w:hAnsi="Times New Roman" w:cs="Times New Roman"/>
          <w:sz w:val="24"/>
        </w:rPr>
        <w:fldChar w:fldCharType="begin"/>
      </w:r>
      <w:r w:rsidR="006251FE">
        <w:rPr>
          <w:rFonts w:ascii="Times New Roman" w:hAnsi="Times New Roman" w:cs="Times New Roman"/>
          <w:sz w:val="24"/>
        </w:rPr>
        <w:instrText xml:space="preserve"> ADDIN ZOTERO_ITEM CSL_CITATION {"citationID":"q42YEf53","properties":{"unsorted":false,"formattedCitation":"(Currie &amp; Mace, 2012)","plainCitation":"(Currie &amp; Mace, 2012)","noteIndex":0},"citationItems":[{"id":368,"uris":["http://zotero.org/users/19944767/items/3CFAKNS9"],"itemData":{"id":368,"type":"article-journal","abstract":"Abstract\n            Re-analysis of the data provided in the target article reveals a lack of evidence for a strong, universal relationship between parasite stress and the variables relating to sociality. Furthermore, even if associations between these variables do exist, the analyses presented here do not provide evidence for Fincher &amp; Thornhill's (F&amp;T's) proposed causal mechanism.","container-title":"Behavioral and Brain Sciences","DOI":"10.1017/S0140525X11000963","ISSN":"0140-525X, 1469-1825","issue":"2","journalAbbreviation":"Behav Brain Sci","language":"en","license":"https://www.cambridge.org/core/terms","page":"83-85","source":"DOI.org (Crossref)","title":"Analyses do not support the parasite-stress theory of human sociality","volume":"35","author":[{"family":"Currie","given":"Thomas E."},{"family":"Mace","given":"Ruth"}],"issued":{"date-parts":[["2012",4]]}}}],"schema":"https://github.com/citation-style-language/schema/raw/master/csl-citation.json"}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(Currie &amp; Mace, 2012)</w:t>
      </w:r>
      <w:r w:rsidR="006251FE">
        <w:rPr>
          <w:rFonts w:ascii="Times New Roman" w:hAnsi="Times New Roman" w:cs="Times New Roman"/>
          <w:sz w:val="24"/>
        </w:rPr>
        <w:fldChar w:fldCharType="end"/>
      </w:r>
      <w:r w:rsidRPr="000E74FF">
        <w:rPr>
          <w:rFonts w:ascii="Times New Roman" w:hAnsi="Times New Roman" w:cs="Times New Roman"/>
          <w:sz w:val="24"/>
        </w:rPr>
        <w:t xml:space="preserve"> demonstrated that the original cross-national associations do not withstand scrutiny once spatial non-independence and confounding are addressed. Pollet, </w:t>
      </w:r>
      <w:proofErr w:type="spellStart"/>
      <w:r w:rsidRPr="000E74FF">
        <w:rPr>
          <w:rFonts w:ascii="Times New Roman" w:hAnsi="Times New Roman" w:cs="Times New Roman"/>
          <w:sz w:val="24"/>
        </w:rPr>
        <w:t>Tybur</w:t>
      </w:r>
      <w:proofErr w:type="spellEnd"/>
      <w:r w:rsidRPr="000E74FF">
        <w:rPr>
          <w:rFonts w:ascii="Times New Roman" w:hAnsi="Times New Roman" w:cs="Times New Roman"/>
          <w:sz w:val="24"/>
        </w:rPr>
        <w:t xml:space="preserve">, Frankenhuis, and Rickard </w:t>
      </w:r>
      <w:r w:rsidR="006251FE">
        <w:rPr>
          <w:rFonts w:ascii="Times New Roman" w:hAnsi="Times New Roman" w:cs="Times New Roman"/>
          <w:sz w:val="24"/>
        </w:rPr>
        <w:fldChar w:fldCharType="begin"/>
      </w:r>
      <w:r w:rsidR="00116CF0">
        <w:rPr>
          <w:rFonts w:ascii="Times New Roman" w:hAnsi="Times New Roman" w:cs="Times New Roman"/>
          <w:sz w:val="24"/>
        </w:rPr>
        <w:instrText xml:space="preserve"> ADDIN ZOTERO_ITEM CSL_CITATION {"citationID":"HRhwyVvv","properties":{"unsorted":false,"formattedCitation":"(Pollet et al., 2014)","plainCitation":"(Pollet et al., 2014)","noteIndex":0},"citationItems":[{"id":374,"uris":["http://zotero.org/users/19944767/items/WZFVEI5Y"],"itemData":{"id":374,"type":"article-journal","container-title":"Human Nature","DOI":"10.1007/s12110-014-9206-3","ISSN":"1045-6767, 1936-4776","issue":"3","journalAbbreviation":"Hum Nat","language":"en","page":"410-429","source":"DOI.org (Crossref)","title":"What can cross-cultural correlations teach us about human nature?","volume":"25","author":[{"family":"Pollet","given":"Thomas V."},{"family":"Tybur","given":"Joshua M."},{"family":"Frankenhuis","given":"Willem E."},{"family":"Rickard","given":"Ian J."}],"issued":{"date-parts":[["2014",9]]}}}],"schema":"https://github.com/citation-style-language/schema/raw/master/csl-citation.json"}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(Pollet et al., 2014)</w:t>
      </w:r>
      <w:r w:rsidR="006251FE">
        <w:rPr>
          <w:rFonts w:ascii="Times New Roman" w:hAnsi="Times New Roman" w:cs="Times New Roman"/>
          <w:sz w:val="24"/>
        </w:rPr>
        <w:fldChar w:fldCharType="end"/>
      </w:r>
      <w:r w:rsidRPr="000E74FF">
        <w:rPr>
          <w:rFonts w:ascii="Times New Roman" w:hAnsi="Times New Roman" w:cs="Times New Roman"/>
          <w:sz w:val="24"/>
        </w:rPr>
        <w:t xml:space="preserve"> warned that country-level co-variation between pathogen prevalence and cultural values is exposed to the ecological fallacy, with individual-level associations far weaker than aggregate patterns suggest. </w:t>
      </w:r>
      <w:proofErr w:type="spellStart"/>
      <w:r w:rsidRPr="000E74FF">
        <w:rPr>
          <w:rFonts w:ascii="Times New Roman" w:hAnsi="Times New Roman" w:cs="Times New Roman"/>
          <w:sz w:val="24"/>
        </w:rPr>
        <w:t>Tybur</w:t>
      </w:r>
      <w:proofErr w:type="spellEnd"/>
      <w:r w:rsidRPr="000E74FF">
        <w:rPr>
          <w:rFonts w:ascii="Times New Roman" w:hAnsi="Times New Roman" w:cs="Times New Roman"/>
          <w:sz w:val="24"/>
        </w:rPr>
        <w:t xml:space="preserve"> et al. </w:t>
      </w:r>
      <w:r w:rsidR="006251FE">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{"citationID":"Lt85wRAY","properties":{"unsorted":false,"formattedCitation":"(Tybur et al., 2016)","plainCitation":"(Tybur et al., 2016)","noteIndex":0},"citationItems":[{"id":371,"uris":["http://zotero.org/users/19944767/items/CHQYURKM"],"itemData":{"id":371,"type":"article-journal","abstract":"Significance\n            Pathogens, and antipathogen behavioral strategies, affect myriad aspects of human behavior. Recent findings suggest that antipathogen strategies relate to political attitudes, with more ideologically conservative individuals reporting more disgust toward pathogen cues, and with higher parasite stress nations being, on average, more conservative. However, no research has yet adjudicated between two theoretical accounts proposed to explain these relationships between pathogens and politics. We find that national parasite stress and individual disgust sensitivity relate more strongly to adherence to traditional norms than they relate to support for barriers between social groups. These results suggest that the relationship between pathogens and politics reflects intragroup motivations more than intergroup motivations.\n          , \n            People who are more avoidant of pathogens are more politically conservative, as are nations with greater parasite stress. In the current research, we test two prominent hypotheses that have been proposed as explanations for these relationships. The first, which is an intragroup account, holds that these relationships between pathogens and politics are based on motivations to adhere to local norms, which are sometimes shaped by cultural evolution to have pathogen-neutralizing properties. The second, which is an intergroup account, holds that these same relationships are based on motivations to avoid contact with outgroups, who might pose greater infectious disease threats than ingroup members. Results from a study surveying 11,501 participants across 30 nations are more consistent with the intragroup account than with the intergroup account. National parasite stress relates to traditionalism (an aspect of conservatism especially related to adherence to group norms) but not to social dominance orientation (SDO; an aspect of conservatism especially related to endorsements of intergroup barriers and negativity toward ethnic and racial outgroups). Further, individual differences in pathogen-avoidance motives (i.e., disgust sensitivity) relate more strongly to traditionalism than to SDO within the 30 nations.","container-title":"Proceedings of the National Academy of Sciences","DOI":"10.1073/pnas.1607398113","ISSN":"0027-8424, 1091-6490","issue":"44","journalAbbreviation":"Proc. Natl. Acad. Sci. U.S.A.","language":"en","page":"12408-12413","source":"DOI.org (Crossref)","title":"Parasite stress and pathogen avoidance relate to distinct dimensions of political ideology across 30 nations","volume":"113","author":[{"family":"Tybur","given":"Joshua M."},{"family":"Inbar","given":"Yoel"},{"family":"Aarøe","given":"Lene"},{"family":"Barclay","given":"Pat"},{"family":"Barlow","given":"Fiona Kate"},{"family":"De Barra","given":"Mícheál"},{"family":"Becker","given":"D. Vaughn"},{"family":"Borovoi","given":"Leah"},{"family":"Choi","given":"Incheol"},{"family":"Choi","given":"Jong An"},{"family":"Consedine","given":"Nathan S."},{"family":"Conway","given":"Alan"},{"family":"Conway","given":"Jane Rebecca"},{"family":"Conway","given":"Paul"},{"family":"Adoric","given":"Vera Cubela"},{"family":"Demirci","given":"Dilara Ekin"},{"family":"Fern</w:instrText>
      </w:r>
      <w:r w:rsidR="00C8001A">
        <w:rPr>
          <w:rFonts w:ascii="Times New Roman" w:hAnsi="Times New Roman" w:cs="Times New Roman" w:hint="eastAsia"/>
          <w:sz w:val="24"/>
        </w:rPr>
        <w:instrText>á</w:instrText>
      </w:r>
      <w:r w:rsidR="00C8001A">
        <w:rPr>
          <w:rFonts w:ascii="Times New Roman" w:hAnsi="Times New Roman" w:cs="Times New Roman"/>
          <w:sz w:val="24"/>
        </w:rPr>
        <w:instrText xml:space="preserve">ndez","given":"Ana María"},{"family":"Ferreira","given":"Diogo Conque Seco"},{"family":"Ishii","given":"Keiko"},{"family":"Jakšić","given":"Ivana"},{"family":"Ji","given":"Tingting"},{"family":"Van Leeuwen","given":"Florian"},{"family":"Lewis","given":"David M. G."},{"family":"Li","given":"Norman P."},{"family":"McIntyre","given":"Jason C."},{"family":"Mukherjee","given":"Sumitava"},{"family":"Park","given":"Justin H."},{"family":"Pawlowski","given":"Boguslaw"},{"family":"Petersen","given":"Michael Bang"},{"family":"Pizarro","given":"David"},{"family":"Prodromitis","given":"Gerasimos"},{"family":"Prokop","given":"Pavol"},{"family":"Rantala","given":"Markus J."},{"family":"Reynolds","given":"Lisa M."},{"family":"Sandin","given":"Bonifacio"},{"family":"Sevi","given":"Bariş"},{"family":"De Smet","given":"Delphine"},{"family":"Srinivasan","given":"Narayanan"},{"family":"Tewari","given":"Shruti"},{"family":"Wilson","given":"Cameron"},{"family":"Yong","given":"Jose C."},{"family":"Žeželj","given":"Iris"}],"issued":{"date-parts":[["2016",11]]}}}],"schema":"https://github.com/citation-style-language/schema/raw/master/csl-citation.json"}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(Tybur et al., 2016)</w:t>
      </w:r>
      <w:r w:rsidR="006251FE">
        <w:rPr>
          <w:rFonts w:ascii="Times New Roman" w:hAnsi="Times New Roman" w:cs="Times New Roman"/>
          <w:sz w:val="24"/>
        </w:rPr>
        <w:fldChar w:fldCharType="end"/>
      </w:r>
      <w:r w:rsidRPr="000E74FF">
        <w:rPr>
          <w:rFonts w:ascii="Times New Roman" w:hAnsi="Times New Roman" w:cs="Times New Roman"/>
          <w:sz w:val="24"/>
        </w:rPr>
        <w:t xml:space="preserve">, in a 30-nation study, observed that pathogen-avoidance dispositions are associated specifically with sexual conservatism rather than with </w:t>
      </w:r>
      <w:r w:rsidRPr="000E74FF">
        <w:rPr>
          <w:rFonts w:ascii="Times New Roman" w:hAnsi="Times New Roman" w:cs="Times New Roman"/>
          <w:sz w:val="24"/>
        </w:rPr>
        <w:lastRenderedPageBreak/>
        <w:t xml:space="preserve">authoritarianism broadly </w:t>
      </w:r>
      <w:r w:rsidR="00425D59">
        <w:rPr>
          <w:rFonts w:ascii="Times New Roman" w:hAnsi="Times New Roman" w:cs="Times New Roman"/>
          <w:sz w:val="24"/>
        </w:rPr>
        <w:t>–</w:t>
      </w:r>
      <w:r w:rsidRPr="000E74FF">
        <w:rPr>
          <w:rFonts w:ascii="Times New Roman" w:hAnsi="Times New Roman" w:cs="Times New Roman"/>
          <w:sz w:val="24"/>
        </w:rPr>
        <w:t xml:space="preserve"> a far narrower association than the theory predicts. Despite these warnings, when COVID</w:t>
      </w:r>
      <w:r w:rsidR="00373093">
        <w:rPr>
          <w:rFonts w:ascii="Times New Roman" w:hAnsi="Times New Roman" w:cs="Times New Roman"/>
          <w:sz w:val="24"/>
        </w:rPr>
        <w:t>-</w:t>
      </w:r>
      <w:r w:rsidRPr="000E74FF">
        <w:rPr>
          <w:rFonts w:ascii="Times New Roman" w:hAnsi="Times New Roman" w:cs="Times New Roman"/>
          <w:sz w:val="24"/>
        </w:rPr>
        <w:t xml:space="preserve">19 emerged as a global pandemic in early 2020 the theoretical priors of the parasite-stress framework generated a clear prediction. Commentators warned of an impending wave of "pandemic authoritarianism," in which fear of contagion would accelerate democratic backsliding worldwide </w:t>
      </w:r>
      <w:r w:rsidR="0090791C">
        <w:rPr>
          <w:rFonts w:ascii="Times New Roman" w:hAnsi="Times New Roman" w:cs="Times New Roman"/>
          <w:sz w:val="24"/>
        </w:rPr>
        <w:fldChar w:fldCharType="begin"/>
      </w:r>
      <w:r w:rsidR="0090791C">
        <w:rPr>
          <w:rFonts w:ascii="Times New Roman" w:hAnsi="Times New Roman" w:cs="Times New Roman"/>
          <w:sz w:val="24"/>
        </w:rPr>
        <w:instrText xml:space="preserve"> ADDIN ZOTERO_ITEM CSL_CITATION {"citationID":"qUl9llGZ","properties":{"unsorted":false,"formattedCitation":"(Maerz et al., 2020; Stephen &amp; Eric C, 2020)","plainCitation":"(Maerz et al., 2020; Stephen &amp; Eric C, 2020)","noteIndex":0},"citationItems":[{"id":385,"uris":["http://zotero.org/users/19944767/items/8HF3HJH3"],"itemData":{"id":385,"type":"report","genre":"V-Dem Working Paper","publisher":"Varieties of Democracy Institute","title":"Worth the sacrifice? Illiberal and authoritarian practices during Covid-19","author":[{"family":"Maerz","given":"S.F."},{"family":"Lührmann","given":"A."},{"family":"Lachapelle","given":"J."},{"family":"Edgell","given":"A. B."}],"issued":{"date-parts":[["2020"]]}}},{"id":421,"uris":["http://zotero.org/users/19944767/items/DE5APFDF"],"itemData":{"id":421,"type":"article-journal","abstract":"ABSTRACT\n            COVID-19 has brought the world grinding to a halt. As of early August 2020, the greatest public health emergency of the century thus far has registered almost 20 million infected people and claimed over 730,000 lives across all inhabited continents, bringing public health systems to their knees, and causing shutdowns of borders and lockdowns of cities, regions, and even nations unprecedented in the modern era. Yet, as this Article demonstrates—with diverse examples drawn from across the world—there are unmistakable regressions into authoritarianism in governmental efforts to contain the virus. Despite the unprecedented nature of this challenge, there is no sound justification for systemic erosion of rights-protective democratic ideals and institutions beyond that which is strictly demanded by the exigencies of the pandemic. A Wuhan-inspired all-or-nothing approach to viral containment sets a dangerous precedent for future pandemics and disasters, with the global copycat response indicating an impending ‘pandemic’ of a different sort, that of authoritarianization. With a gratuitous toll being inflicted on democracy, civil liberties, fundamental freedoms, healthcare ethics, and human dignity, this has the potential to unleash humanitarian crises no less devastating than COVID-19 in the long run.","container-title":"Journal of Law and the Biosciences","DOI":"10.1093/jlb/lsaa064","ISSN":"2053-9711","issue":"1","language":"en","license":"http://creativecommons.org/licenses/by-nc-nd/4.0/","page":"lsaa064","source":"DOI.org (Crossref)","title":"COVID-19 emergency measures and the impending authoritarian pandemic","volume":"7","author":[{"family":"Stephen","given":"T."},{"family":"Eric C","given":"lp"}],"issued":{"date-parts":[["2020",7,25]]}}}],"schema":"https://github.com/citation-style-language/schema/raw/master/csl-citation.json"} </w:instrText>
      </w:r>
      <w:r w:rsidR="0090791C">
        <w:rPr>
          <w:rFonts w:ascii="Times New Roman" w:hAnsi="Times New Roman" w:cs="Times New Roman"/>
          <w:sz w:val="24"/>
        </w:rPr>
        <w:fldChar w:fldCharType="separate"/>
      </w:r>
      <w:r w:rsidR="0090791C">
        <w:rPr>
          <w:rFonts w:ascii="Times New Roman" w:hAnsi="Times New Roman" w:cs="Times New Roman"/>
          <w:noProof/>
          <w:sz w:val="24"/>
        </w:rPr>
        <w:t>(Maerz et al., 2020; Stephen &amp; Eric C, 2020)</w:t>
      </w:r>
      <w:r w:rsidR="0090791C">
        <w:rPr>
          <w:rFonts w:ascii="Times New Roman" w:hAnsi="Times New Roman" w:cs="Times New Roman"/>
          <w:sz w:val="24"/>
        </w:rPr>
        <w:fldChar w:fldCharType="end"/>
      </w:r>
      <w:r w:rsidRPr="000E74FF">
        <w:rPr>
          <w:rFonts w:ascii="Times New Roman" w:hAnsi="Times New Roman" w:cs="Times New Roman"/>
          <w:sz w:val="24"/>
        </w:rPr>
        <w:t xml:space="preserve">. The ingredients appeared to be in place: emergency powers were invoked across democracies, civil liberties were curtailed, and executive discretion expanded with minimal legislative oversight </w:t>
      </w:r>
      <w:r w:rsidR="006251FE">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{"citationID":"3TyU8fAJ","properties":{"unsorted":false,"formattedCitation":"(Edgell et al., 2021)","plainCitation":"(Edgell et al., 2021)","noteIndex":0},"citationItems":[{"id":382,"uris":["http://zotero.org/users/19944767/items/F3QISMP2"],"itemData":{"id":382,"type":"report","genre":"Policy Brief","publisher":"V-Dem Institute, University of Gothenburg","title":"An update on pandemic backsliding: Democracy four months after the beginning of the Covid-19 pandemic","URL":"https://www.v-dem.net/media/publications/v-dem_policybrief-24_update-pandemic-backsliding_200702.pdf","author":[{"family":"Edgell","given":"A. B."},{"family":"Grahn","given":"S."},{"family":"Lachapelle","given":"J."},{"family":"Lührmann","given":"A."},{"family":"Maerz","given":"S. F."}],"issued":{"date-parts":[["2021"]]}}}],"schema":"https://github.com/citation-style-language/schema/raw/master/csl-citation.json"}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(Edgell et al., 2021)</w:t>
      </w:r>
      <w:r w:rsidR="006251FE">
        <w:rPr>
          <w:rFonts w:ascii="Times New Roman" w:hAnsi="Times New Roman" w:cs="Times New Roman"/>
          <w:sz w:val="24"/>
        </w:rPr>
        <w:fldChar w:fldCharType="end"/>
      </w:r>
      <w:r w:rsidRPr="000E74FF">
        <w:rPr>
          <w:rFonts w:ascii="Times New Roman" w:hAnsi="Times New Roman" w:cs="Times New Roman"/>
          <w:sz w:val="24"/>
        </w:rPr>
        <w:t xml:space="preserve">. Freedom House reported that democracy had declined for the fifteenth consecutive year, with pandemic-related restrictions compounding existing authoritarian pressures </w:t>
      </w:r>
      <w:r w:rsidR="006251FE">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{"citationID":"XYyjGCnY","properties":{"unsorted":false,"formattedCitation":"(Repucci &amp; Slipowitz, 2021)","plainCitation":"(Repucci &amp; Slipowitz, 2021)","noteIndex":0},"citationItems":[{"id":387,"uris":["http://zotero.org/users/19944767/items/CH7XY98X"],"itemData":{"id":387,"type":"report","genre":"Report","publisher":"Freedom House","title":"Freedom in the world 2021: Democracy under siege","URL":"https://freedomhouse.org/report/freedom-world/2021/democracy-under-siege","author":[{"family":"Repucci","given":"S."},{"family":"Slipowitz","given":"A."}],"issued":{"date-parts":[["2021"]]}}}],"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(Repucci &amp; Slipowitz, 2021)</w:t>
      </w:r>
      <w:r w:rsidR="006251FE">
        <w:rPr>
          <w:rFonts w:ascii="Times New Roman" w:hAnsi="Times New Roman" w:cs="Times New Roman"/>
          <w:sz w:val="24"/>
        </w:rPr>
        <w:fldChar w:fldCharType="end"/>
      </w:r>
      <w:r w:rsidR="006251FE">
        <w:rPr>
          <w:rFonts w:ascii="Times New Roman" w:hAnsi="Times New Roman" w:cs="Times New Roman"/>
          <w:sz w:val="24"/>
        </w:rPr>
        <w:t>.</w:t>
      </w:r>
    </w:p>
    <w:p w14:paraId="5BF8875E" w14:textId="1AB1DE20"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000E74FF" w:rsidRPr="000E74FF">
        <w:rPr>
          <w:rFonts w:ascii="Times New Roman" w:hAnsi="Times New Roman" w:cs="Times New Roman"/>
          <w:sz w:val="24"/>
        </w:rPr>
        <w:t xml:space="preserve">We argue that this rapid translation from evolutionary theory to pandemic-era predictions commits a specific and underappreciated error, which we term the Temporal Fallacy. The parasite-stress framework, and the broader Behavioral Immune System literature on which it rests, articulates micro-level, short-horizon psychological mechanisms </w:t>
      </w:r>
      <w:r w:rsidR="00425D59">
        <w:rPr>
          <w:rFonts w:ascii="Times New Roman" w:hAnsi="Times New Roman" w:cs="Times New Roman"/>
          <w:sz w:val="24"/>
        </w:rPr>
        <w:t>–</w:t>
      </w:r>
      <w:r w:rsidR="000E74FF" w:rsidRPr="000E74FF">
        <w:rPr>
          <w:rFonts w:ascii="Times New Roman" w:hAnsi="Times New Roman" w:cs="Times New Roman"/>
          <w:sz w:val="24"/>
        </w:rPr>
        <w:t xml:space="preserve"> disgust, avoidance, and in-group preference </w:t>
      </w:r>
      <w:r w:rsidR="00425D59">
        <w:rPr>
          <w:rFonts w:ascii="Times New Roman" w:hAnsi="Times New Roman" w:cs="Times New Roman"/>
          <w:sz w:val="24"/>
        </w:rPr>
        <w:t>–</w:t>
      </w:r>
      <w:r w:rsidR="000E74FF" w:rsidRPr="000E74FF">
        <w:rPr>
          <w:rFonts w:ascii="Times New Roman" w:hAnsi="Times New Roman" w:cs="Times New Roman"/>
          <w:sz w:val="24"/>
        </w:rPr>
        <w:t xml:space="preserve"> calibrated over evolutionary timescales and operative on individual cognition. To project these acute psychological reactions directly onto the macro-level institutional trajectories of nation-states is to </w:t>
      </w:r>
      <w:r w:rsidR="000E74FF" w:rsidRPr="000E74FF">
        <w:rPr>
          <w:rFonts w:ascii="Times New Roman" w:hAnsi="Times New Roman" w:cs="Times New Roman"/>
          <w:sz w:val="24"/>
        </w:rPr>
        <w:lastRenderedPageBreak/>
        <w:t xml:space="preserve">compound the well-known ecological fallacy </w:t>
      </w:r>
      <w:r w:rsidR="006251FE">
        <w:rPr>
          <w:rFonts w:ascii="Times New Roman" w:hAnsi="Times New Roman" w:cs="Times New Roman"/>
          <w:sz w:val="24"/>
        </w:rPr>
        <w:fldChar w:fldCharType="begin"/>
      </w:r>
      <w:r w:rsidR="00116CF0">
        <w:rPr>
          <w:rFonts w:ascii="Times New Roman" w:hAnsi="Times New Roman" w:cs="Times New Roman"/>
          <w:sz w:val="24"/>
        </w:rPr>
        <w:instrText xml:space="preserve"> ADDIN ZOTERO_ITEM CSL_CITATION {"citationID":"AeQmdmPR","properties":{"unsorted":false,"formattedCitation":"(Pollet et al., 2014)","plainCitation":"(Pollet et al., 2014)","noteIndex":0},"citationItems":[{"id":374,"uris":["http://zotero.org/users/19944767/items/WZFVEI5Y"],"itemData":{"id":374,"type":"article-journal","container-title":"Human Nature","DOI":"10.1007/s12110-014-9206-3","ISSN":"1045-6767, 1936-4776","issue":"3","journalAbbreviation":"Hum Nat","language":"en","page":"410-429","source":"DOI.org (Crossref)","title":"What can cross-cultural correlations teach us about human nature?","volume":"25","author":[{"family":"Pollet","given":"Thomas V."},{"family":"Tybur","given":"Joshua M."},{"family":"Frankenhuis","given":"Willem E."},{"family":"Rickard","given":"Ian J."}],"issued":{"date-parts":[["2014",9]]}}}],"schema":"https://github.com/citation-style-language/schema/raw/master/csl-citation.json"}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(Pollet et al., 2014)</w:t>
      </w:r>
      <w:r w:rsidR="006251FE">
        <w:rPr>
          <w:rFonts w:ascii="Times New Roman" w:hAnsi="Times New Roman" w:cs="Times New Roman"/>
          <w:sz w:val="24"/>
        </w:rPr>
        <w:fldChar w:fldCharType="end"/>
      </w:r>
      <w:r w:rsidR="000E74FF" w:rsidRPr="000E74FF">
        <w:rPr>
          <w:rFonts w:ascii="Times New Roman" w:hAnsi="Times New Roman" w:cs="Times New Roman"/>
          <w:sz w:val="24"/>
        </w:rPr>
        <w:t xml:space="preserve"> with a temporal one: the conflation of fast, individual-level psychological dynamics with slow, structural processes that govern national institutions. National-scale outcomes such as social polarization are not aggregate snapshots of reflexive disgust responses; they are the product of decades of historical path dependence, electoral realignment, and media-system evolution. Affective polarization </w:t>
      </w:r>
      <w:r w:rsidR="00425D59">
        <w:rPr>
          <w:rFonts w:ascii="Times New Roman" w:hAnsi="Times New Roman" w:cs="Times New Roman"/>
          <w:sz w:val="24"/>
        </w:rPr>
        <w:t>–</w:t>
      </w:r>
      <w:r w:rsidR="000E74FF" w:rsidRPr="000E74FF">
        <w:rPr>
          <w:rFonts w:ascii="Times New Roman" w:hAnsi="Times New Roman" w:cs="Times New Roman"/>
          <w:sz w:val="24"/>
        </w:rPr>
        <w:t xml:space="preserve"> the tendency to view political opponents with hostility independent of policy disagreement </w:t>
      </w:r>
      <w:r w:rsidR="00425D59">
        <w:rPr>
          <w:rFonts w:ascii="Times New Roman" w:hAnsi="Times New Roman" w:cs="Times New Roman"/>
          <w:sz w:val="24"/>
        </w:rPr>
        <w:t>–</w:t>
      </w:r>
      <w:r w:rsidR="000E74FF" w:rsidRPr="000E74FF">
        <w:rPr>
          <w:rFonts w:ascii="Times New Roman" w:hAnsi="Times New Roman" w:cs="Times New Roman"/>
          <w:sz w:val="24"/>
        </w:rPr>
        <w:t xml:space="preserve"> had been rising across Western democracies since the 1980s </w:t>
      </w:r>
      <w:r w:rsidR="006251FE">
        <w:rPr>
          <w:rFonts w:ascii="Times New Roman" w:hAnsi="Times New Roman" w:cs="Times New Roman"/>
          <w:sz w:val="24"/>
        </w:rPr>
        <w:fldChar w:fldCharType="begin"/>
      </w:r>
      <w:r w:rsidR="00116CF0">
        <w:rPr>
          <w:rFonts w:ascii="Times New Roman" w:hAnsi="Times New Roman" w:cs="Times New Roman"/>
          <w:sz w:val="24"/>
        </w:rPr>
        <w:instrText xml:space="preserve"> ADDIN ZOTERO_ITEM CSL_CITATION {"citationID":"hL2Idgzr","properties":{"unsorted":false,"formattedCitation":"(Iyengar et al., 2019)","plainCitation":"(Iyengar et al., 2019)","noteIndex":0},"citationItems":[{"id":377,"uris":["http://zotero.org/users/19944767/items/H4QPFCZ5"],"itemData":{"id":377,"type":"article-journal","abstract":"While previously polarization was primarily seen only in issue-based terms, a new type of division has emerged in the mass public in recent years: Ordinary Americans increasingly dislike and distrust those from the other party. Democrats and Republicans both say that the other party's members are hypocritical, selfish, and closed-minded, and they are unwilling to socialize across party lines. This phenomenon of animosity between the parties is known as affective polarization. We trace its origins to the power of partisanship as a social identity, and explain the factors that intensify partisan animus. We also explore the consequences of affective polarization, highlighting how partisan affect influences attitudes and behaviors well outside the political sphere. Finally, we discuss strategies that might mitigate partisan discord and conclude with suggestions for future work.","container-title":"Annual Review of Political Science","DOI":"10.1146/annurev-polisci-051117-073034","ISSN":"1094-2939, 1545-1577","issue":"1","journalAbbreviation":"Annu. Rev. Polit. Sci.","language":"en","page":"129-146","source":"DOI.org (Crossref)","title":"The origins and consequences of affective polarization in the united states","volume":"22","author":[{"family":"Iyengar","given":"Shanto"},{"family":"Lelkes","given":"Yphtach"},{"family":"Levendusky","given":"Matthew"},{"family":"Malhotra","given":"Neil"},{"family":"Westwood","given":"Sean J."}],"issued":{"date-parts":[["2019",5,11]]}}}],"schema":"https://github.com/citation-style-language/schema/raw/master/csl-citation.json"}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(Iyengar et al., 2019)</w:t>
      </w:r>
      <w:r w:rsidR="006251FE">
        <w:rPr>
          <w:rFonts w:ascii="Times New Roman" w:hAnsi="Times New Roman" w:cs="Times New Roman"/>
          <w:sz w:val="24"/>
        </w:rPr>
        <w:fldChar w:fldCharType="end"/>
      </w:r>
      <w:r w:rsidR="000E74FF" w:rsidRPr="000E74FF">
        <w:rPr>
          <w:rFonts w:ascii="Times New Roman" w:hAnsi="Times New Roman" w:cs="Times New Roman"/>
          <w:sz w:val="24"/>
        </w:rPr>
        <w:t xml:space="preserve">, and Boxell et al. </w:t>
      </w:r>
      <w:r w:rsidR="006251FE">
        <w:rPr>
          <w:rFonts w:ascii="Times New Roman" w:hAnsi="Times New Roman" w:cs="Times New Roman"/>
          <w:sz w:val="24"/>
        </w:rPr>
        <w:fldChar w:fldCharType="begin"/>
      </w:r>
      <w:r w:rsidR="006251FE">
        <w:rPr>
          <w:rFonts w:ascii="Times New Roman" w:hAnsi="Times New Roman" w:cs="Times New Roman"/>
          <w:sz w:val="24"/>
        </w:rPr>
        <w:instrText xml:space="preserve"> ADDIN ZOTERO_ITEM CSL_CITATION {"citationID":"4O3YVXOl","properties":{"unsorted":false,"formattedCitation":"(Boxell et al., 2024)","plainCitation":"(Boxell et al., 2024)","noteIndex":0},"citationItems":[{"id":365,"uris":["http://zotero.org/users/19944767/items/QSUTJYMY"],"itemData":{"id":365,"type":"article-journal","abstract":"Abstract\n            We measure trends in affective polarization in twelve OECD countries over the past four decades. According to our baseline estimates, the United States experienced the largest increase in polarization over this period. Five countries experienced a smaller increase in polarization. Six countries experienced a decrease in polarization. We relate trends in polarization to trends in potential explanatory factors.","container-title":"Review of Economics and Statistics","DOI":"10.1162/rest_a_01160","ISSN":"0034-6535, 1530-9142","issue":"2","language":"en","page":"557-565","source":"DOI.org (Crossref)","title":"Cross-country trends in affective polarization","volume":"106","author":[{"family":"Boxell","given":"Levi"},{"family":"Gentzkow","given":"Matthew"},{"family":"Shapiro","given":"Jesse M."}],"issued":{"date-parts":[["2024",3,19]]}}}],"schema":"https://github.com/citation-style-language/schema/raw/master/csl-citation.json"}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(Boxell et al., 2024)</w:t>
      </w:r>
      <w:r w:rsidR="006251FE">
        <w:rPr>
          <w:rFonts w:ascii="Times New Roman" w:hAnsi="Times New Roman" w:cs="Times New Roman"/>
          <w:sz w:val="24"/>
        </w:rPr>
        <w:fldChar w:fldCharType="end"/>
      </w:r>
      <w:r w:rsidR="000E74FF" w:rsidRPr="000E74FF">
        <w:rPr>
          <w:rFonts w:ascii="Times New Roman" w:hAnsi="Times New Roman" w:cs="Times New Roman"/>
          <w:sz w:val="24"/>
        </w:rPr>
        <w:t xml:space="preserve"> documented its cross-country spread across twelve OECD nations over decades, establishing it as a structural phenomenon long predating SARS-CoV-2. Among OECD members </w:t>
      </w:r>
      <w:r w:rsidR="00425D59">
        <w:rPr>
          <w:rFonts w:ascii="Times New Roman" w:hAnsi="Times New Roman" w:cs="Times New Roman"/>
          <w:sz w:val="24"/>
        </w:rPr>
        <w:t>–</w:t>
      </w:r>
      <w:r w:rsidR="000E74FF" w:rsidRPr="000E74FF">
        <w:rPr>
          <w:rFonts w:ascii="Times New Roman" w:hAnsi="Times New Roman" w:cs="Times New Roman"/>
          <w:sz w:val="24"/>
        </w:rPr>
        <w:t xml:space="preserve"> where institutional safeguards are robust and democratic norms are deeply embedded </w:t>
      </w:r>
      <w:r w:rsidR="00425D59">
        <w:rPr>
          <w:rFonts w:ascii="Times New Roman" w:hAnsi="Times New Roman" w:cs="Times New Roman"/>
          <w:sz w:val="24"/>
        </w:rPr>
        <w:t>–</w:t>
      </w:r>
      <w:r w:rsidR="000E74FF" w:rsidRPr="000E74FF">
        <w:rPr>
          <w:rFonts w:ascii="Times New Roman" w:hAnsi="Times New Roman" w:cs="Times New Roman"/>
          <w:sz w:val="24"/>
        </w:rPr>
        <w:t xml:space="preserve"> democratic backsliding was already a subject of scholarly concern before COVID-19, driven by populist mobilization, affective polarization, and declining trust in institutions </w:t>
      </w:r>
      <w:r w:rsidR="00637B47">
        <w:rPr>
          <w:rFonts w:ascii="Times New Roman" w:hAnsi="Times New Roman" w:cs="Times New Roman"/>
          <w:sz w:val="24"/>
        </w:rPr>
        <w:fldChar w:fldCharType="begin"/>
      </w:r>
      <w:r w:rsidR="00637B47">
        <w:rPr>
          <w:rFonts w:ascii="Times New Roman" w:hAnsi="Times New Roman" w:cs="Times New Roman"/>
          <w:sz w:val="24"/>
        </w:rPr>
        <w:instrText xml:space="preserve"> ADDIN ZOTERO_ITEM CSL_CITATION {"citationID":"sqkeIh2W","properties":{"unsorted":false,"formattedCitation":"(Bermeo, 2016; Levitsky &amp; Ziblatt, 2018; Norris &amp; Inglehart, 2019)","plainCitation":"(Bermeo, 2016; Levitsky &amp; Ziblatt, 2018; Norris &amp; Inglehart, 2019)","noteIndex":0},"citationItems":[{"id":420,"uris":["http://zotero.org/users/19944767/items/364D36LF"],"itemData":{"id":420,"type":"article-journal","abstract":"Democratic backsliding (meaning the state-led debilitation or elimination of the political institutions sustaining an existing democracy) has changed dramatically since the Cold War. Open-ended coups d’état, executive coups, and blatant election-day vote fraud are declining while promissory coups, executive aggrandizement and strategic electoral manipulation and harassment are increasing. Contemporary forms of backsliding are especially vexing because they are legitimated by the very institutions democracy promoters prioritize but, overall, backsliding today reflects democracy’s advance and not its retreat. The current mix of backsliding is more easily reversible than the past mix and successor dictatorships are shorter-lived and less authoritarian.","container-title":"Journal of Democracy","DOI":"10.1353/jod.2016.0012","ISSN":"1086-3214","issue":"1","journalAbbreviation":"jod","language":"en","page":"5-19","source":"DOI.org (Crossref)","title":"On Democratic Backsliding","volume":"27","author":[{"family":"Bermeo","given":"Nancy"}],"issued":{"date-parts":[["2016",1]]}}},{"id":384,"uris":["http://zotero.org/users/19944767/items/U7JGWM7Q"],"itemData":{"id":384,"type":"book","edition":"1st ed.","publisher":"Crown","title":"How democracies die","author":[{"family":"Levitsky","given":"S."},{"family":"Ziblatt","given":"D."}],"issued":{"date-parts":[["2018"]]}}},{"id":388,"uris":["http://zotero.org/users/19944767/items/E222EM2I"],"itemData":{"id":388,"type":"book","publisher":"Cambridge University Press","title":"Cultural backlash: Trump, Brexit, and authoritarian populism","author":[{"family":"Norris","given":"P."},{"family":"Inglehart","given":"R."}],"issued":{"date-parts":[["2019"]]}}}],"schema":"https://github.com/citation-style-language/schema/raw/master/csl-citation.json"} </w:instrText>
      </w:r>
      <w:r w:rsidR="00637B47">
        <w:rPr>
          <w:rFonts w:ascii="Times New Roman" w:hAnsi="Times New Roman" w:cs="Times New Roman"/>
          <w:sz w:val="24"/>
        </w:rPr>
        <w:fldChar w:fldCharType="separate"/>
      </w:r>
      <w:r w:rsidR="00637B47">
        <w:rPr>
          <w:rFonts w:ascii="Times New Roman" w:hAnsi="Times New Roman" w:cs="Times New Roman"/>
          <w:noProof/>
          <w:sz w:val="24"/>
        </w:rPr>
        <w:t>(Bermeo, 2016; Levitsky &amp; Ziblatt, 2018; Norris &amp; Inglehart, 2019)</w:t>
      </w:r>
      <w:r w:rsidR="00637B47">
        <w:rPr>
          <w:rFonts w:ascii="Times New Roman" w:hAnsi="Times New Roman" w:cs="Times New Roman"/>
          <w:sz w:val="24"/>
        </w:rPr>
        <w:fldChar w:fldCharType="end"/>
      </w:r>
      <w:r w:rsidR="000E74FF" w:rsidRPr="000E74FF">
        <w:rPr>
          <w:rFonts w:ascii="Times New Roman" w:hAnsi="Times New Roman" w:cs="Times New Roman"/>
          <w:sz w:val="24"/>
        </w:rPr>
        <w:t>. Any credible test of pandemic-shock associations with such outcomes must therefore confront the deep structural inertia that defines them, rather than assume that acute psychological mechanisms aggregate frictionlessly into institutional change.</w:t>
      </w:r>
    </w:p>
    <w:p w14:paraId="5F706000" w14:textId="5C6DB5E8"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000E74FF" w:rsidRPr="000E74FF">
        <w:rPr>
          <w:rFonts w:ascii="Times New Roman" w:hAnsi="Times New Roman" w:cs="Times New Roman"/>
          <w:sz w:val="24"/>
        </w:rPr>
        <w:t xml:space="preserve">Compounding the Temporal Fallacy is a second, methodological liability that has </w:t>
      </w:r>
      <w:r w:rsidR="000E74FF" w:rsidRPr="000E74FF">
        <w:rPr>
          <w:rFonts w:ascii="Times New Roman" w:hAnsi="Times New Roman" w:cs="Times New Roman"/>
          <w:sz w:val="24"/>
        </w:rPr>
        <w:lastRenderedPageBreak/>
        <w:t xml:space="preserve">dogged cross-national parasite-stress work since its inception: spatial non-independence, classically labeled Galton's problem </w:t>
      </w:r>
      <w:r w:rsidR="006251FE">
        <w:rPr>
          <w:rFonts w:ascii="Times New Roman" w:hAnsi="Times New Roman" w:cs="Times New Roman"/>
          <w:sz w:val="24"/>
        </w:rPr>
        <w:fldChar w:fldCharType="begin"/>
      </w:r>
      <w:r w:rsidR="006251FE">
        <w:rPr>
          <w:rFonts w:ascii="Times New Roman" w:hAnsi="Times New Roman" w:cs="Times New Roman"/>
          <w:sz w:val="24"/>
        </w:rPr>
        <w:instrText xml:space="preserve"> ADDIN ZOTERO_ITEM CSL_CITATION {"citationID":"MG6Wv91l","properties":{"unsorted":false,"formattedCitation":"(Currie &amp; Mace, 2012)","plainCitation":"(Currie &amp; Mace, 2012)","noteIndex":0},"citationItems":[{"id":368,"uris":["http://zotero.org/users/19944767/items/3CFAKNS9"],"itemData":{"id":368,"type":"article-journal","abstract":"Abstract\n            Re-analysis of the data provided in the target article reveals a lack of evidence for a strong, universal relationship between parasite stress and the variables relating to sociality. Furthermore, even if associations between these variables do exist, the analyses presented here do not provide evidence for Fincher &amp; Thornhill's (F&amp;T's) proposed causal mechanism.","container-title":"Behavioral and Brain Sciences","DOI":"10.1017/S0140525X11000963","ISSN":"0140-525X, 1469-1825","issue":"2","journalAbbreviation":"Behav Brain Sci","language":"en","license":"https://www.cambridge.org/core/terms","page":"83-85","source":"DOI.org (Crossref)","title":"Analyses do not support the parasite-stress theory of human sociality","volume":"35","author":[{"family":"Currie","given":"Thomas E."},{"family":"Mace","given":"Ruth"}],"issued":{"date-parts":[["2012",4]]}}}],"schema":"https://github.com/citation-style-language/schema/raw/master/csl-citation.json"}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(Currie &amp; Mace, 2012)</w:t>
      </w:r>
      <w:r w:rsidR="006251FE">
        <w:rPr>
          <w:rFonts w:ascii="Times New Roman" w:hAnsi="Times New Roman" w:cs="Times New Roman"/>
          <w:sz w:val="24"/>
        </w:rPr>
        <w:fldChar w:fldCharType="end"/>
      </w:r>
      <w:r w:rsidR="000E74FF" w:rsidRPr="000E74FF">
        <w:rPr>
          <w:rFonts w:ascii="Times New Roman" w:hAnsi="Times New Roman" w:cs="Times New Roman"/>
          <w:sz w:val="24"/>
        </w:rPr>
        <w:t xml:space="preserve">. Countries are not exchangeable units. They share linguistic, religious, colonial, and economic histories; they cluster geographically; and they diffuse policies and norms across borders. Standard pooled or two-way fixed-effects panel specifications </w:t>
      </w:r>
      <w:r w:rsidR="00425D59">
        <w:rPr>
          <w:rFonts w:ascii="Times New Roman" w:hAnsi="Times New Roman" w:cs="Times New Roman"/>
          <w:sz w:val="24"/>
        </w:rPr>
        <w:t>–</w:t>
      </w:r>
      <w:r w:rsidR="000E74FF" w:rsidRPr="000E74FF">
        <w:rPr>
          <w:rFonts w:ascii="Times New Roman" w:hAnsi="Times New Roman" w:cs="Times New Roman"/>
          <w:sz w:val="24"/>
        </w:rPr>
        <w:t xml:space="preserve"> and certainly the country-level cross-sections that originally motivated parasite-stress claims </w:t>
      </w:r>
      <w:r w:rsidR="00425D59">
        <w:rPr>
          <w:rFonts w:ascii="Times New Roman" w:hAnsi="Times New Roman" w:cs="Times New Roman"/>
          <w:sz w:val="24"/>
        </w:rPr>
        <w:t>–</w:t>
      </w:r>
      <w:r w:rsidR="000E74FF" w:rsidRPr="000E74FF">
        <w:rPr>
          <w:rFonts w:ascii="Times New Roman" w:hAnsi="Times New Roman" w:cs="Times New Roman"/>
          <w:sz w:val="24"/>
        </w:rPr>
        <w:t xml:space="preserve"> implicitly treat residuals as independent across countries, inflating apparent precision and licensing spurious cross-national associations. Much of the COVID-era literature has reproduced this failure: studies frequently treat the virus and the policy response as a single exogenous shock, examining composite indices of pandemic burden without disentangling mortality from mitigation </w:t>
      </w:r>
      <w:r w:rsidR="006251FE">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{"citationID":"e1Dhe9Xq","properties":{"unsorted":false,"formattedCitation":"(L\\uc0\\u252{}hrmann &amp; Lindberg, 2019; Maerz et al., 2020)","plainCitation":"(Lührmann &amp; Lindberg, 2019; Maerz et al., 2020)","noteIndex":0},"citationItems":[{"id":375,"uris":["http://zotero.org/users/19944767/items/LD88A5PX"],"itemData":{"id":375,"type":"article-journal","container-title":"Democratization","DOI":"10.1080/13510347.2019.1582029","ISSN":"1351-0347, 1743-890X","issue":"7","journalAbbreviation":"Democratization","language":"en","page":"1095-1113","source":"DOI.org (Crossref)","title":"A third wave of autocratization is here: what is new about it?","title-short":"A third wave of autocratization is here","volume":"26","author":[{"family":"Lührmann","given":"Anna"},{"family":"Lindberg","given":"Staffan I."}],"issued":{"date-parts":[["2019",10,3]]}}},{"id":385,"uris":["http://zotero.org/users/19944767/items/8HF3HJH3"],"itemData":{"id":385,"type":"report","genre":"V-Dem Working Paper","publisher":"Varieties of Democracy Institute","title":"Worth the sacrifice? Illiberal and authoritarian practices during Covid-19","author":[{"family":"Maerz","given":"S.F."},{"family":"Lührmann","given":"A."},{"family":"Lachapelle","given":"J."},{"family":"Edgell","given":"A. B."}],"issued":{"date-parts":[["2020"]]}}}],"schema":"https://github.com/citation-style-language/schema/raw/master/csl-citation.json"} </w:instrText>
      </w:r>
      <w:r w:rsidR="006251FE">
        <w:rPr>
          <w:rFonts w:ascii="Times New Roman" w:hAnsi="Times New Roman" w:cs="Times New Roman"/>
          <w:sz w:val="24"/>
        </w:rPr>
        <w:fldChar w:fldCharType="separate"/>
      </w:r>
      <w:r w:rsidR="006251FE" w:rsidRPr="006251FE">
        <w:rPr>
          <w:rFonts w:ascii="Times New Roman" w:hAnsi="Times New Roman" w:cs="Times New Roman"/>
          <w:kern w:val="0"/>
          <w:sz w:val="24"/>
        </w:rPr>
        <w:t>(Lührmann &amp; Lindberg, 2019; Maerz et al., 2020)</w:t>
      </w:r>
      <w:r w:rsidR="006251FE">
        <w:rPr>
          <w:rFonts w:ascii="Times New Roman" w:hAnsi="Times New Roman" w:cs="Times New Roman"/>
          <w:sz w:val="24"/>
        </w:rPr>
        <w:fldChar w:fldCharType="end"/>
      </w:r>
      <w:r w:rsidR="000E74FF" w:rsidRPr="000E74FF">
        <w:rPr>
          <w:rFonts w:ascii="Times New Roman" w:hAnsi="Times New Roman" w:cs="Times New Roman"/>
          <w:sz w:val="24"/>
        </w:rPr>
        <w:t xml:space="preserve">; those that do differentiate tend to rely on individual-level survey data on attitudes toward democracy, trust in government, and compliance behavior </w:t>
      </w:r>
      <w:r w:rsidR="006251FE">
        <w:rPr>
          <w:rFonts w:ascii="Times New Roman" w:hAnsi="Times New Roman" w:cs="Times New Roman"/>
          <w:sz w:val="24"/>
        </w:rPr>
        <w:fldChar w:fldCharType="begin"/>
      </w:r>
      <w:r w:rsidR="0090791C">
        <w:rPr>
          <w:rFonts w:ascii="Times New Roman" w:hAnsi="Times New Roman" w:cs="Times New Roman"/>
          <w:sz w:val="24"/>
        </w:rPr>
        <w:instrText xml:space="preserve"> ADDIN ZOTERO_ITEM CSL_CITATION {"citationID":"F94C463Z","properties":{"unsorted":false,"formattedCitation":"(Van Bavel et al., 2020)","plainCitation":"(Van Bavel et al., 2020)","noteIndex":0},"citationItems":[{"id":370,"uris":["http://zotero.org/users/19944767/items/B68CXD2X"],"itemData":{"id":370,"type":"article-journal","container-title":"Nature Human Behaviour","DOI":"10.1038/s41562-020-0884-z","ISSN":"2397-3374","issue":"5","journalAbbreviation":"Nat Hum Behav","language":"en","page":"460-471","source":"DOI.org (Crossref)","title":"Using social and behavioural science to support COVID-19 pandemic response","volume":"4","author":[{"family":"Van Bavel","given":"J. J."},{"family":"Baicker","given":"Katherine"},{"family":"Boggio","given":"Paulo S."},{"family":"Capraro","given":"Valerio"},{"family":"Cichocka","given":"Aleksandra"},{"family":"Cikara","given":"Mina"},{"family":"Crockett","given":"Molly J."},{"family":"Crum","given":"Alia J."},{"family":"Douglas","given":"Karen M."},{"family":"Druckman","given":"James N."},{"family":"Drury","given":"John"},{"family":"Dube","given":"Oeindrila"},{"family":"Ellemers","given":"Naomi"},{"family":"Finkel","given":"Eli J."},{"family":"Fowler","given":"James H."},{"family":"Gelfand","given":"Michele"},{"family":"Han","given":"Shihui"},{"family":"Haslam","given":"S. Alexander"},{"family":"Jetten","given":"Jolanda"},{"family":"Kitayama","given":"Shinobu"},{"family":"Mobbs","given":"Dean"},{"family":"Napper","given":"Lucy E."},{"family":"Packer","given":"Dominic J."},{"family":"Pennycook","given":"Gordon"},{"family":"Peters","given":"Ellen"},{"family":"Petty","given":"Richard E."},{"family":"Rand","given":"David G."},{"family":"Reicher","given":"Stephen D."},{"family":"Schnall","given":"Simone"},{"family":"Shariff","given":"Azim"},{"family":"Skitka","given":"Linda J."},{"family":"Smith","given":"Sandra Susan"},{"family":"Sunstein","given":"Cass R."},{"family":"Tabri","given":"Nassim"},{"family":"Tucker","given":"Joshua A."},{"family":"Linden","given":"Sander Van Der"},{"family":"Lange","given":"Paul Van"},{"family":"Weeden","given":"Kim A."},{"family":"Wohl","given":"Michael J. A."},{"family":"Zaki","given":"Jamil"},{"family":"Zion","given":"Sean R."},{"family":"Willer","given":"Robb"}],"issued":{"date-parts":[["2020",4,30]]}}}],"schema":"https://github.com/citation-style-language/schema/raw/master/csl-citation.json"} </w:instrText>
      </w:r>
      <w:r w:rsidR="006251FE">
        <w:rPr>
          <w:rFonts w:ascii="Times New Roman" w:hAnsi="Times New Roman" w:cs="Times New Roman"/>
          <w:sz w:val="24"/>
        </w:rPr>
        <w:fldChar w:fldCharType="separate"/>
      </w:r>
      <w:r w:rsidR="0090791C">
        <w:rPr>
          <w:rFonts w:ascii="Times New Roman" w:hAnsi="Times New Roman" w:cs="Times New Roman"/>
          <w:noProof/>
          <w:sz w:val="24"/>
        </w:rPr>
        <w:t>(Van Bavel et al., 2020)</w:t>
      </w:r>
      <w:r w:rsidR="006251FE">
        <w:rPr>
          <w:rFonts w:ascii="Times New Roman" w:hAnsi="Times New Roman" w:cs="Times New Roman"/>
          <w:sz w:val="24"/>
        </w:rPr>
        <w:fldChar w:fldCharType="end"/>
      </w:r>
      <w:r w:rsidR="000E74FF" w:rsidRPr="000E74FF">
        <w:rPr>
          <w:rFonts w:ascii="Times New Roman" w:hAnsi="Times New Roman" w:cs="Times New Roman"/>
          <w:sz w:val="24"/>
        </w:rPr>
        <w:t>, rather than on country-level institutional outcomes measured longitudinally and adjusted for spatial dependence. A rigorous panel analysis that simultaneously separates pathogen exposure (mortality) from policy coercion (lockdown stringency), models macro-structural inertia explicitly, and accommodates spatial non-independence across countries remains, to our knowledge, absent from the literature.</w:t>
      </w:r>
    </w:p>
    <w:p w14:paraId="613CAFD5" w14:textId="3259D141"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lastRenderedPageBreak/>
        <w:tab/>
      </w:r>
      <w:r w:rsidR="000E74FF" w:rsidRPr="000E74FF">
        <w:rPr>
          <w:rFonts w:ascii="Times New Roman" w:hAnsi="Times New Roman" w:cs="Times New Roman"/>
          <w:sz w:val="24"/>
        </w:rPr>
        <w:t>This paper addresses that gap. Drawing on panel data from 3</w:t>
      </w:r>
      <w:r w:rsidR="00066FCC">
        <w:rPr>
          <w:rFonts w:ascii="Times New Roman" w:hAnsi="Times New Roman" w:cs="Times New Roman"/>
          <w:sz w:val="24"/>
        </w:rPr>
        <w:t>7</w:t>
      </w:r>
      <w:r w:rsidR="000E74FF" w:rsidRPr="000E74FF">
        <w:rPr>
          <w:rFonts w:ascii="Times New Roman" w:hAnsi="Times New Roman" w:cs="Times New Roman"/>
          <w:sz w:val="24"/>
        </w:rPr>
        <w:t xml:space="preserve"> OECD countries over the period 2019–2024, we integrate three principal data resources: the Varieties of Democracy Project </w:t>
      </w:r>
      <w:r w:rsidR="006251FE">
        <w:rPr>
          <w:rFonts w:ascii="Times New Roman" w:hAnsi="Times New Roman" w:cs="Times New Roman"/>
          <w:sz w:val="24"/>
        </w:rPr>
        <w:fldChar w:fldCharType="begin"/>
      </w:r>
      <w:r w:rsidR="006251FE">
        <w:rPr>
          <w:rFonts w:ascii="Times New Roman" w:hAnsi="Times New Roman" w:cs="Times New Roman"/>
          <w:sz w:val="24"/>
        </w:rPr>
        <w:instrText xml:space="preserve"> ADDIN ZOTERO_ITEM CSL_CITATION {"citationID":"Usua4nVH","properties":{"unsorted":false,"formattedCitation":"(Coppedge et al., 2025)","plainCitation":"(Coppedge et al., 2025)","noteIndex":0},"citationItems":[{"id":367,"uris":["http://zotero.org/users/19944767/items/5YCMYZVK"],"itemData":{"id":367,"type":"dataset","publisher":"Varieties of Democracy (V-Dem) Institute","title":"V-Dem [country–year/country–date] dataset","URL":"https://www.v-dem.net/data/the-v-dem-dataset/country-year-v-dem-fullothers-v15/","author":[{"family":"Coppedge","given":"M."},{"family":"Gerring","given":"J."},{"family":"Knutsen","given":"C.H."},{"family":"Lindberg","given":"S.I."},{"family":"Teorell","given":"J."},{"family":"Altman","given":"D."},{"family":"Angiolillo","given":"F."},{"family":"Bernhard","given":"M."},{"family":"Cornell","given":"A."},{"family":"Fish","given":"M.S."},{"family":"Fox","given":"L."},{"family":"Gastaldi","given":"L."},{"family":"Gjerløw","given":"H."},{"family":"Glynn","given":"A."},{"family":"God","given":"A.G."},{"family":"Grahn","given":"S."},{"family":"Hicken","given":"A."},{"family":"Kinzelbach","given":"K."},{"family":"Marquardt","given":"K.L."},{"family":"McMann","given":"K."},{"family":"Mechkova","given":"V."},{"family":"Neundorf","given":"A."},{"family":"Paxton","given":"P."},{"family":"Pemstein","given":"D."},{"family":"Römer,","given":"J.","non-dropping-particle":"von"},{"family":"Seim","given":"B."},{"family":"Sigman","given":"R."},{"family":"Skaaning","given":"S.-E."},{"family":"Staton","given":"J."},{"family":"Sundström","given":"A."},{"family":"Tannenberg","given":"M."},{"family":"Tzelgov","given":"E."},{"family":"Wang","given":"Y."},{"family":"Wiebrecht","given":"F."},{"family":"Wig","given":"T."},{"family":"Ziblatt","given":"D."}],"issued":{"date-parts":[["2025"]]}}}],"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(Coppedge et al., 2025)</w:t>
      </w:r>
      <w:r w:rsidR="006251FE">
        <w:rPr>
          <w:rFonts w:ascii="Times New Roman" w:hAnsi="Times New Roman" w:cs="Times New Roman"/>
          <w:sz w:val="24"/>
        </w:rPr>
        <w:fldChar w:fldCharType="end"/>
      </w:r>
      <w:r w:rsidR="000E74FF" w:rsidRPr="000E74FF">
        <w:rPr>
          <w:rFonts w:ascii="Times New Roman" w:hAnsi="Times New Roman" w:cs="Times New Roman"/>
          <w:sz w:val="24"/>
        </w:rPr>
        <w:t xml:space="preserve"> for democratic-governance and social-polarization indicators; the EM-DAT International Disaster Database </w:t>
      </w:r>
      <w:r w:rsidR="006251FE">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{"citationID":"2Dv6vfpx","properties":{"unsorted":false,"formattedCitation":"(Guha-Sapir et al., 2025)","plainCitation":"(Guha-Sapir et al., 2025)","noteIndex":0},"citationItems":[{"id":383,"uris":["http://zotero.org/users/19944767/items/D7W9G6VX"],"itemData":{"id":383,"type":"dataset","publisher":"Université Catholique de Louvain","title":"EM-DAT: The CRED/OFDA International Disaster Database","URL":"https://www.emdat.be","author":[{"family":"Guha-Sapir","given":"D."},{"family":"Below","given":"R."},{"family":"Hoyois","given":"P."}],"issued":{"date-parts":[["2025"]]}}}],"schema":"https://github.com/citation-style-language/schema/raw/master/csl-citation.json"} </w:instrText>
      </w:r>
      <w:r w:rsidR="006251FE">
        <w:rPr>
          <w:rFonts w:ascii="Times New Roman" w:hAnsi="Times New Roman" w:cs="Times New Roman"/>
          <w:sz w:val="24"/>
        </w:rPr>
        <w:fldChar w:fldCharType="separate"/>
      </w:r>
      <w:r w:rsidR="006251FE">
        <w:rPr>
          <w:rFonts w:ascii="Times New Roman" w:hAnsi="Times New Roman" w:cs="Times New Roman"/>
          <w:noProof/>
          <w:sz w:val="24"/>
        </w:rPr>
        <w:t>(Guha-Sapir et al., 2025)</w:t>
      </w:r>
      <w:r w:rsidR="006251FE">
        <w:rPr>
          <w:rFonts w:ascii="Times New Roman" w:hAnsi="Times New Roman" w:cs="Times New Roman"/>
          <w:sz w:val="24"/>
        </w:rPr>
        <w:fldChar w:fldCharType="end"/>
      </w:r>
      <w:r w:rsidR="000E74FF" w:rsidRPr="000E74FF">
        <w:rPr>
          <w:rFonts w:ascii="Times New Roman" w:hAnsi="Times New Roman" w:cs="Times New Roman"/>
          <w:sz w:val="24"/>
        </w:rPr>
        <w:t xml:space="preserve"> for historical epidemic exposure; and </w:t>
      </w:r>
      <w:r w:rsidR="00373093" w:rsidRPr="00373093">
        <w:rPr>
          <w:rFonts w:ascii="Times New Roman" w:hAnsi="Times New Roman" w:cs="Times New Roman"/>
          <w:sz w:val="24"/>
        </w:rPr>
        <w:t xml:space="preserve">the Oxford COVID-19 Government Response Tracker </w:t>
      </w:r>
      <w:r w:rsidR="00373093">
        <w:rPr>
          <w:rFonts w:ascii="Times New Roman" w:hAnsi="Times New Roman" w:cs="Times New Roman"/>
          <w:sz w:val="24"/>
        </w:rPr>
        <w:fldChar w:fldCharType="begin"/>
      </w:r>
      <w:r w:rsidR="00373093">
        <w:rPr>
          <w:rFonts w:ascii="Times New Roman" w:hAnsi="Times New Roman" w:cs="Times New Roman"/>
          <w:sz w:val="24"/>
        </w:rPr>
        <w:instrText xml:space="preserve"> ADDIN ZOTERO_ITEM CSL_CITATION {"citationID":"HVCAsmGr","properties":{"unsorted":false,"formattedCitation":"(Hale et al., 2021)","plainCitation":"(Hale et al., 2021)","noteIndex":0},"citationItems":[{"id":376,"uris":["http://zotero.org/users/19944767/items/N5767BA8"],"itemData":{"id":376,"type":"article-journal","container-title":"Nature Human Behaviour","DOI":"10.1038/s41562-021-01079-8","ISSN":"2397-3374","issue":"4","journalAbbreviation":"Nat Hum Behav","language":"en","page":"529-538","source":"DOI.org (Crossref)","title":"A global panel database of pandemic policies (Oxford COVID-19 Government Response Tracker)","volume":"5","author":[{"family":"Hale","given":"Thomas"},{"family":"Angrist","given":"Noam"},{"family":"Goldszmidt","given":"Rafael"},{"family":"Kira","given":"Beatriz"},{"family":"Petherick","given":"Anna"},{"family":"Phillips","given":"Toby"},{"family":"Webster","given":"Samuel"},{"family":"Cameron-Blake","given":"Emily"},{"family":"Hallas","given":"Laura"},{"family":"Majumdar","given":"Saptarshi"},{"family":"Tatlow","given":"Helen"}],"issued":{"date-parts":[["2021",3,8]]}}}],"schema":"https://github.com/citation-style-language/schema/raw/master/csl-citation.json"} </w:instrText>
      </w:r>
      <w:r w:rsidR="00373093">
        <w:rPr>
          <w:rFonts w:ascii="Times New Roman" w:hAnsi="Times New Roman" w:cs="Times New Roman"/>
          <w:sz w:val="24"/>
        </w:rPr>
        <w:fldChar w:fldCharType="separate"/>
      </w:r>
      <w:r w:rsidR="00373093">
        <w:rPr>
          <w:rFonts w:ascii="Times New Roman" w:hAnsi="Times New Roman" w:cs="Times New Roman"/>
          <w:noProof/>
          <w:sz w:val="24"/>
        </w:rPr>
        <w:t>(Hale et al., 2021)</w:t>
      </w:r>
      <w:r w:rsidR="00373093">
        <w:rPr>
          <w:rFonts w:ascii="Times New Roman" w:hAnsi="Times New Roman" w:cs="Times New Roman"/>
          <w:sz w:val="24"/>
        </w:rPr>
        <w:fldChar w:fldCharType="end"/>
      </w:r>
      <w:r w:rsidR="00373093" w:rsidRPr="00373093">
        <w:rPr>
          <w:rFonts w:ascii="Times New Roman" w:hAnsi="Times New Roman" w:cs="Times New Roman"/>
          <w:sz w:val="24"/>
        </w:rPr>
        <w:t xml:space="preserve"> for lockdown-stringency measures, and Our World in Data </w:t>
      </w:r>
      <w:r w:rsidR="00373093">
        <w:rPr>
          <w:rFonts w:ascii="Times New Roman" w:hAnsi="Times New Roman" w:cs="Times New Roman"/>
          <w:sz w:val="24"/>
        </w:rPr>
        <w:fldChar w:fldCharType="begin"/>
      </w:r>
      <w:r w:rsidR="00373093">
        <w:rPr>
          <w:rFonts w:ascii="Times New Roman" w:hAnsi="Times New Roman" w:cs="Times New Roman"/>
          <w:sz w:val="24"/>
        </w:rPr>
        <w:instrText xml:space="preserve"> ADDIN ZOTERO_ITEM CSL_CITATION {"citationID":"eOGhycR2","properties":{"unsorted":false,"formattedCitation":"(Mathieu et al., 2021)","plainCitation":"(Mathieu et al., 2021)","noteIndex":0},"citationItems":[{"id":394,"uris":["http://zotero.org/users/19944767/items/BEPPKWIA"],"itemData":{"id":394,"type":"article-journal","container-title":"Nature Human Behaviour","DOI":"10.1038/s41562-021-01122-8","ISSN":"2397-3374","issue":"7","journalAbbreviation":"Nat Hum Behav","language":"en","page":"947-953","source":"DOI.org (Crossref)","title":"A global database of COVID-19 vaccinations","volume":"5","author":[{"family":"Mathieu","given":"Edouard"},{"family":"Ritchie","given":"Hannah"},{"family":"Ortiz-Ospina","given":"Esteban"},{"family":"Roser","given":"Max"},{"family":"Hasell","given":"Joe"},{"family":"Appel","given":"Cameron"},{"family":"Giattino","given":"Charlie"},{"family":"Rodés-Guirao","given":"Lucas"}],"issued":{"date-parts":[["2021",5,10]]}}}],"schema":"https://github.com/citation-style-language/schema/raw/master/csl-citation.json"} </w:instrText>
      </w:r>
      <w:r w:rsidR="00373093">
        <w:rPr>
          <w:rFonts w:ascii="Times New Roman" w:hAnsi="Times New Roman" w:cs="Times New Roman"/>
          <w:sz w:val="24"/>
        </w:rPr>
        <w:fldChar w:fldCharType="separate"/>
      </w:r>
      <w:r w:rsidR="00373093">
        <w:rPr>
          <w:rFonts w:ascii="Times New Roman" w:hAnsi="Times New Roman" w:cs="Times New Roman"/>
          <w:noProof/>
          <w:sz w:val="24"/>
        </w:rPr>
        <w:t>(Mathieu et al., 2021)</w:t>
      </w:r>
      <w:r w:rsidR="00373093">
        <w:rPr>
          <w:rFonts w:ascii="Times New Roman" w:hAnsi="Times New Roman" w:cs="Times New Roman"/>
          <w:sz w:val="24"/>
        </w:rPr>
        <w:fldChar w:fldCharType="end"/>
      </w:r>
      <w:r w:rsidR="00373093" w:rsidRPr="00373093">
        <w:rPr>
          <w:rFonts w:ascii="Times New Roman" w:hAnsi="Times New Roman" w:cs="Times New Roman"/>
          <w:sz w:val="24"/>
        </w:rPr>
        <w:t xml:space="preserve"> for COVID-19 mortality.</w:t>
      </w:r>
      <w:r w:rsidR="000E74FF" w:rsidRPr="000E74FF">
        <w:rPr>
          <w:rFonts w:ascii="Times New Roman" w:hAnsi="Times New Roman" w:cs="Times New Roman"/>
          <w:sz w:val="24"/>
        </w:rPr>
        <w:t xml:space="preserve"> To confront the Temporal Fallacy and Galton's problem on their own terms, we estimate a Hierarchical Bayesian Dynamic Panel Model in which the lagged outcome enters as an autoregressive parameter that formally quantifies macro-structural inertia in social polarization, one-year-lagged COVID-19 mortality and lockdown stringency enter as the acute pandemic-shock exposures whose posterior associations with the outcome are the substantive parameters of interest, an</w:t>
      </w:r>
      <w:r w:rsidR="0090791C">
        <w:rPr>
          <w:rFonts w:ascii="Times New Roman" w:hAnsi="Times New Roman" w:cs="Times New Roman"/>
          <w:sz w:val="24"/>
        </w:rPr>
        <w:t>d</w:t>
      </w:r>
      <w:r w:rsidR="000E74FF" w:rsidRPr="000E74FF">
        <w:rPr>
          <w:rFonts w:ascii="Times New Roman" w:hAnsi="Times New Roman" w:cs="Times New Roman"/>
          <w:sz w:val="24"/>
        </w:rPr>
        <w:t xml:space="preserve"> country-level intercepts are partially pooled within UN sub-regions through a strictly non-centered, two-level hierarchy, thereby absorbing the regional dependence structure that generates Galton's problem rather than ignoring it. The Bayesian framing is not cosmetic: it allows us to quantify the posterior credibility of inertia and acute-shock associations on a common probability scale, and to read off whether the acute-shock parameters are credibly bounded away from zero or merely </w:t>
      </w:r>
      <w:r w:rsidR="000E74FF" w:rsidRPr="000E74FF">
        <w:rPr>
          <w:rFonts w:ascii="Times New Roman" w:hAnsi="Times New Roman" w:cs="Times New Roman"/>
          <w:sz w:val="24"/>
        </w:rPr>
        <w:lastRenderedPageBreak/>
        <w:t>consistent with it.</w:t>
      </w:r>
    </w:p>
    <w:p w14:paraId="4FF66E28" w14:textId="4CC22563" w:rsidR="005C61C4" w:rsidRPr="005C61C4"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000E74FF" w:rsidRPr="000E74FF">
        <w:rPr>
          <w:rFonts w:ascii="Times New Roman" w:hAnsi="Times New Roman" w:cs="Times New Roman"/>
          <w:sz w:val="24"/>
        </w:rPr>
        <w:t>Our findings are unambiguous. The autoregressive inertia parameter is large and tightly estimated, with its 95% highest-density interval well separated from zero: in OECD democracies, the dominant predictor of social polarization in any given year is social polarization in the preceding year. By contrast, the 95% highest-density intervals for both one-year-lagged COVID-19 mortality and one-year-lagged lockdown stringency firmly cross zero. Once macro-structural inertia and regional partial pooling are accounted for, neither acute pandemic-shock exposure displays a credible association with social polarization in either direction. We further document that pre-pandemic social cohesion was itself associated with subsequent lockdown stringency, indicating that coercive policy was, in part, an institutional consequence of prior polarization rather than an antecedent of it. Taken together, these results sustain a single, assertive thesis: at the macro-institutional scale of advanced democracies, the entrenched trajectory of societal polarization was structurally incapable of being altered by the acute pathogen and policy shocks of the COVID-19 pandemic. The "pandemic authoritarianism" prediction generated by the parasite-stress framework is not merely unsupported in this setting; it is overridden, in the formal Bayesian sense, by macro-structural inertia.</w:t>
      </w:r>
    </w:p>
    <w:p w14:paraId="253AF32E" w14:textId="77777777" w:rsidR="00C54355" w:rsidRDefault="00C54355" w:rsidP="00C54355">
      <w:pPr>
        <w:spacing w:line="480" w:lineRule="auto"/>
        <w:rPr>
          <w:rFonts w:ascii="Times New Roman" w:hAnsi="Times New Roman" w:cs="Times New Roman"/>
          <w:sz w:val="24"/>
        </w:rPr>
      </w:pPr>
    </w:p>
    <w:p w14:paraId="49CCAF50" w14:textId="77777777" w:rsidR="00AF2726" w:rsidRDefault="00AF2726" w:rsidP="006251FE">
      <w:pPr>
        <w:spacing w:line="480" w:lineRule="auto"/>
        <w:rPr>
          <w:rFonts w:ascii="Times New Roman" w:hAnsi="Times New Roman" w:cs="Times New Roman"/>
          <w:b/>
          <w:bCs/>
          <w:sz w:val="24"/>
        </w:rPr>
      </w:pPr>
      <w:r w:rsidRPr="00AF2726">
        <w:rPr>
          <w:rFonts w:ascii="Times New Roman" w:hAnsi="Times New Roman" w:cs="Times New Roman"/>
          <w:b/>
          <w:bCs/>
          <w:sz w:val="24"/>
        </w:rPr>
        <w:lastRenderedPageBreak/>
        <w:t>Data and Methods</w:t>
      </w:r>
    </w:p>
    <w:p w14:paraId="29C91179" w14:textId="6437BFF9" w:rsidR="006251FE" w:rsidRDefault="00AF2726" w:rsidP="006251FE">
      <w:pPr>
        <w:spacing w:line="480" w:lineRule="auto"/>
        <w:rPr>
          <w:rFonts w:ascii="Times New Roman" w:hAnsi="Times New Roman" w:cs="Times New Roman"/>
          <w:sz w:val="24"/>
        </w:rPr>
      </w:pPr>
      <w:r w:rsidRPr="00AF2726">
        <w:rPr>
          <w:rFonts w:ascii="Times New Roman" w:hAnsi="Times New Roman" w:cs="Times New Roman"/>
          <w:i/>
          <w:iCs/>
          <w:sz w:val="24"/>
        </w:rPr>
        <w:t>Data sources and panel construction</w:t>
      </w:r>
    </w:p>
    <w:p w14:paraId="21B00B80" w14:textId="19F07023" w:rsidR="006251FE" w:rsidRDefault="00AF2726" w:rsidP="006251FE">
      <w:pPr>
        <w:spacing w:line="480" w:lineRule="auto"/>
        <w:rPr>
          <w:rFonts w:ascii="Times New Roman" w:hAnsi="Times New Roman" w:cs="Times New Roman"/>
          <w:sz w:val="24"/>
        </w:rPr>
      </w:pPr>
      <w:r w:rsidRPr="00AF2726">
        <w:rPr>
          <w:rFonts w:ascii="Times New Roman" w:hAnsi="Times New Roman" w:cs="Times New Roman"/>
          <w:sz w:val="24"/>
        </w:rPr>
        <w:t>We assemble a balanced country-year panel covering all 3</w:t>
      </w:r>
      <w:r w:rsidR="00066FCC">
        <w:rPr>
          <w:rFonts w:ascii="Times New Roman" w:hAnsi="Times New Roman" w:cs="Times New Roman"/>
          <w:sz w:val="24"/>
        </w:rPr>
        <w:t>7</w:t>
      </w:r>
      <w:r w:rsidRPr="00AF2726">
        <w:rPr>
          <w:rFonts w:ascii="Times New Roman" w:hAnsi="Times New Roman" w:cs="Times New Roman"/>
          <w:sz w:val="24"/>
        </w:rPr>
        <w:t xml:space="preserve"> OECD member states for the period 2019–2024. The outcome is social polarization, operationalized by the V-Dem indicator </w:t>
      </w:r>
      <w:r w:rsidRPr="00075BA6">
        <w:rPr>
          <w:rFonts w:ascii="Times New Roman" w:hAnsi="Times New Roman" w:cs="Times New Roman"/>
          <w:i/>
          <w:iCs/>
          <w:sz w:val="24"/>
        </w:rPr>
        <w:t>v2smpolsoc</w:t>
      </w:r>
      <w:r w:rsidRPr="00AF2726">
        <w:rPr>
          <w:rFonts w:ascii="Times New Roman" w:hAnsi="Times New Roman" w:cs="Times New Roman"/>
          <w:sz w:val="24"/>
        </w:rPr>
        <w:t xml:space="preserve"> from version 15 of the Varieties of Democracy dataset </w:t>
      </w:r>
      <w:r w:rsidR="00075BA6">
        <w:rPr>
          <w:rFonts w:ascii="Times New Roman" w:hAnsi="Times New Roman" w:cs="Times New Roman"/>
          <w:sz w:val="24"/>
        </w:rPr>
        <w:fldChar w:fldCharType="begin"/>
      </w:r>
      <w:r w:rsidR="00075BA6">
        <w:rPr>
          <w:rFonts w:ascii="Times New Roman" w:hAnsi="Times New Roman" w:cs="Times New Roman"/>
          <w:sz w:val="24"/>
        </w:rPr>
        <w:instrText xml:space="preserve"> ADDIN ZOTERO_ITEM CSL_CITATION {"citationID":"6eyzzaMK","properties":{"unsorted":false,"formattedCitation":"(Coppedge et al., 2025)","plainCitation":"(Coppedge et al., 2025)","noteIndex":0},"citationItems":[{"id":367,"uris":["http://zotero.org/users/19944767/items/5YCMYZVK"],"itemData":{"id":367,"type":"dataset","publisher":"Varieties of Democracy (V-Dem) Institute","title":"V-Dem [country–year/country–date] dataset","URL":"https://www.v-dem.net/data/the-v-dem-dataset/country-year-v-dem-fullothers-v15/","author":[{"family":"Coppedge","given":"M."},{"family":"Gerring","given":"J."},{"family":"Knutsen","given":"C.H."},{"family":"Lindberg","given":"S.I."},{"family":"Teorell","given":"J."},{"family":"Altman","given":"D."},{"family":"Angiolillo","given":"F."},{"family":"Bernhard","given":"M."},{"family":"Cornell","given":"A."},{"family":"Fish","given":"M.S."},{"family":"Fox","given":"L."},{"family":"Gastaldi","given":"L."},{"family":"Gjerløw","given":"H."},{"family":"Glynn","given":"A."},{"family":"God","given":"A.G."},{"family":"Grahn","given":"S."},{"family":"Hicken","given":"A."},{"family":"Kinzelbach","given":"K."},{"family":"Marquardt","given":"K.L."},{"family":"McMann","given":"K."},{"family":"Mechkova","given":"V."},{"family":"Neundorf","given":"A."},{"family":"Paxton","given":"P."},{"family":"Pemstein","given":"D."},{"family":"Römer,","given":"J.","non-dropping-particle":"von"},{"family":"Seim","given":"B."},{"family":"Sigman","given":"R."},{"family":"Skaaning","given":"S.-E."},{"family":"Staton","given":"J."},{"family":"Sundström","given":"A."},{"family":"Tannenberg","given":"M."},{"family":"Tzelgov","given":"E."},{"family":"Wang","given":"Y."},{"family":"Wiebrecht","given":"F."},{"family":"Wig","given":"T."},{"family":"Ziblatt","given":"D."}],"issued":{"date-parts":[["2025"]]}}}],"schema":"https://github.com/citation-style-language/schema/raw/master/csl-citation.json"} </w:instrText>
      </w:r>
      <w:r w:rsidR="00075BA6">
        <w:rPr>
          <w:rFonts w:ascii="Times New Roman" w:hAnsi="Times New Roman" w:cs="Times New Roman"/>
          <w:sz w:val="24"/>
        </w:rPr>
        <w:fldChar w:fldCharType="separate"/>
      </w:r>
      <w:r w:rsidR="00075BA6">
        <w:rPr>
          <w:rFonts w:ascii="Times New Roman" w:hAnsi="Times New Roman" w:cs="Times New Roman"/>
          <w:noProof/>
          <w:sz w:val="24"/>
        </w:rPr>
        <w:t>(Coppedge et al., 2025)</w:t>
      </w:r>
      <w:r w:rsidR="00075BA6">
        <w:rPr>
          <w:rFonts w:ascii="Times New Roman" w:hAnsi="Times New Roman" w:cs="Times New Roman"/>
          <w:sz w:val="24"/>
        </w:rPr>
        <w:fldChar w:fldCharType="end"/>
      </w:r>
      <w:r w:rsidRPr="00AF2726">
        <w:rPr>
          <w:rFonts w:ascii="Times New Roman" w:hAnsi="Times New Roman" w:cs="Times New Roman"/>
          <w:sz w:val="24"/>
        </w:rPr>
        <w:t>. On the V-Dem scale higher values denote greater social cohesion and lower values denote deeper polarization; we retain the native sign throughout, so that positive coefficients of association indicate a within-country shift toward greater cohesion.</w:t>
      </w:r>
    </w:p>
    <w:p w14:paraId="07061826" w14:textId="08922C7C" w:rsidR="00075BA6" w:rsidRPr="00075BA6" w:rsidRDefault="00AF2726" w:rsidP="00075BA6">
      <w:pPr>
        <w:spacing w:line="480" w:lineRule="auto"/>
        <w:rPr>
          <w:rFonts w:ascii="Times New Roman" w:hAnsi="Times New Roman" w:cs="Times New Roman"/>
          <w:sz w:val="24"/>
        </w:rPr>
      </w:pPr>
      <w:r>
        <w:rPr>
          <w:rFonts w:ascii="Times New Roman" w:hAnsi="Times New Roman" w:cs="Times New Roman"/>
          <w:sz w:val="24"/>
        </w:rPr>
        <w:tab/>
      </w:r>
      <w:r w:rsidR="00075BA6" w:rsidRPr="00075BA6">
        <w:rPr>
          <w:rFonts w:ascii="Times New Roman" w:hAnsi="Times New Roman" w:cs="Times New Roman"/>
          <w:sz w:val="24"/>
        </w:rPr>
        <w:t xml:space="preserve">The two acute pandemic-shock exposures are constructed from publicly available pandemic data resources. Cumulative COVID-19 mortality is sourced from Our World in Data </w:t>
      </w:r>
      <w:r w:rsidR="00075BA6">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{"citationID":"el6Hbt7X","properties":{"unsorted":false,"formattedCitation":"(Mathieu et al., 2021)","plainCitation":"(Mathieu et al., 2021)","noteIndex":0},"citationItems":[{"id":394,"uris":["http://zotero.org/users/19944767/items/BEPPKWIA"],"itemData":{"id":394,"type":"article-journal","container-title":"Nature Human Behaviour","DOI":"10.1038/s41562-021-01122-8","ISSN":"2397-3374","issue":"7","journalAbbreviation":"Nat Hum Behav","language":"en","page":"947-953","source":"DOI.org (Crossref)","title":"A global database of COVID-19 vaccinations","volume":"5","author":[{"family":"Mathieu","given":"Edouard"},{"family":"Ritchie","given":"Hannah"},{"family":"Ortiz-Ospina","given":"Esteban"},{"family":"Roser","given":"Max"},{"family":"Hasell","given":"Joe"},{"family":"Appel","given":"Cameron"},{"family":"Giattino","given":"Charlie"},{"family":"Rodés-Guirao","given":"Lucas"}],"issued":{"date-parts":[["2021",5,10]]}}}],"schema":"https://github.com/citation-style-language/schema/raw/master/csl-citation.json"} </w:instrText>
      </w:r>
      <w:r w:rsidR="00075BA6">
        <w:rPr>
          <w:rFonts w:ascii="Times New Roman" w:hAnsi="Times New Roman" w:cs="Times New Roman"/>
          <w:sz w:val="24"/>
        </w:rPr>
        <w:fldChar w:fldCharType="separate"/>
      </w:r>
      <w:r w:rsidR="00075BA6">
        <w:rPr>
          <w:rFonts w:ascii="Times New Roman" w:hAnsi="Times New Roman" w:cs="Times New Roman"/>
          <w:noProof/>
          <w:sz w:val="24"/>
        </w:rPr>
        <w:t>(Mathieu et al., 2021)</w:t>
      </w:r>
      <w:r w:rsidR="00075BA6">
        <w:rPr>
          <w:rFonts w:ascii="Times New Roman" w:hAnsi="Times New Roman" w:cs="Times New Roman"/>
          <w:sz w:val="24"/>
        </w:rPr>
        <w:fldChar w:fldCharType="end"/>
      </w:r>
      <w:r w:rsidR="00075BA6" w:rsidRPr="00075BA6">
        <w:rPr>
          <w:rFonts w:ascii="Times New Roman" w:hAnsi="Times New Roman" w:cs="Times New Roman"/>
          <w:sz w:val="24"/>
        </w:rPr>
        <w:t xml:space="preserve">, expressed as cumulative deaths per million population and log-transformed as ln(1+deaths per million). Lockdown stringency is taken from the Oxford COVID-19 Government Response Tracker </w:t>
      </w:r>
      <w:r w:rsidR="00075BA6">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{"citationID":"0lvusr0O","properties":{"unsorted":false,"formattedCitation":"(Hale et al., 2021)","plainCitation":"(Hale et al., 2021)","noteIndex":0},"citationItems":[{"id":376,"uris":["http://zotero.org/users/19944767/items/N5767BA8"],"itemData":{"id":376,"type":"article-journal","container-title":"Nature Human Behaviour","DOI":"10.1038/s41562-021-01079-8","ISSN":"2397-3374","issue":"4","journalAbbreviation":"Nat Hum Behav","language":"en","page":"529-538","source":"DOI.org (Crossref)","title":"A global panel database of pandemic policies (Oxford COVID-19 Government Response Tracker)","volume":"5","author":[{"family":"Hale","given":"Thomas"},{"family":"Angrist","given":"Noam"},{"family":"Goldszmidt","given":"Rafael"},{"family":"Kira","given":"Beatriz"},{"family":"Petherick","given":"Anna"},{"family":"Phillips","given":"Toby"},{"family":"Webster","given":"Samuel"},{"family":"Cameron-Blake","given":"Emily"},{"family":"Hallas","given":"Laura"},{"family":"Majumdar","given":"Saptarshi"},{"family":"Tatlow","given":"Helen"}],"issued":{"date-parts":[["2021",3,8]]}}}],"schema":"https://github.com/citation-style-language/schema/raw/master/csl-citation.json"} </w:instrText>
      </w:r>
      <w:r w:rsidR="00075BA6">
        <w:rPr>
          <w:rFonts w:ascii="Times New Roman" w:hAnsi="Times New Roman" w:cs="Times New Roman"/>
          <w:sz w:val="24"/>
        </w:rPr>
        <w:fldChar w:fldCharType="separate"/>
      </w:r>
      <w:r w:rsidR="00075BA6">
        <w:rPr>
          <w:rFonts w:ascii="Times New Roman" w:hAnsi="Times New Roman" w:cs="Times New Roman"/>
          <w:noProof/>
          <w:sz w:val="24"/>
        </w:rPr>
        <w:t>(Hale et al., 2021)</w:t>
      </w:r>
      <w:r w:rsidR="00075BA6">
        <w:rPr>
          <w:rFonts w:ascii="Times New Roman" w:hAnsi="Times New Roman" w:cs="Times New Roman"/>
          <w:sz w:val="24"/>
        </w:rPr>
        <w:fldChar w:fldCharType="end"/>
      </w:r>
      <w:r w:rsidR="00075BA6" w:rsidRPr="00075BA6">
        <w:rPr>
          <w:rFonts w:ascii="Times New Roman" w:hAnsi="Times New Roman" w:cs="Times New Roman"/>
          <w:sz w:val="24"/>
        </w:rPr>
        <w:t xml:space="preserve"> as the country-year mean of the composite Stringency Index (0–100), which aggregates nine containment and closure indicators (school closures, workplace closures, stay-at-home requirements, restrictions on gatherings, internal- and international-movement controls, public-event cancellations, public-information campaigns, and public-transport restrictions). To enforce the temporal precedence required by the dynamic specification, </w:t>
      </w:r>
      <w:r w:rsidR="00075BA6" w:rsidRPr="00075BA6">
        <w:rPr>
          <w:rFonts w:ascii="Times New Roman" w:hAnsi="Times New Roman" w:cs="Times New Roman"/>
          <w:sz w:val="24"/>
        </w:rPr>
        <w:lastRenderedPageBreak/>
        <w:t>both exposures enter the primary model lagged by one year within country</w:t>
      </w:r>
      <w:r w:rsidR="00075BA6">
        <w:rPr>
          <w:rFonts w:ascii="Times New Roman" w:hAnsi="Times New Roman" w:cs="Times New Roman"/>
          <w:sz w:val="24"/>
        </w:rPr>
        <w:t xml:space="preserve"> </w:t>
      </w:r>
      <w:r w:rsidR="00075BA6" w:rsidRPr="00075BA6">
        <w:rPr>
          <w:rFonts w:ascii="Times New Roman" w:hAnsi="Times New Roman" w:cs="Times New Roman"/>
          <w:sz w:val="24"/>
        </w:rPr>
        <w:t xml:space="preserve">(denoted </w:t>
      </w:r>
      <w:r w:rsidR="00075BA6" w:rsidRPr="00075BA6">
        <w:rPr>
          <w:rFonts w:ascii="Times New Roman" w:hAnsi="Times New Roman" w:cs="Times New Roman"/>
          <w:i/>
          <w:iCs/>
          <w:sz w:val="24"/>
        </w:rPr>
        <w:t>p_score_mean_lag1</w:t>
      </w:r>
      <w:r w:rsidR="00075BA6" w:rsidRPr="00075BA6">
        <w:rPr>
          <w:rFonts w:ascii="Times New Roman" w:hAnsi="Times New Roman" w:cs="Times New Roman"/>
          <w:sz w:val="24"/>
        </w:rPr>
        <w:t xml:space="preserve"> and </w:t>
      </w:r>
      <w:r w:rsidR="00075BA6" w:rsidRPr="00075BA6">
        <w:rPr>
          <w:rFonts w:ascii="Times New Roman" w:hAnsi="Times New Roman" w:cs="Times New Roman"/>
          <w:i/>
          <w:iCs/>
          <w:sz w:val="24"/>
        </w:rPr>
        <w:t>stringency_mean_lag1</w:t>
      </w:r>
      <w:r w:rsidR="00075BA6" w:rsidRPr="00075BA6">
        <w:rPr>
          <w:rFonts w:ascii="Times New Roman" w:hAnsi="Times New Roman" w:cs="Times New Roman"/>
          <w:sz w:val="24"/>
        </w:rPr>
        <w:t>).</w:t>
      </w:r>
    </w:p>
    <w:p w14:paraId="156A369E" w14:textId="3CFEEF04" w:rsidR="00AF2726" w:rsidRDefault="00075BA6" w:rsidP="00075BA6">
      <w:pPr>
        <w:spacing w:line="480" w:lineRule="auto"/>
        <w:rPr>
          <w:rFonts w:ascii="Times New Roman" w:hAnsi="Times New Roman" w:cs="Times New Roman"/>
          <w:sz w:val="24"/>
        </w:rPr>
      </w:pPr>
      <w:r>
        <w:rPr>
          <w:rFonts w:ascii="Times New Roman" w:hAnsi="Times New Roman" w:cs="Times New Roman"/>
          <w:i/>
          <w:iCs/>
          <w:sz w:val="24"/>
        </w:rPr>
        <w:tab/>
      </w:r>
      <w:r w:rsidRPr="00075BA6">
        <w:rPr>
          <w:rFonts w:ascii="Times New Roman" w:hAnsi="Times New Roman" w:cs="Times New Roman"/>
          <w:sz w:val="24"/>
        </w:rPr>
        <w:t xml:space="preserve">We adjust for four macro-covariates that have been routinely associated with cross-national variation in social cohesion: log population, urban population (%), health expenditure (% of GDP), and ethnic fractionalization (treated as time-invariant within the study period). The EM-DAT International Disaster Database </w:t>
      </w:r>
      <w:r>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{"citationID":"YsaaEsNJ","properties":{"unsorted":false,"formattedCitation":"(Guha-Sapir et al., 2025)","plainCitation":"(Guha-Sapir et al., 2025)","noteIndex":0},"citationItems":[{"id":383,"uris":["http://zotero.org/users/19944767/items/D7W9G6VX"],"itemData":{"id":383,"type":"dataset","publisher":"Université Catholique de Louvain","title":"EM-DAT: The CRED/OFDA International Disaster Database","URL":"https://www.emdat.be","author":[{"family":"Guha-Sapir","given":"D."},{"family":"Below","given":"R."},{"family":"Hoyois","given":"P."}],"issued":{"date-parts":[["2025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(Guha-Sapir et al., 2025)</w:t>
      </w:r>
      <w:r>
        <w:rPr>
          <w:rFonts w:ascii="Times New Roman" w:hAnsi="Times New Roman" w:cs="Times New Roman"/>
          <w:sz w:val="24"/>
        </w:rPr>
        <w:fldChar w:fldCharType="end"/>
      </w:r>
      <w:r w:rsidRPr="00075BA6">
        <w:rPr>
          <w:rFonts w:ascii="Times New Roman" w:hAnsi="Times New Roman" w:cs="Times New Roman"/>
          <w:sz w:val="24"/>
        </w:rPr>
        <w:t xml:space="preserve"> is used in a preliminary descriptive step to characterize historical epidemic exposure across the OECD-3</w:t>
      </w:r>
      <w:r w:rsidR="00066FCC">
        <w:rPr>
          <w:rFonts w:ascii="Times New Roman" w:hAnsi="Times New Roman" w:cs="Times New Roman"/>
          <w:sz w:val="24"/>
        </w:rPr>
        <w:t>7</w:t>
      </w:r>
      <w:r w:rsidRPr="00075BA6">
        <w:rPr>
          <w:rFonts w:ascii="Times New Roman" w:hAnsi="Times New Roman" w:cs="Times New Roman"/>
          <w:sz w:val="24"/>
        </w:rPr>
        <w:t xml:space="preserve"> over 2000–2025; EM-DAT does not enter the primary Bayesian dynamic panel model.</w:t>
      </w:r>
    </w:p>
    <w:p w14:paraId="676908DC" w14:textId="77777777" w:rsidR="00075BA6" w:rsidRDefault="00075BA6" w:rsidP="00075BA6">
      <w:pPr>
        <w:spacing w:line="480" w:lineRule="auto"/>
        <w:rPr>
          <w:rFonts w:ascii="Times New Roman" w:hAnsi="Times New Roman" w:cs="Times New Roman"/>
          <w:sz w:val="24"/>
        </w:rPr>
      </w:pPr>
      <w:r>
        <w:rPr>
          <w:rFonts w:ascii="Times New Roman" w:hAnsi="Times New Roman" w:cs="Times New Roman"/>
          <w:sz w:val="24"/>
        </w:rPr>
        <w:tab/>
      </w:r>
      <w:r w:rsidRPr="00075BA6">
        <w:rPr>
          <w:rFonts w:ascii="Times New Roman" w:hAnsi="Times New Roman" w:cs="Times New Roman"/>
          <w:sz w:val="24"/>
        </w:rPr>
        <w:t xml:space="preserve">All continuous predictors are z-standardized prior to estimation (mean 0, standard deviation 1) so that the weakly informative </w:t>
      </w:r>
      <w:proofErr w:type="gramStart"/>
      <w:r w:rsidRPr="00075BA6">
        <w:rPr>
          <w:rFonts w:ascii="Times New Roman" w:hAnsi="Times New Roman" w:cs="Times New Roman"/>
          <w:sz w:val="24"/>
        </w:rPr>
        <w:t>Normal(</w:t>
      </w:r>
      <w:proofErr w:type="gramEnd"/>
      <w:r w:rsidRPr="00075BA6">
        <w:rPr>
          <w:rFonts w:ascii="Times New Roman" w:hAnsi="Times New Roman" w:cs="Times New Roman"/>
          <w:sz w:val="24"/>
        </w:rPr>
        <w:t>0, 1) priors operate on a comparable scale across regressors and so that the No-U-Turn Sampler (NUTS) explores a numerically well-conditioned posterior geometry. Country-years with missing values on the outcome, the lagged outcome, the lagged exposures, or the macro-covariates are dropped before estimation.</w:t>
      </w:r>
    </w:p>
    <w:p w14:paraId="36DFABA5" w14:textId="77777777" w:rsidR="00075BA6" w:rsidRPr="00075BA6" w:rsidRDefault="00075BA6" w:rsidP="00075BA6">
      <w:pPr>
        <w:spacing w:line="480" w:lineRule="auto"/>
        <w:rPr>
          <w:rFonts w:ascii="Times New Roman" w:hAnsi="Times New Roman" w:cs="Times New Roman"/>
          <w:i/>
          <w:iCs/>
          <w:sz w:val="24"/>
        </w:rPr>
      </w:pPr>
      <w:r w:rsidRPr="00075BA6">
        <w:rPr>
          <w:rFonts w:ascii="Times New Roman" w:hAnsi="Times New Roman" w:cs="Times New Roman"/>
          <w:i/>
          <w:iCs/>
          <w:sz w:val="24"/>
        </w:rPr>
        <w:t>Empirical strategy: Hierarchical Bayesian Dynamic Panel Model</w:t>
      </w:r>
    </w:p>
    <w:p w14:paraId="374F94D9" w14:textId="1E9ACD4F" w:rsidR="00075BA6" w:rsidRDefault="001F0C3F" w:rsidP="00075BA6">
      <w:pPr>
        <w:spacing w:line="480" w:lineRule="auto"/>
        <w:rPr>
          <w:rFonts w:ascii="Times New Roman" w:hAnsi="Times New Roman" w:cs="Times New Roman"/>
          <w:sz w:val="24"/>
        </w:rPr>
      </w:pPr>
      <w:r w:rsidRPr="001F0C3F">
        <w:rPr>
          <w:rFonts w:ascii="Times New Roman" w:hAnsi="Times New Roman" w:cs="Times New Roman"/>
          <w:sz w:val="24"/>
        </w:rPr>
        <w:t>We employ a Hierarchical Bayesian Dynamic Panel Model designed to confront, simultaneously, two threats that have dogged cross-national parasite-stress and pandemic-</w:t>
      </w:r>
      <w:r w:rsidRPr="001F0C3F">
        <w:rPr>
          <w:rFonts w:ascii="Times New Roman" w:hAnsi="Times New Roman" w:cs="Times New Roman"/>
          <w:sz w:val="24"/>
        </w:rPr>
        <w:lastRenderedPageBreak/>
        <w:t>shock work: macro-structural inertia in the outcome and spatial non-independence across countries</w:t>
      </w:r>
      <w:r w:rsidR="00075BA6" w:rsidRPr="00075BA6">
        <w:rPr>
          <w:rFonts w:ascii="Times New Roman" w:hAnsi="Times New Roman" w:cs="Times New Roman"/>
          <w:sz w:val="24"/>
        </w:rPr>
        <w:t xml:space="preserve"> (Galton's problem; </w:t>
      </w:r>
      <w:r w:rsidR="00075BA6">
        <w:rPr>
          <w:rFonts w:ascii="Times New Roman" w:hAnsi="Times New Roman" w:cs="Times New Roman"/>
          <w:sz w:val="24"/>
        </w:rPr>
        <w:fldChar w:fldCharType="begin"/>
      </w:r>
      <w:r w:rsidR="00075BA6">
        <w:rPr>
          <w:rFonts w:ascii="Times New Roman" w:hAnsi="Times New Roman" w:cs="Times New Roman"/>
          <w:sz w:val="24"/>
        </w:rPr>
        <w:instrText xml:space="preserve"> ADDIN ZOTERO_ITEM CSL_CITATION {"citationID":"MGQd1Tv0","properties":{"unsorted":false,"formattedCitation":"(Currie &amp; Mace, 2012)","plainCitation":"(Currie &amp; Mace, 2012)","noteIndex":0},"citationItems":[{"id":368,"uris":["http://zotero.org/users/19944767/items/3CFAKNS9"],"itemData":{"id":368,"type":"article-journal","abstract":"Abstract\n            Re-analysis of the data provided in the target article reveals a lack of evidence for a strong, universal relationship between parasite stress and the variables relating to sociality. Furthermore, even if associations between these variables do exist, the analyses presented here do not provide evidence for Fincher &amp; Thornhill's (F&amp;T's) proposed causal mechanism.","container-title":"Behavioral and Brain Sciences","DOI":"10.1017/S0140525X11000963","ISSN":"0140-525X, 1469-1825","issue":"2","journalAbbreviation":"Behav Brain Sci","language":"en","license":"https://www.cambridge.org/core/terms","page":"83-85","source":"DOI.org (Crossref)","title":"Analyses do not support the parasite-stress theory of human sociality","volume":"35","author":[{"family":"Currie","given":"Thomas E."},{"family":"Mace","given":"Ruth"}],"issued":{"date-parts":[["2012",4]]}}}],"schema":"https://github.com/citation-style-language/schema/raw/master/csl-citation.json"} </w:instrText>
      </w:r>
      <w:r w:rsidR="00075BA6">
        <w:rPr>
          <w:rFonts w:ascii="Times New Roman" w:hAnsi="Times New Roman" w:cs="Times New Roman"/>
          <w:sz w:val="24"/>
        </w:rPr>
        <w:fldChar w:fldCharType="separate"/>
      </w:r>
      <w:r w:rsidR="00075BA6">
        <w:rPr>
          <w:rFonts w:ascii="Times New Roman" w:hAnsi="Times New Roman" w:cs="Times New Roman"/>
          <w:noProof/>
          <w:sz w:val="24"/>
        </w:rPr>
        <w:t>(Currie &amp; Mace, 2012)</w:t>
      </w:r>
      <w:r w:rsidR="00075BA6">
        <w:rPr>
          <w:rFonts w:ascii="Times New Roman" w:hAnsi="Times New Roman" w:cs="Times New Roman"/>
          <w:sz w:val="24"/>
        </w:rPr>
        <w:fldChar w:fldCharType="end"/>
      </w:r>
      <w:r w:rsidR="00075BA6" w:rsidRPr="00075BA6">
        <w:rPr>
          <w:rFonts w:ascii="Times New Roman" w:hAnsi="Times New Roman" w:cs="Times New Roman"/>
          <w:sz w:val="24"/>
        </w:rPr>
        <w:t>).</w:t>
      </w:r>
    </w:p>
    <w:p w14:paraId="4A85A195" w14:textId="68067ABB" w:rsidR="00075BA6" w:rsidRPr="00075BA6" w:rsidRDefault="00075BA6" w:rsidP="00075BA6">
      <w:pPr>
        <w:spacing w:line="480" w:lineRule="auto"/>
        <w:rPr>
          <w:rFonts w:ascii="Times New Roman" w:hAnsi="Times New Roman" w:cs="Times New Roman"/>
          <w:sz w:val="24"/>
        </w:rPr>
      </w:pPr>
      <w:r w:rsidRPr="00075BA6">
        <w:rPr>
          <w:rFonts w:ascii="Times New Roman" w:hAnsi="Times New Roman" w:cs="Times New Roman"/>
          <w:sz w:val="24"/>
        </w:rPr>
        <w:t xml:space="preserve">Let </w:t>
      </w:r>
      <m:oMath>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c,t</m:t>
            </m:r>
          </m:sub>
        </m:sSub>
      </m:oMath>
      <w:r w:rsidRPr="00075BA6">
        <w:rPr>
          <w:rFonts w:ascii="Times New Roman" w:hAnsi="Times New Roman" w:cs="Times New Roman"/>
          <w:sz w:val="24"/>
        </w:rPr>
        <w:t xml:space="preserve">  denote </w:t>
      </w:r>
      <w:r w:rsidRPr="00075BA6">
        <w:rPr>
          <w:rFonts w:ascii="Times New Roman" w:hAnsi="Times New Roman" w:cs="Times New Roman"/>
          <w:i/>
          <w:iCs/>
          <w:sz w:val="24"/>
        </w:rPr>
        <w:t>v2smpolsoc</w:t>
      </w:r>
      <w:r w:rsidRPr="00075BA6">
        <w:rPr>
          <w:rFonts w:ascii="Times New Roman" w:hAnsi="Times New Roman" w:cs="Times New Roman"/>
          <w:sz w:val="24"/>
        </w:rPr>
        <w:t xml:space="preserve"> for country</w:t>
      </w:r>
      <w:r>
        <w:rPr>
          <w:rFonts w:ascii="Times New Roman" w:hAnsi="Times New Roman" w:cs="Times New Roman"/>
          <w:sz w:val="24"/>
        </w:rPr>
        <w:t xml:space="preserve"> </w:t>
      </w:r>
      <m:oMath>
        <m:r>
          <w:rPr>
            <w:rFonts w:ascii="Cambria Math" w:hAnsi="Cambria Math" w:cs="Times New Roman"/>
            <w:sz w:val="24"/>
          </w:rPr>
          <m:t>c∈{1,...,3</m:t>
        </m:r>
        <m:r>
          <w:rPr>
            <w:rFonts w:ascii="Cambria Math" w:hAnsi="Cambria Math" w:cs="Times New Roman"/>
            <w:sz w:val="24"/>
          </w:rPr>
          <m:t>7</m:t>
        </m:r>
        <m:r>
          <w:rPr>
            <w:rFonts w:ascii="Cambria Math" w:hAnsi="Cambria Math" w:cs="Times New Roman"/>
            <w:sz w:val="24"/>
          </w:rPr>
          <m:t>}</m:t>
        </m:r>
      </m:oMath>
      <w:r w:rsidRPr="00075BA6">
        <w:rPr>
          <w:rFonts w:ascii="Times New Roman" w:hAnsi="Times New Roman" w:cs="Times New Roman"/>
          <w:sz w:val="24"/>
        </w:rPr>
        <w:t xml:space="preserve"> in year </w:t>
      </w:r>
      <w:proofErr w:type="gramStart"/>
      <w:r w:rsidRPr="00075BA6">
        <w:rPr>
          <w:rFonts w:ascii="Times New Roman" w:hAnsi="Times New Roman" w:cs="Times New Roman"/>
          <w:sz w:val="24"/>
        </w:rPr>
        <w:t>t, and</w:t>
      </w:r>
      <w:proofErr w:type="gramEnd"/>
      <w:r w:rsidRPr="00075BA6">
        <w:rPr>
          <w:rFonts w:ascii="Times New Roman" w:hAnsi="Times New Roman" w:cs="Times New Roman"/>
          <w:sz w:val="24"/>
        </w:rPr>
        <w:t xml:space="preserve"> let r</w:t>
      </w:r>
      <w:r>
        <w:rPr>
          <w:rFonts w:ascii="Times New Roman" w:hAnsi="Times New Roman" w:cs="Times New Roman"/>
          <w:sz w:val="24"/>
        </w:rPr>
        <w:t>(c)</w:t>
      </w:r>
      <w:r w:rsidRPr="00075BA6">
        <w:rPr>
          <w:rFonts w:ascii="Times New Roman" w:hAnsi="Times New Roman" w:cs="Times New Roman"/>
          <w:sz w:val="24"/>
        </w:rPr>
        <w:t xml:space="preserve"> denote the UN sub-region in which country </w:t>
      </w:r>
      <w:r>
        <w:rPr>
          <w:rFonts w:ascii="Times New Roman" w:hAnsi="Times New Roman" w:cs="Times New Roman"/>
          <w:sz w:val="24"/>
        </w:rPr>
        <w:t>c</w:t>
      </w:r>
      <w:r w:rsidRPr="00075BA6">
        <w:rPr>
          <w:rFonts w:ascii="Times New Roman" w:hAnsi="Times New Roman" w:cs="Times New Roman"/>
          <w:sz w:val="24"/>
        </w:rPr>
        <w:t xml:space="preserve"> is nested. The likelihood is</w:t>
      </w:r>
    </w:p>
    <w:p w14:paraId="7492AA20" w14:textId="6C7A820B" w:rsidR="00075BA6" w:rsidRDefault="00000000" w:rsidP="00075BA6">
      <w:pPr>
        <w:spacing w:line="480" w:lineRule="auto"/>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c,t</m:t>
              </m:r>
            </m:sub>
          </m:sSub>
          <m:r>
            <w:rPr>
              <w:rFonts w:ascii="Cambria Math" w:hAnsi="Cambria Math" w:cs="Times New Roman"/>
              <w:sz w:val="24"/>
            </w:rPr>
            <m:t>~Normal(</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c,t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y</m:t>
              </m:r>
            </m:sub>
          </m:sSub>
          <m:r>
            <w:rPr>
              <w:rFonts w:ascii="Cambria Math" w:hAnsi="Cambria Math" w:cs="Times New Roman"/>
              <w:sz w:val="24"/>
            </w:rPr>
            <m:t>)</m:t>
          </m:r>
        </m:oMath>
      </m:oMathPara>
    </w:p>
    <w:p w14:paraId="1BB14E6B" w14:textId="0D078554" w:rsidR="00075BA6" w:rsidRDefault="00075BA6" w:rsidP="00075BA6">
      <w:pPr>
        <w:spacing w:line="480" w:lineRule="auto"/>
        <w:rPr>
          <w:rFonts w:ascii="Times New Roman" w:hAnsi="Times New Roman" w:cs="Times New Roman"/>
          <w:sz w:val="24"/>
        </w:rPr>
      </w:pPr>
      <w:r w:rsidRPr="00075BA6">
        <w:rPr>
          <w:rFonts w:ascii="Times New Roman" w:hAnsi="Times New Roman" w:cs="Times New Roman"/>
          <w:sz w:val="24"/>
        </w:rPr>
        <w:t>with the linear predictor</w:t>
      </w:r>
    </w:p>
    <w:p w14:paraId="1326612F" w14:textId="27D846F3" w:rsidR="00075BA6" w:rsidRDefault="00000000" w:rsidP="00075BA6">
      <w:pPr>
        <w:spacing w:line="480" w:lineRule="auto"/>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c, 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c</m:t>
              </m:r>
            </m:sub>
          </m:sSub>
          <m:r>
            <w:rPr>
              <w:rFonts w:ascii="Cambria Math" w:hAnsi="Cambria Math" w:cs="Times New Roman"/>
              <w:sz w:val="24"/>
            </w:rPr>
            <m:t>+ϕ</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c,t-1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sSub>
            <m:sSubPr>
              <m:ctrlPr>
                <w:rPr>
                  <w:rFonts w:ascii="Cambria Math" w:hAnsi="Cambria Math" w:cs="Times New Roman"/>
                  <w:i/>
                  <w:sz w:val="24"/>
                </w:rPr>
              </m:ctrlPr>
            </m:sSubPr>
            <m:e>
              <m:r>
                <w:rPr>
                  <w:rFonts w:ascii="Cambria Math" w:hAnsi="Cambria Math" w:cs="Times New Roman"/>
                  <w:sz w:val="24"/>
                </w:rPr>
                <m:t>P</m:t>
              </m:r>
            </m:e>
            <m:sub>
              <m:r>
                <w:rPr>
                  <w:rFonts w:ascii="Cambria Math" w:hAnsi="Cambria Math" w:cs="Times New Roman"/>
                  <w:sz w:val="24"/>
                </w:rPr>
                <m:t>c,t-1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c,t-1</m:t>
              </m:r>
            </m:sub>
          </m:sSub>
          <m:r>
            <w:rPr>
              <w:rFonts w:ascii="Cambria Math" w:hAnsi="Cambria Math" w:cs="Times New Roman"/>
              <w:sz w:val="24"/>
            </w:rPr>
            <m:t>+</m:t>
          </m:r>
          <m:sSubSup>
            <m:sSubSupPr>
              <m:ctrlPr>
                <w:rPr>
                  <w:rFonts w:ascii="Cambria Math" w:hAnsi="Cambria Math" w:cs="Times New Roman"/>
                  <w:i/>
                  <w:sz w:val="24"/>
                </w:rPr>
              </m:ctrlPr>
            </m:sSubSupPr>
            <m:e>
              <m:r>
                <m:rPr>
                  <m:scr m:val="double-struck"/>
                </m:rPr>
                <w:rPr>
                  <w:rFonts w:ascii="Cambria Math" w:hAnsi="Cambria Math" w:cs="Times New Roman"/>
                  <w:sz w:val="24"/>
                </w:rPr>
                <m:t>x</m:t>
              </m:r>
            </m:e>
            <m:sub>
              <m:r>
                <w:rPr>
                  <w:rFonts w:ascii="Cambria Math" w:hAnsi="Cambria Math" w:cs="Times New Roman"/>
                  <w:sz w:val="24"/>
                </w:rPr>
                <m:t>c,t</m:t>
              </m:r>
            </m:sub>
            <m:sup>
              <m:r>
                <w:rPr>
                  <w:rFonts w:ascii="Cambria Math" w:hAnsi="Cambria Math" w:cs="Times New Roman"/>
                  <w:sz w:val="24"/>
                </w:rPr>
                <m:t>T</m:t>
              </m:r>
            </m:sup>
          </m:sSubSup>
          <m:r>
            <w:rPr>
              <w:rFonts w:ascii="Cambria Math" w:hAnsi="Cambria Math" w:cs="Times New Roman"/>
              <w:sz w:val="24"/>
            </w:rPr>
            <m:t>γ</m:t>
          </m:r>
        </m:oMath>
      </m:oMathPara>
    </w:p>
    <w:p w14:paraId="7CC721A7" w14:textId="66943D59" w:rsidR="00075BA6" w:rsidRDefault="00075BA6" w:rsidP="00075BA6">
      <w:pPr>
        <w:spacing w:line="480" w:lineRule="auto"/>
        <w:rPr>
          <w:rFonts w:ascii="Times New Roman" w:hAnsi="Times New Roman" w:cs="Times New Roman"/>
          <w:sz w:val="24"/>
        </w:rPr>
      </w:pPr>
      <w:r>
        <w:rPr>
          <w:rFonts w:ascii="Times New Roman" w:hAnsi="Times New Roman" w:cs="Times New Roman"/>
          <w:sz w:val="24"/>
        </w:rPr>
        <w:t xml:space="preserve">where </w:t>
      </w:r>
      <m:oMath>
        <m:r>
          <w:rPr>
            <w:rFonts w:ascii="Cambria Math" w:hAnsi="Cambria Math" w:cs="Times New Roman"/>
            <w:sz w:val="24"/>
          </w:rPr>
          <m:t>ϕ</m:t>
        </m:r>
      </m:oMath>
      <w:r w:rsidRPr="00075BA6">
        <w:rPr>
          <w:rFonts w:ascii="Times New Roman" w:hAnsi="Times New Roman" w:cs="Times New Roman"/>
          <w:sz w:val="24"/>
        </w:rPr>
        <w:t xml:space="preserve"> is the autoregressive parameter quantifying macro-structural inertia,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075BA6">
        <w:rPr>
          <w:rFonts w:ascii="Times New Roman" w:hAnsi="Times New Roman" w:cs="Times New Roman"/>
          <w:sz w:val="24"/>
        </w:rPr>
        <w:t xml:space="preserve"> are the coefficients of association for one-year-lagged log COVID-19 mortality </w:t>
      </w:r>
      <m:oMath>
        <m:sSub>
          <m:sSubPr>
            <m:ctrlPr>
              <w:rPr>
                <w:rFonts w:ascii="Cambria Math" w:hAnsi="Cambria Math" w:cs="Times New Roman"/>
                <w:i/>
                <w:sz w:val="24"/>
              </w:rPr>
            </m:ctrlPr>
          </m:sSubPr>
          <m:e>
            <m:r>
              <w:rPr>
                <w:rFonts w:ascii="Cambria Math" w:hAnsi="Cambria Math" w:cs="Times New Roman"/>
                <w:sz w:val="24"/>
              </w:rPr>
              <m:t>P</m:t>
            </m:r>
          </m:e>
          <m:sub>
            <m:r>
              <w:rPr>
                <w:rFonts w:ascii="Cambria Math" w:hAnsi="Cambria Math" w:cs="Times New Roman"/>
                <w:sz w:val="24"/>
              </w:rPr>
              <m:t>c,t-1</m:t>
            </m:r>
          </m:sub>
        </m:sSub>
      </m:oMath>
      <w:r w:rsidRPr="00075BA6">
        <w:rPr>
          <w:rFonts w:ascii="Times New Roman" w:hAnsi="Times New Roman" w:cs="Times New Roman"/>
          <w:sz w:val="24"/>
        </w:rPr>
        <w:t xml:space="preserve">  and one-year-lagged lockdown stringency </w:t>
      </w:r>
      <m:oMath>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c,t-1</m:t>
            </m:r>
          </m:sub>
        </m:sSub>
      </m:oMath>
      <w:r w:rsidRPr="00075BA6">
        <w:rPr>
          <w:rFonts w:ascii="Times New Roman" w:hAnsi="Times New Roman" w:cs="Times New Roman"/>
          <w:sz w:val="24"/>
        </w:rPr>
        <w:t>, and</w:t>
      </w:r>
      <w:r>
        <w:rPr>
          <w:rFonts w:ascii="Times New Roman" w:hAnsi="Times New Roman" w:cs="Times New Roman"/>
          <w:sz w:val="24"/>
        </w:rPr>
        <w:t xml:space="preserve"> </w:t>
      </w:r>
      <m:oMath>
        <m:sSub>
          <m:sSubPr>
            <m:ctrlPr>
              <w:rPr>
                <w:rFonts w:ascii="Cambria Math" w:hAnsi="Cambria Math" w:cs="Times New Roman"/>
                <w:i/>
                <w:sz w:val="24"/>
              </w:rPr>
            </m:ctrlPr>
          </m:sSubPr>
          <m:e>
            <m:r>
              <m:rPr>
                <m:scr m:val="double-struck"/>
              </m:rPr>
              <w:rPr>
                <w:rFonts w:ascii="Cambria Math" w:hAnsi="Cambria Math" w:cs="Times New Roman"/>
                <w:sz w:val="24"/>
              </w:rPr>
              <m:t>x</m:t>
            </m:r>
          </m:e>
          <m:sub>
            <m:r>
              <w:rPr>
                <w:rFonts w:ascii="Cambria Math" w:hAnsi="Cambria Math" w:cs="Times New Roman"/>
                <w:sz w:val="24"/>
              </w:rPr>
              <m:t>c,t</m:t>
            </m:r>
          </m:sub>
        </m:sSub>
      </m:oMath>
      <w:r w:rsidRPr="00075BA6">
        <w:rPr>
          <w:rFonts w:ascii="Times New Roman" w:hAnsi="Times New Roman" w:cs="Times New Roman"/>
          <w:sz w:val="24"/>
        </w:rPr>
        <w:t xml:space="preserve"> collects the four macro-covariates with coefficient vector </w:t>
      </w:r>
      <m:oMath>
        <m:r>
          <w:rPr>
            <w:rFonts w:ascii="Cambria Math" w:hAnsi="Cambria Math" w:cs="Times New Roman"/>
            <w:sz w:val="24"/>
          </w:rPr>
          <m:t>γ</m:t>
        </m:r>
      </m:oMath>
      <w:r>
        <w:rPr>
          <w:rFonts w:ascii="Times New Roman" w:hAnsi="Times New Roman" w:cs="Times New Roman"/>
          <w:sz w:val="24"/>
        </w:rPr>
        <w:t>.</w:t>
      </w:r>
    </w:p>
    <w:p w14:paraId="2D7F4607" w14:textId="77777777" w:rsidR="00075BA6" w:rsidRPr="00075BA6" w:rsidRDefault="00075BA6" w:rsidP="00075BA6">
      <w:pPr>
        <w:spacing w:line="480" w:lineRule="auto"/>
        <w:rPr>
          <w:rFonts w:ascii="Times New Roman" w:hAnsi="Times New Roman" w:cs="Times New Roman"/>
          <w:i/>
          <w:iCs/>
          <w:sz w:val="24"/>
        </w:rPr>
      </w:pPr>
      <w:r w:rsidRPr="00075BA6">
        <w:rPr>
          <w:rFonts w:ascii="Times New Roman" w:hAnsi="Times New Roman" w:cs="Times New Roman"/>
          <w:i/>
          <w:iCs/>
          <w:sz w:val="24"/>
        </w:rPr>
        <w:t>Galton's problem via regional partial pooling</w:t>
      </w:r>
    </w:p>
    <w:p w14:paraId="73E1BD14" w14:textId="75F97D90" w:rsidR="00075BA6" w:rsidRPr="00075BA6" w:rsidRDefault="00075BA6" w:rsidP="00075BA6">
      <w:pPr>
        <w:spacing w:line="480" w:lineRule="auto"/>
        <w:rPr>
          <w:rFonts w:ascii="Times New Roman" w:hAnsi="Times New Roman" w:cs="Times New Roman"/>
          <w:sz w:val="24"/>
        </w:rPr>
      </w:pPr>
      <w:r w:rsidRPr="00075BA6">
        <w:rPr>
          <w:rFonts w:ascii="Times New Roman" w:hAnsi="Times New Roman" w:cs="Times New Roman"/>
          <w:sz w:val="24"/>
        </w:rPr>
        <w:t>The country-level intercept</w:t>
      </w:r>
      <w:r>
        <w:rPr>
          <w:rFonts w:ascii="Times New Roman" w:hAnsi="Times New Roman" w:cs="Times New Roman"/>
          <w:sz w:val="24"/>
        </w:rPr>
        <w:t xml:space="preserve"> </w:t>
      </w:r>
      <m:oMath>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c</m:t>
            </m:r>
          </m:sub>
        </m:sSub>
      </m:oMath>
      <w:r w:rsidRPr="00075BA6">
        <w:rPr>
          <w:rFonts w:ascii="Times New Roman" w:hAnsi="Times New Roman" w:cs="Times New Roman"/>
          <w:sz w:val="24"/>
        </w:rPr>
        <w:t xml:space="preserve"> is partially pooled within UN sub-regions through a strictly nested two-level hierarchy:</w:t>
      </w:r>
    </w:p>
    <w:p w14:paraId="5575884D" w14:textId="102647D2" w:rsidR="00075BA6" w:rsidRPr="00075BA6" w:rsidRDefault="00000000" w:rsidP="00075BA6">
      <w:pPr>
        <w:spacing w:line="480" w:lineRule="auto"/>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c</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r(c)</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country</m:t>
              </m:r>
            </m:sub>
          </m:sSub>
          <m:sSubSup>
            <m:sSubSupPr>
              <m:ctrlPr>
                <w:rPr>
                  <w:rFonts w:ascii="Cambria Math" w:hAnsi="Cambria Math" w:cs="Times New Roman"/>
                  <w:i/>
                  <w:sz w:val="24"/>
                </w:rPr>
              </m:ctrlPr>
            </m:sSubSupPr>
            <m:e>
              <m:r>
                <w:rPr>
                  <w:rFonts w:ascii="Cambria Math" w:hAnsi="Cambria Math" w:cs="Times New Roman"/>
                  <w:sz w:val="24"/>
                </w:rPr>
                <m:t>z</m:t>
              </m:r>
            </m:e>
            <m:sub>
              <m:r>
                <w:rPr>
                  <w:rFonts w:ascii="Cambria Math" w:hAnsi="Cambria Math" w:cs="Times New Roman"/>
                  <w:sz w:val="24"/>
                </w:rPr>
                <m:t>c</m:t>
              </m:r>
            </m:sub>
            <m:sup>
              <m:r>
                <w:rPr>
                  <w:rFonts w:ascii="Cambria Math" w:hAnsi="Cambria Math" w:cs="Times New Roman"/>
                  <w:sz w:val="24"/>
                </w:rPr>
                <m:t>(c)</m:t>
              </m:r>
            </m:sup>
          </m:sSubSup>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α</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region</m:t>
              </m:r>
            </m:sub>
          </m:sSub>
          <m:sSubSup>
            <m:sSubSupPr>
              <m:ctrlPr>
                <w:rPr>
                  <w:rFonts w:ascii="Cambria Math" w:hAnsi="Cambria Math" w:cs="Times New Roman"/>
                  <w:i/>
                  <w:sz w:val="24"/>
                </w:rPr>
              </m:ctrlPr>
            </m:sSubSupPr>
            <m:e>
              <m:r>
                <w:rPr>
                  <w:rFonts w:ascii="Cambria Math" w:hAnsi="Cambria Math" w:cs="Times New Roman"/>
                  <w:sz w:val="24"/>
                </w:rPr>
                <m:t>z</m:t>
              </m:r>
            </m:e>
            <m:sub>
              <m:r>
                <w:rPr>
                  <w:rFonts w:ascii="Cambria Math" w:hAnsi="Cambria Math" w:cs="Times New Roman"/>
                  <w:sz w:val="24"/>
                </w:rPr>
                <m:t>r</m:t>
              </m:r>
            </m:sub>
            <m:sup>
              <m:r>
                <w:rPr>
                  <w:rFonts w:ascii="Cambria Math" w:hAnsi="Cambria Math" w:cs="Times New Roman"/>
                  <w:sz w:val="24"/>
                </w:rPr>
                <m:t>(r)</m:t>
              </m:r>
            </m:sup>
          </m:sSubSup>
          <m:r>
            <w:rPr>
              <w:rFonts w:ascii="Cambria Math" w:hAnsi="Cambria Math" w:cs="Times New Roman"/>
              <w:sz w:val="24"/>
            </w:rPr>
            <m:t xml:space="preserve">, </m:t>
          </m:r>
        </m:oMath>
      </m:oMathPara>
    </w:p>
    <w:p w14:paraId="26D257AF" w14:textId="09D0C3FF" w:rsidR="00075BA6" w:rsidRPr="00075BA6" w:rsidRDefault="00075BA6" w:rsidP="00075BA6">
      <w:pPr>
        <w:spacing w:line="480" w:lineRule="auto"/>
        <w:rPr>
          <w:rFonts w:ascii="Times New Roman" w:hAnsi="Times New Roman" w:cs="Times New Roman"/>
          <w:sz w:val="24"/>
        </w:rPr>
      </w:pPr>
      <w:r w:rsidRPr="00075BA6">
        <w:rPr>
          <w:rFonts w:ascii="Times New Roman" w:hAnsi="Times New Roman" w:cs="Times New Roman"/>
          <w:sz w:val="24"/>
        </w:rPr>
        <w:t xml:space="preserve">with </w:t>
      </w:r>
      <m:oMath>
        <m:sSubSup>
          <m:sSubSupPr>
            <m:ctrlPr>
              <w:rPr>
                <w:rFonts w:ascii="Cambria Math" w:hAnsi="Cambria Math" w:cs="Times New Roman"/>
                <w:i/>
                <w:sz w:val="24"/>
              </w:rPr>
            </m:ctrlPr>
          </m:sSubSupPr>
          <m:e>
            <m:r>
              <w:rPr>
                <w:rFonts w:ascii="Cambria Math" w:hAnsi="Cambria Math" w:cs="Times New Roman"/>
                <w:sz w:val="24"/>
              </w:rPr>
              <m:t>z</m:t>
            </m:r>
          </m:e>
          <m:sub>
            <m:r>
              <w:rPr>
                <w:rFonts w:ascii="Cambria Math" w:hAnsi="Cambria Math" w:cs="Times New Roman"/>
                <w:sz w:val="24"/>
              </w:rPr>
              <m:t>c</m:t>
            </m:r>
          </m:sub>
          <m:sup>
            <m:r>
              <w:rPr>
                <w:rFonts w:ascii="Cambria Math" w:hAnsi="Cambria Math" w:cs="Times New Roman"/>
                <w:sz w:val="24"/>
              </w:rPr>
              <m:t>(c)</m:t>
            </m:r>
          </m:sup>
        </m:sSubSup>
        <m:r>
          <w:rPr>
            <w:rFonts w:ascii="Cambria Math" w:hAnsi="Cambria Math" w:cs="Times New Roman"/>
            <w:sz w:val="24"/>
          </w:rPr>
          <m:t xml:space="preserve">, </m:t>
        </m:r>
        <m:sSubSup>
          <m:sSubSupPr>
            <m:ctrlPr>
              <w:rPr>
                <w:rFonts w:ascii="Cambria Math" w:hAnsi="Cambria Math" w:cs="Times New Roman"/>
                <w:i/>
                <w:sz w:val="24"/>
              </w:rPr>
            </m:ctrlPr>
          </m:sSubSupPr>
          <m:e>
            <m:r>
              <w:rPr>
                <w:rFonts w:ascii="Cambria Math" w:hAnsi="Cambria Math" w:cs="Times New Roman"/>
                <w:sz w:val="24"/>
              </w:rPr>
              <m:t>z</m:t>
            </m:r>
          </m:e>
          <m:sub>
            <m:r>
              <w:rPr>
                <w:rFonts w:ascii="Cambria Math" w:hAnsi="Cambria Math" w:cs="Times New Roman"/>
                <w:sz w:val="24"/>
              </w:rPr>
              <m:t>r</m:t>
            </m:r>
          </m:sub>
          <m:sup>
            <m:r>
              <w:rPr>
                <w:rFonts w:ascii="Cambria Math" w:hAnsi="Cambria Math" w:cs="Times New Roman"/>
                <w:sz w:val="24"/>
              </w:rPr>
              <m:t>(r)</m:t>
            </m:r>
          </m:sup>
        </m:sSubSup>
        <m:r>
          <w:rPr>
            <w:rFonts w:ascii="Cambria Math" w:hAnsi="Cambria Math" w:cs="Times New Roman"/>
            <w:sz w:val="24"/>
          </w:rPr>
          <m:t>~Normal(0,1)</m:t>
        </m:r>
      </m:oMath>
      <w:r>
        <w:rPr>
          <w:rFonts w:ascii="Times New Roman" w:hAnsi="Times New Roman" w:cs="Times New Roman"/>
          <w:sz w:val="24"/>
        </w:rPr>
        <w:t xml:space="preserve">. </w:t>
      </w:r>
      <w:r w:rsidRPr="00075BA6">
        <w:rPr>
          <w:rFonts w:ascii="Times New Roman" w:hAnsi="Times New Roman" w:cs="Times New Roman"/>
          <w:sz w:val="24"/>
        </w:rPr>
        <w:t xml:space="preserve">This formulation is a strict non-centered parameterization for both hierarchical layers, decoupling location and scale parameters in the unconstrained sampling space and preventing the pathological posterior geometry known </w:t>
      </w:r>
      <w:r w:rsidRPr="00075BA6">
        <w:rPr>
          <w:rFonts w:ascii="Times New Roman" w:hAnsi="Times New Roman" w:cs="Times New Roman"/>
          <w:sz w:val="24"/>
        </w:rPr>
        <w:lastRenderedPageBreak/>
        <w:t xml:space="preserve">as Neal's funnel </w:t>
      </w:r>
      <w:r w:rsidR="008B2469">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{"citationID":"KfbUlsRG","properties":{"unsorted":false,"formattedCitation":"(Betancourt &amp; Girolami, 2015)","plainCitation":"(Betancourt &amp; Girolami, 2015)","noteIndex":0},"citationItems":[{"id":391,"uris":["http://zotero.org/users/19944767/items/S29HKJ4K"],"itemData":{"id":391,"type":"book","edition":"1st Edition","publisher":"Chapman and Hall/CRC.","title":"Hamiltonian Monte Carlo for hierarchical models.","author":[{"family":"Betancourt","given":"M."},{"family":"Girolami","given":"M."}],"issued":{"date-parts":[["2015"]]}}}],"schema":"https://github.com/citation-style-language/schema/raw/master/csl-citation.json"} </w:instrText>
      </w:r>
      <w:r w:rsidR="008B2469">
        <w:rPr>
          <w:rFonts w:ascii="Times New Roman" w:hAnsi="Times New Roman" w:cs="Times New Roman"/>
          <w:sz w:val="24"/>
        </w:rPr>
        <w:fldChar w:fldCharType="separate"/>
      </w:r>
      <w:r w:rsidR="008B2469">
        <w:rPr>
          <w:rFonts w:ascii="Times New Roman" w:hAnsi="Times New Roman" w:cs="Times New Roman"/>
          <w:noProof/>
          <w:sz w:val="24"/>
        </w:rPr>
        <w:t>(Betancourt &amp; Girolami, 2015)</w:t>
      </w:r>
      <w:r w:rsidR="008B2469">
        <w:rPr>
          <w:rFonts w:ascii="Times New Roman" w:hAnsi="Times New Roman" w:cs="Times New Roman"/>
          <w:sz w:val="24"/>
        </w:rPr>
        <w:fldChar w:fldCharType="end"/>
      </w:r>
      <w:r w:rsidRPr="00075BA6">
        <w:rPr>
          <w:rFonts w:ascii="Times New Roman" w:hAnsi="Times New Roman" w:cs="Times New Roman"/>
          <w:sz w:val="24"/>
        </w:rPr>
        <w:t xml:space="preserve">. Substantively, the regional intercepts </w:t>
      </w:r>
      <m:oMath>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r</m:t>
            </m:r>
          </m:sub>
        </m:sSub>
      </m:oMath>
      <w:r w:rsidR="008B2469">
        <w:rPr>
          <w:rFonts w:ascii="Times New Roman" w:hAnsi="Times New Roman" w:cs="Times New Roman"/>
          <w:sz w:val="24"/>
        </w:rPr>
        <w:t xml:space="preserve"> </w:t>
      </w:r>
      <w:r w:rsidRPr="00075BA6">
        <w:rPr>
          <w:rFonts w:ascii="Times New Roman" w:hAnsi="Times New Roman" w:cs="Times New Roman"/>
          <w:sz w:val="24"/>
        </w:rPr>
        <w:t xml:space="preserve">absorb the dependence structure that countries inherit from shared sub-regional history, geography, and policy diffusion, so that the coefficients of association </w:t>
      </w:r>
      <m:oMath>
        <m:r>
          <w:rPr>
            <w:rFonts w:ascii="Cambria Math" w:hAnsi="Cambria Math" w:cs="Times New Roman"/>
            <w:sz w:val="24"/>
          </w:rPr>
          <m:t xml:space="preserve">ϕ, </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r w:rsidR="008B2469">
        <w:rPr>
          <w:rFonts w:ascii="Times New Roman" w:hAnsi="Times New Roman" w:cs="Times New Roman"/>
          <w:sz w:val="24"/>
        </w:rPr>
        <w:t xml:space="preserve">, and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075BA6">
        <w:rPr>
          <w:rFonts w:ascii="Times New Roman" w:hAnsi="Times New Roman" w:cs="Times New Roman"/>
          <w:sz w:val="24"/>
        </w:rPr>
        <w:t xml:space="preserve"> are identified from variation that is plausibly orthogonal to the regional clustering pattern.</w:t>
      </w:r>
    </w:p>
    <w:p w14:paraId="4074BF0D" w14:textId="77777777" w:rsidR="008B2469" w:rsidRPr="008B2469" w:rsidRDefault="00075BA6" w:rsidP="00075BA6">
      <w:pPr>
        <w:spacing w:line="480" w:lineRule="auto"/>
        <w:rPr>
          <w:rFonts w:ascii="Times New Roman" w:hAnsi="Times New Roman" w:cs="Times New Roman"/>
          <w:i/>
          <w:iCs/>
          <w:sz w:val="24"/>
        </w:rPr>
      </w:pPr>
      <w:r w:rsidRPr="008B2469">
        <w:rPr>
          <w:rFonts w:ascii="Times New Roman" w:hAnsi="Times New Roman" w:cs="Times New Roman"/>
          <w:i/>
          <w:iCs/>
          <w:sz w:val="24"/>
        </w:rPr>
        <w:t>Macro-structural inertia via the autoregressive term</w:t>
      </w:r>
    </w:p>
    <w:p w14:paraId="3E87C664" w14:textId="7E9488E5" w:rsidR="00075BA6" w:rsidRPr="00075BA6" w:rsidRDefault="006B2679" w:rsidP="00075BA6">
      <w:pPr>
        <w:spacing w:line="480" w:lineRule="auto"/>
        <w:rPr>
          <w:rFonts w:ascii="Times New Roman" w:hAnsi="Times New Roman" w:cs="Times New Roman"/>
          <w:sz w:val="24"/>
        </w:rPr>
      </w:pPr>
      <w:r w:rsidRPr="006B2679">
        <w:rPr>
          <w:rFonts w:ascii="Times New Roman" w:hAnsi="Times New Roman" w:cs="Times New Roman"/>
          <w:sz w:val="24"/>
        </w:rPr>
        <w:t xml:space="preserve">The parameter </w:t>
      </w:r>
      <m:oMath>
        <m:r>
          <w:rPr>
            <w:rFonts w:ascii="Cambria Math" w:hAnsi="Cambria Math" w:cs="Times New Roman"/>
            <w:sz w:val="24"/>
          </w:rPr>
          <m:t>ϕ</m:t>
        </m:r>
      </m:oMath>
      <w:r w:rsidRPr="006B2679">
        <w:rPr>
          <w:rFonts w:ascii="Times New Roman" w:hAnsi="Times New Roman" w:cs="Times New Roman"/>
          <w:sz w:val="24"/>
        </w:rPr>
        <w:t xml:space="preserve"> on the lagged outcome delivers a direct posterior-credible quantification of the year-on-year persistence of social polarization. The acute pandemic-shock parameters </w:t>
      </w:r>
      <w:bookmarkStart w:id="0" w:name="_Hlk228707426"/>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bookmarkEnd w:id="0"/>
      <w:r w:rsidRPr="006B2679">
        <w:rPr>
          <w:rFonts w:ascii="Times New Roman" w:hAnsi="Times New Roman" w:cs="Times New Roman"/>
          <w:sz w:val="24"/>
        </w:rPr>
        <w:t xml:space="preserve"> and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6B2679">
        <w:rPr>
          <w:rFonts w:ascii="Times New Roman" w:hAnsi="Times New Roman" w:cs="Times New Roman"/>
          <w:sz w:val="24"/>
        </w:rPr>
        <w:t xml:space="preserve"> are therefore associations with the residual, non-inertial component of the outcome — i.e., the year-to-year deviation that the entrenched trajectory cannot already account for. </w:t>
      </w:r>
      <w:r w:rsidR="0099616B" w:rsidRPr="0099616B">
        <w:rPr>
          <w:rFonts w:ascii="Times New Roman" w:hAnsi="Times New Roman" w:cs="Times New Roman"/>
          <w:sz w:val="24"/>
        </w:rPr>
        <w:t xml:space="preserve">Because the country-level intercepts are partially pooled within UN sub-regions rather than estimated as fixed within-country deviations, the dynamic specification mitigates the classical Nickell bias </w:t>
      </w:r>
      <w:r w:rsidR="0099616B">
        <w:rPr>
          <w:rFonts w:ascii="Times New Roman" w:hAnsi="Times New Roman" w:cs="Times New Roman"/>
          <w:sz w:val="24"/>
        </w:rPr>
        <w:fldChar w:fldCharType="begin"/>
      </w:r>
      <w:r w:rsidR="0099616B">
        <w:rPr>
          <w:rFonts w:ascii="Times New Roman" w:hAnsi="Times New Roman" w:cs="Times New Roman"/>
          <w:sz w:val="24"/>
        </w:rPr>
        <w:instrText xml:space="preserve"> ADDIN ZOTERO_ITEM CSL_CITATION {"citationID":"omvdL6pt","properties":{"unsorted":false,"formattedCitation":"(Nickell, 1981)","plainCitation":"(Nickell, 1981)","noteIndex":0},"citationItems":[{"id":423,"uris":["http://zotero.org/users/19944767/items/2M2QHGYV"],"itemData":{"id":423,"type":"article-journal","container-title":"Econometrica","DOI":"10.2307/1911408","ISSN":"00129682","issue":"6","journalAbbreviation":"Econometrica","page":"1417","source":"DOI.org (Crossref)","title":"Biases in Dynamic Models with Fixed Effects","volume":"49","author":[{"family":"Nickell","given":"Stephen"}],"issued":{"date-parts":[["1981",11]]}}}],"schema":"https://github.com/citation-style-language/schema/raw/master/csl-citation.json"} </w:instrText>
      </w:r>
      <w:r w:rsidR="0099616B">
        <w:rPr>
          <w:rFonts w:ascii="Times New Roman" w:hAnsi="Times New Roman" w:cs="Times New Roman"/>
          <w:sz w:val="24"/>
        </w:rPr>
        <w:fldChar w:fldCharType="separate"/>
      </w:r>
      <w:r w:rsidR="0099616B">
        <w:rPr>
          <w:rFonts w:ascii="Times New Roman" w:hAnsi="Times New Roman" w:cs="Times New Roman"/>
          <w:noProof/>
          <w:sz w:val="24"/>
        </w:rPr>
        <w:t>(Nickell, 1981)</w:t>
      </w:r>
      <w:r w:rsidR="0099616B">
        <w:rPr>
          <w:rFonts w:ascii="Times New Roman" w:hAnsi="Times New Roman" w:cs="Times New Roman"/>
          <w:sz w:val="24"/>
        </w:rPr>
        <w:fldChar w:fldCharType="end"/>
      </w:r>
      <w:r w:rsidR="0099616B" w:rsidRPr="0099616B">
        <w:rPr>
          <w:rFonts w:ascii="Times New Roman" w:hAnsi="Times New Roman" w:cs="Times New Roman"/>
          <w:sz w:val="24"/>
        </w:rPr>
        <w:t xml:space="preserve"> that arises when a within-country demeaning transformation is combined with a lagged dependent variable in short panels — it does not eliminate it. With only T = 6 within-country observations per panel, finite-sample bias in the autoregressive parameter remains a theoretical possibility; under the present hierarchical specification, however, any such bias is bounded by the partial-pooling shrinkage that the regional and country-level priors impose on the intercepts, rather than being deterministically induced by within-group </w:t>
      </w:r>
      <w:r w:rsidR="0099616B" w:rsidRPr="0099616B">
        <w:rPr>
          <w:rFonts w:ascii="Times New Roman" w:hAnsi="Times New Roman" w:cs="Times New Roman"/>
          <w:sz w:val="24"/>
        </w:rPr>
        <w:lastRenderedPageBreak/>
        <w:t>demeaning as it would be under a classical fixed-effects estimator.</w:t>
      </w:r>
    </w:p>
    <w:p w14:paraId="33BA9CC6" w14:textId="77777777" w:rsidR="008B2469" w:rsidRPr="008B2469" w:rsidRDefault="00075BA6" w:rsidP="00075BA6">
      <w:pPr>
        <w:spacing w:line="480" w:lineRule="auto"/>
        <w:rPr>
          <w:rFonts w:ascii="Times New Roman" w:hAnsi="Times New Roman" w:cs="Times New Roman"/>
          <w:i/>
          <w:iCs/>
          <w:sz w:val="24"/>
        </w:rPr>
      </w:pPr>
      <w:r w:rsidRPr="008B2469">
        <w:rPr>
          <w:rFonts w:ascii="Times New Roman" w:hAnsi="Times New Roman" w:cs="Times New Roman"/>
          <w:i/>
          <w:iCs/>
          <w:sz w:val="24"/>
        </w:rPr>
        <w:t>Priors</w:t>
      </w:r>
    </w:p>
    <w:p w14:paraId="79D2BB8C" w14:textId="139E1C91" w:rsidR="00075BA6" w:rsidRPr="00075BA6" w:rsidRDefault="00075BA6" w:rsidP="00075BA6">
      <w:pPr>
        <w:spacing w:line="480" w:lineRule="auto"/>
        <w:rPr>
          <w:rFonts w:ascii="Times New Roman" w:hAnsi="Times New Roman" w:cs="Times New Roman"/>
          <w:sz w:val="24"/>
        </w:rPr>
      </w:pPr>
      <w:r w:rsidRPr="00075BA6">
        <w:rPr>
          <w:rFonts w:ascii="Times New Roman" w:hAnsi="Times New Roman" w:cs="Times New Roman"/>
          <w:sz w:val="24"/>
        </w:rPr>
        <w:t>We use weakly informative priors on the standardized regressor scale:</w:t>
      </w:r>
    </w:p>
    <w:p w14:paraId="2471E62B" w14:textId="32BBAD66" w:rsidR="00075BA6" w:rsidRPr="00075BA6" w:rsidRDefault="00000000" w:rsidP="00075BA6">
      <w:pPr>
        <w:spacing w:line="480" w:lineRule="auto"/>
        <w:rPr>
          <w:rFonts w:ascii="Times New Roman" w:hAnsi="Times New Roman" w:cs="Times New Roman"/>
          <w:sz w:val="24"/>
        </w:rPr>
      </w:pPr>
      <m:oMath>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α</m:t>
            </m:r>
          </m:sub>
        </m:sSub>
        <m:r>
          <w:rPr>
            <w:rFonts w:ascii="Cambria Math" w:hAnsi="Cambria Math" w:cs="Times New Roman"/>
            <w:sz w:val="24"/>
          </w:rPr>
          <m:t xml:space="preserve">~Normal(0, 2), ϕ, </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r>
          <w:rPr>
            <w:rFonts w:ascii="Cambria Math" w:hAnsi="Cambria Math" w:cs="Times New Roman"/>
            <w:sz w:val="24"/>
          </w:rPr>
          <m:t xml:space="preserve">, γ~Norma(0, 1), </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region</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country</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y</m:t>
            </m:r>
          </m:sub>
        </m:sSub>
        <m:r>
          <w:rPr>
            <w:rFonts w:ascii="Cambria Math" w:hAnsi="Cambria Math" w:cs="Times New Roman"/>
            <w:sz w:val="24"/>
          </w:rPr>
          <m:t>~Half-Norma(1)</m:t>
        </m:r>
      </m:oMath>
      <w:r w:rsidR="008B2469">
        <w:rPr>
          <w:rFonts w:ascii="Times New Roman" w:hAnsi="Times New Roman" w:cs="Times New Roman"/>
          <w:sz w:val="24"/>
        </w:rPr>
        <w:t>.</w:t>
      </w:r>
    </w:p>
    <w:p w14:paraId="0A6A03F5" w14:textId="70D5D953" w:rsidR="00075BA6" w:rsidRPr="00075BA6" w:rsidRDefault="00075BA6" w:rsidP="00075BA6">
      <w:pPr>
        <w:spacing w:line="480" w:lineRule="auto"/>
        <w:rPr>
          <w:rFonts w:ascii="Times New Roman" w:hAnsi="Times New Roman" w:cs="Times New Roman"/>
          <w:sz w:val="24"/>
        </w:rPr>
      </w:pPr>
      <w:r w:rsidRPr="00075BA6">
        <w:rPr>
          <w:rFonts w:ascii="Times New Roman" w:hAnsi="Times New Roman" w:cs="Times New Roman"/>
          <w:sz w:val="24"/>
        </w:rPr>
        <w:t xml:space="preserve">These priors regularize coefficients toward zero without imposing substantively informative constraints, are calibrated to the standardized predictor scale, and accord with current recommendations for default priors in regression settings </w:t>
      </w:r>
      <w:r w:rsidR="008B2469">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{"citationID":"PrEVI2L8","properties":{"unsorted":false,"formattedCitation":"(Gelman et al., 2008)","plainCitation":"(Gelman et al., 2008)","noteIndex":0},"citationItems":[{"id":402,"uris":["http://zotero.org/users/19944767/items/SQ3MUYYI"],"itemData":{"id":402,"type":"article-journal","container-title":"The Annals of Applied Statistics","DOI":"10.1214/08-AOAS191","ISSN":"1932-6157","issue":"4","journalAbbreviation":"Ann. Appl. Stat.","source":"DOI.org (Crossref)","title":"A weakly informative default prior distribution for logistic and other regression models","URL":"https://projecteuclid.org/journals/annals-of-applied-statistics/volume-2/issue-4/A-weakly-informative-default-prior-distribution-for-logistic-and-other/10.1214/08-AOAS191.full","volume":"2","author":[{"family":"Gelman","given":"Andrew"},{"family":"Jakulin","given":"Aleks"},{"family":"Pittau","given":"Maria Grazia"},{"family":"Su","given":"Yu-Sung"}],"accessed":{"date-parts":[["2026",4,30]]},"issued":{"date-parts":[["2008",12,1]]}}}],"schema":"https://github.com/citation-style-language/schema/raw/master/csl-citation.json"} </w:instrText>
      </w:r>
      <w:r w:rsidR="008B2469">
        <w:rPr>
          <w:rFonts w:ascii="Times New Roman" w:hAnsi="Times New Roman" w:cs="Times New Roman"/>
          <w:sz w:val="24"/>
        </w:rPr>
        <w:fldChar w:fldCharType="separate"/>
      </w:r>
      <w:r w:rsidR="008B2469">
        <w:rPr>
          <w:rFonts w:ascii="Times New Roman" w:hAnsi="Times New Roman" w:cs="Times New Roman"/>
          <w:noProof/>
          <w:sz w:val="24"/>
        </w:rPr>
        <w:t>(Gelman et al., 2008)</w:t>
      </w:r>
      <w:r w:rsidR="008B2469">
        <w:rPr>
          <w:rFonts w:ascii="Times New Roman" w:hAnsi="Times New Roman" w:cs="Times New Roman"/>
          <w:sz w:val="24"/>
        </w:rPr>
        <w:fldChar w:fldCharType="end"/>
      </w:r>
      <w:r w:rsidR="008B2469">
        <w:rPr>
          <w:rFonts w:ascii="Times New Roman" w:hAnsi="Times New Roman" w:cs="Times New Roman"/>
          <w:sz w:val="24"/>
        </w:rPr>
        <w:t>.</w:t>
      </w:r>
    </w:p>
    <w:p w14:paraId="79207352" w14:textId="77777777" w:rsidR="008B2469" w:rsidRDefault="00075BA6" w:rsidP="00075BA6">
      <w:pPr>
        <w:spacing w:line="480" w:lineRule="auto"/>
        <w:rPr>
          <w:rFonts w:ascii="Times New Roman" w:hAnsi="Times New Roman" w:cs="Times New Roman"/>
          <w:sz w:val="24"/>
        </w:rPr>
      </w:pPr>
      <w:r w:rsidRPr="008B2469">
        <w:rPr>
          <w:rFonts w:ascii="Times New Roman" w:hAnsi="Times New Roman" w:cs="Times New Roman"/>
          <w:i/>
          <w:iCs/>
          <w:sz w:val="24"/>
        </w:rPr>
        <w:t>Computation and convergence</w:t>
      </w:r>
    </w:p>
    <w:p w14:paraId="712BDE4B" w14:textId="711A4EAC" w:rsidR="00075BA6" w:rsidRPr="00075BA6" w:rsidRDefault="00075BA6" w:rsidP="00075BA6">
      <w:pPr>
        <w:spacing w:line="480" w:lineRule="auto"/>
        <w:rPr>
          <w:rFonts w:ascii="Times New Roman" w:hAnsi="Times New Roman" w:cs="Times New Roman"/>
          <w:sz w:val="24"/>
        </w:rPr>
      </w:pPr>
      <w:r w:rsidRPr="00075BA6">
        <w:rPr>
          <w:rFonts w:ascii="Times New Roman" w:hAnsi="Times New Roman" w:cs="Times New Roman"/>
          <w:sz w:val="24"/>
        </w:rPr>
        <w:t xml:space="preserve">The model is implemented in Python 3.12 using </w:t>
      </w:r>
      <w:proofErr w:type="spellStart"/>
      <w:r w:rsidRPr="00075BA6">
        <w:rPr>
          <w:rFonts w:ascii="Times New Roman" w:hAnsi="Times New Roman" w:cs="Times New Roman"/>
          <w:sz w:val="24"/>
        </w:rPr>
        <w:t>PyMC</w:t>
      </w:r>
      <w:proofErr w:type="spellEnd"/>
      <w:r w:rsidRPr="00075BA6">
        <w:rPr>
          <w:rFonts w:ascii="Times New Roman" w:hAnsi="Times New Roman" w:cs="Times New Roman"/>
          <w:sz w:val="24"/>
        </w:rPr>
        <w:t xml:space="preserve"> v5 </w:t>
      </w:r>
      <w:r w:rsidR="008B2469">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{"citationID":"7UjLP4MA","properties":{"unsorted":false,"formattedCitation":"(Abril-Pla et al., 2023)","plainCitation":"(Abril-Pla et al., 2023)","noteIndex":0},"citationItems":[{"id":390,"uris":["http://zotero.org/users/19944767/items/MIHFDJ8U"],"itemData":{"id":390,"type":"article-journal","abstract":"PyMC is a probabilistic programming library for Python that provides tools for constructing and fitting Bayesian models. It offers an intuitive, readable syntax that is close to the natural syntax statisticians use to describe models. PyMC leverages the symbolic computation library PyTensor, allowing it to be compiled into a variety of computational backends, such as C, JAX, and Numba, which in turn offer access to different computational architectures including CPU, GPU, and TPU. Being a general modeling framework, PyMC supports a variety of models including generalized hierarchical linear regression and classification, time series, ordinary differential equations (ODEs), and non-parametric models such as Gaussian processes (GPs). We demonstrate PyMC’s versatility and ease of use with examples spanning a range of common statistical models. Additionally, we discuss the positive role of PyMC in the development of the open-source ecosystem for probabilistic programming.","container-title":"PeerJ Computer Science","DOI":"10.7717/peerj-cs.1516","ISSN":"2376-5992","language":"en","license":"https://creativecommons.org/licenses/by/4.0/","page":"e1516","source":"DOI.org (Crossref)","title":"PyMC: a modern, and comprehensive probabilistic programming framework in Python","title-short":"PyMC","volume":"9","author":[{"family":"Abril-Pla","given":"Oriol"},{"family":"Andreani","given":"Virgile"},{"family":"Carroll","given":"Colin"},{"family":"Dong","given":"Larry"},{"family":"Fonnesbeck","given":"Christopher J."},{"family":"Kochurov","given":"Maxim"},{"family":"Kumar","given":"Ravin"},{"family":"Lao","given":"Junpeng"},{"family":"Luhmann","given":"Christian C."},{"family":"Martin","given":"Osvaldo A."},{"family":"Osthege","given":"Michael"},{"family":"Vieira","given":"Ricardo"},{"family":"Wiecki","given":"Thomas"},{"family":"Zinkov","given":"Robert"}],"issued":{"date-parts":[["2023",9,1]]}}}],"schema":"https://github.com/citation-style-language/schema/raw/master/csl-citation.json"} </w:instrText>
      </w:r>
      <w:r w:rsidR="008B2469">
        <w:rPr>
          <w:rFonts w:ascii="Times New Roman" w:hAnsi="Times New Roman" w:cs="Times New Roman"/>
          <w:sz w:val="24"/>
        </w:rPr>
        <w:fldChar w:fldCharType="separate"/>
      </w:r>
      <w:r w:rsidR="008B2469">
        <w:rPr>
          <w:rFonts w:ascii="Times New Roman" w:hAnsi="Times New Roman" w:cs="Times New Roman"/>
          <w:noProof/>
          <w:sz w:val="24"/>
        </w:rPr>
        <w:t>(Abril-Pla et al., 2023)</w:t>
      </w:r>
      <w:r w:rsidR="008B2469">
        <w:rPr>
          <w:rFonts w:ascii="Times New Roman" w:hAnsi="Times New Roman" w:cs="Times New Roman"/>
          <w:sz w:val="24"/>
        </w:rPr>
        <w:fldChar w:fldCharType="end"/>
      </w:r>
      <w:r w:rsidRPr="00075BA6">
        <w:rPr>
          <w:rFonts w:ascii="Times New Roman" w:hAnsi="Times New Roman" w:cs="Times New Roman"/>
          <w:sz w:val="24"/>
        </w:rPr>
        <w:t xml:space="preserve">. Posterior sampling uses the No-U-Turn Sampler — an adaptive Hamiltonian Monte Carlo algorithm </w:t>
      </w:r>
      <w:r w:rsidR="008B2469">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{"citationID":"Ft6Xrlwy","properties":{"unsorted":false,"formattedCitation":"(Hoffman &amp; Gelman, 2014)","plainCitation":"(Hoffman &amp; Gelman, 2014)","noteIndex":0},"citationItems":[{"id":398,"uris":["http://zotero.org/users/19944767/items/5ZC7MDMG"],"itemData":{"id":398,"type":"article-journal","container-title":"Journal of Machine Learning Research","issue":"47","page":"1593–1623.","title":"The No-U-Turn sampler: Adaptively setting path lengths in Hamiltonian Monte Carlo.","volume":"15","author":[{"family":"Hoffman","given":"M. D."},{"family":"Gelman","given":"A."}],"issued":{"date-parts":[["2014"]]}}}],"schema":"https://github.com/citation-style-language/schema/raw/master/csl-citation.json"} </w:instrText>
      </w:r>
      <w:r w:rsidR="008B2469">
        <w:rPr>
          <w:rFonts w:ascii="Times New Roman" w:hAnsi="Times New Roman" w:cs="Times New Roman"/>
          <w:sz w:val="24"/>
        </w:rPr>
        <w:fldChar w:fldCharType="separate"/>
      </w:r>
      <w:r w:rsidR="008B2469">
        <w:rPr>
          <w:rFonts w:ascii="Times New Roman" w:hAnsi="Times New Roman" w:cs="Times New Roman"/>
          <w:noProof/>
          <w:sz w:val="24"/>
        </w:rPr>
        <w:t>(Hoffman &amp; Gelman, 2014)</w:t>
      </w:r>
      <w:r w:rsidR="008B2469">
        <w:rPr>
          <w:rFonts w:ascii="Times New Roman" w:hAnsi="Times New Roman" w:cs="Times New Roman"/>
          <w:sz w:val="24"/>
        </w:rPr>
        <w:fldChar w:fldCharType="end"/>
      </w:r>
      <w:r w:rsidRPr="00075BA6">
        <w:rPr>
          <w:rFonts w:ascii="Times New Roman" w:hAnsi="Times New Roman" w:cs="Times New Roman"/>
          <w:sz w:val="24"/>
        </w:rPr>
        <w:t xml:space="preserve"> — with 4 chains, 2,000 tuning iterations, and 2,000 post-warmup draws per chain (8,000 post-warmup draws in total). The target acceptance probability is set to 0.95 to suppress divergent transitions in the hierarchical geometry. </w:t>
      </w:r>
      <w:r w:rsidR="00373093" w:rsidRPr="00373093">
        <w:rPr>
          <w:rFonts w:ascii="Times New Roman" w:hAnsi="Times New Roman" w:cs="Times New Roman"/>
          <w:sz w:val="24"/>
        </w:rPr>
        <w:t>Convergence is assessed using the rank-normalized split-</w:t>
      </w:r>
      <m:oMath>
        <m:acc>
          <m:accPr>
            <m:ctrlPr>
              <w:rPr>
                <w:rFonts w:ascii="Cambria Math" w:hAnsi="Cambria Math" w:cs="Times New Roman"/>
                <w:i/>
                <w:sz w:val="24"/>
              </w:rPr>
            </m:ctrlPr>
          </m:accPr>
          <m:e>
            <m:r>
              <w:rPr>
                <w:rFonts w:ascii="Cambria Math" w:hAnsi="Cambria Math" w:cs="Times New Roman"/>
                <w:sz w:val="24"/>
              </w:rPr>
              <m:t>R</m:t>
            </m:r>
          </m:e>
        </m:acc>
      </m:oMath>
      <w:r w:rsidR="00373093" w:rsidRPr="00373093">
        <w:rPr>
          <w:rFonts w:ascii="Times New Roman" w:hAnsi="Times New Roman" w:cs="Times New Roman"/>
          <w:sz w:val="24"/>
        </w:rPr>
        <w:t xml:space="preserve"> statistic and the bulk effective sample size for every monitored parameter </w:t>
      </w:r>
      <w:r w:rsidR="00373093">
        <w:rPr>
          <w:rFonts w:ascii="Times New Roman" w:hAnsi="Times New Roman" w:cs="Times New Roman"/>
          <w:sz w:val="24"/>
        </w:rPr>
        <w:fldChar w:fldCharType="begin"/>
      </w:r>
      <w:r w:rsidR="00373093">
        <w:rPr>
          <w:rFonts w:ascii="Times New Roman" w:hAnsi="Times New Roman" w:cs="Times New Roman"/>
          <w:sz w:val="24"/>
        </w:rPr>
        <w:instrText xml:space="preserve"> ADDIN ZOTERO_ITEM CSL_CITATION {"citationID":"5UXop6U5","properties":{"unsorted":false,"formattedCitation":"(Vehtari et al., 2021)","plainCitation":"(Vehtari et al., 2021)","noteIndex":0},"citationItems":[{"id":392,"uris":["http://zotero.org/users/19944767/items/TLCVQER3"],"itemData":{"id":392,"type":"article-journal","container-title":"Bayesian Analysis","DOI":"10.1214/20-BA1221","ISSN":"1936-0975","issue":"2","journalAbbreviation":"Bayesian Anal.","source":"DOI.org (Crossref)","title":"Rank-normalization, folding, and localization: an improved rˆ for assessing convergence of MCMC (with discussion)","title-short":"Rank-normalization, folding, and localization","URL":"https://projecteuclid.org/journals/bayesian-analysis/volume-16/issue-2/Rank-Normalization-Folding-and-Localization--An-Improved-R%cb%86-for/10.1214/20-BA1221.full","volume":"16","author":[{"family":"Vehtari","given":"Aki"},{"family":"Gelman","given":"Andrew"},{"family":"Simpson","given":"Daniel"},{"family":"Carpenter","given":"Bob"},{"family":"Bürkner","given":"Paul-Christian"}],"accessed":{"date-parts":[["2026",4,30]]},"issued":{"date-parts":[["2021",6,1]]}}}],"schema":"https://github.com/citation-style-language/schema/raw/master/csl-citation.json"} </w:instrText>
      </w:r>
      <w:r w:rsidR="00373093">
        <w:rPr>
          <w:rFonts w:ascii="Times New Roman" w:hAnsi="Times New Roman" w:cs="Times New Roman"/>
          <w:sz w:val="24"/>
        </w:rPr>
        <w:fldChar w:fldCharType="separate"/>
      </w:r>
      <w:r w:rsidR="00373093">
        <w:rPr>
          <w:rFonts w:ascii="Times New Roman" w:hAnsi="Times New Roman" w:cs="Times New Roman"/>
          <w:noProof/>
          <w:sz w:val="24"/>
        </w:rPr>
        <w:t>(Vehtari et al., 2021)</w:t>
      </w:r>
      <w:r w:rsidR="00373093">
        <w:rPr>
          <w:rFonts w:ascii="Times New Roman" w:hAnsi="Times New Roman" w:cs="Times New Roman"/>
          <w:sz w:val="24"/>
        </w:rPr>
        <w:fldChar w:fldCharType="end"/>
      </w:r>
      <w:r w:rsidR="00373093" w:rsidRPr="00373093">
        <w:rPr>
          <w:rFonts w:ascii="Times New Roman" w:hAnsi="Times New Roman" w:cs="Times New Roman"/>
          <w:sz w:val="24"/>
        </w:rPr>
        <w:t xml:space="preserve">; we require </w:t>
      </w:r>
      <m:oMath>
        <m:acc>
          <m:accPr>
            <m:ctrlPr>
              <w:rPr>
                <w:rFonts w:ascii="Cambria Math" w:hAnsi="Cambria Math" w:cs="Times New Roman"/>
                <w:i/>
                <w:sz w:val="24"/>
              </w:rPr>
            </m:ctrlPr>
          </m:accPr>
          <m:e>
            <m:r>
              <w:rPr>
                <w:rFonts w:ascii="Cambria Math" w:hAnsi="Cambria Math" w:cs="Times New Roman"/>
                <w:sz w:val="24"/>
              </w:rPr>
              <m:t>R</m:t>
            </m:r>
          </m:e>
        </m:acc>
        <m:r>
          <w:rPr>
            <w:rFonts w:ascii="Cambria Math" w:hAnsi="Cambria Math" w:cs="Times New Roman"/>
            <w:sz w:val="24"/>
          </w:rPr>
          <m:t>≤</m:t>
        </m:r>
      </m:oMath>
      <w:r w:rsidR="00373093" w:rsidRPr="00373093">
        <w:rPr>
          <w:rFonts w:ascii="Times New Roman" w:hAnsi="Times New Roman" w:cs="Times New Roman"/>
          <w:sz w:val="24"/>
        </w:rPr>
        <w:t xml:space="preserve"> 1.01 and bulk ESS &gt; 400 across all parameters of interest.</w:t>
      </w:r>
      <w:r w:rsidRPr="00075BA6">
        <w:rPr>
          <w:rFonts w:ascii="Times New Roman" w:hAnsi="Times New Roman" w:cs="Times New Roman"/>
          <w:sz w:val="24"/>
        </w:rPr>
        <w:t xml:space="preserve"> Posterior summaries are computed with </w:t>
      </w:r>
      <w:proofErr w:type="spellStart"/>
      <w:r w:rsidRPr="00075BA6">
        <w:rPr>
          <w:rFonts w:ascii="Times New Roman" w:hAnsi="Times New Roman" w:cs="Times New Roman"/>
          <w:sz w:val="24"/>
        </w:rPr>
        <w:t>ArviZ</w:t>
      </w:r>
      <w:proofErr w:type="spellEnd"/>
      <w:r w:rsidRPr="00075BA6">
        <w:rPr>
          <w:rFonts w:ascii="Times New Roman" w:hAnsi="Times New Roman" w:cs="Times New Roman"/>
          <w:sz w:val="24"/>
        </w:rPr>
        <w:t xml:space="preserve"> </w:t>
      </w:r>
      <w:r w:rsidR="008B2469">
        <w:rPr>
          <w:rFonts w:ascii="Times New Roman" w:hAnsi="Times New Roman" w:cs="Times New Roman"/>
          <w:sz w:val="24"/>
        </w:rPr>
        <w:fldChar w:fldCharType="begin"/>
      </w:r>
      <w:r w:rsidR="00C8001A">
        <w:rPr>
          <w:rFonts w:ascii="Times New Roman" w:hAnsi="Times New Roman" w:cs="Times New Roman"/>
          <w:sz w:val="24"/>
        </w:rPr>
        <w:instrText xml:space="preserve"> ADDIN ZOTERO_ITEM CSL_CITATION {"citationID":"kX8grSS3","properties":{"unsorted":false,"formattedCitation":"(Kumar et al., 2019)","plainCitation":"(Kumar et al., 2019)","noteIndex":0},"citationItems":[{"id":396,"uris":["http://zotero.org/users/19944767/items/RTWZTGYJ"],"itemData":{"id":396,"type":"article-journal","container-title":"Journal of Open Source Software","DOI":"10.21105/joss.01143","ISSN":"2475-9066","issue":"33","journalAbbreviation":"JOSS","license":"http://creativecommons.org/licenses/by/4.0/","page":"1143","source":"DOI.org (Crossref)","title":"ArviZ a unified library for exploratory analysis of Bayesian models in Python","volume":"4","author":[{"family":"Kumar","given":"Ravin"},{"family":"Carroll","given":"Colin"},{"family":"Hartikainen","given":"Ari"},{"family":"Martin","given":"Osvaldo"}],"issued":{"date-parts":[["2019",1,15]]}}}],"schema":"https://github.com/citation-style-language/schema/raw/master/csl-citation.json"} </w:instrText>
      </w:r>
      <w:r w:rsidR="008B2469">
        <w:rPr>
          <w:rFonts w:ascii="Times New Roman" w:hAnsi="Times New Roman" w:cs="Times New Roman"/>
          <w:sz w:val="24"/>
        </w:rPr>
        <w:fldChar w:fldCharType="separate"/>
      </w:r>
      <w:r w:rsidR="008B2469">
        <w:rPr>
          <w:rFonts w:ascii="Times New Roman" w:hAnsi="Times New Roman" w:cs="Times New Roman"/>
          <w:noProof/>
          <w:sz w:val="24"/>
        </w:rPr>
        <w:t>(Kumar et al., 2019)</w:t>
      </w:r>
      <w:r w:rsidR="008B2469">
        <w:rPr>
          <w:rFonts w:ascii="Times New Roman" w:hAnsi="Times New Roman" w:cs="Times New Roman"/>
          <w:sz w:val="24"/>
        </w:rPr>
        <w:fldChar w:fldCharType="end"/>
      </w:r>
      <w:r w:rsidRPr="00075BA6">
        <w:rPr>
          <w:rFonts w:ascii="Times New Roman" w:hAnsi="Times New Roman" w:cs="Times New Roman"/>
          <w:sz w:val="24"/>
        </w:rPr>
        <w:t>; we report posterior means together with 9</w:t>
      </w:r>
      <w:r w:rsidR="00373093">
        <w:rPr>
          <w:rFonts w:ascii="Times New Roman" w:hAnsi="Times New Roman" w:cs="Times New Roman"/>
          <w:sz w:val="24"/>
        </w:rPr>
        <w:t>5</w:t>
      </w:r>
      <w:r w:rsidRPr="00075BA6">
        <w:rPr>
          <w:rFonts w:ascii="Times New Roman" w:hAnsi="Times New Roman" w:cs="Times New Roman"/>
          <w:sz w:val="24"/>
        </w:rPr>
        <w:t>% highest-</w:t>
      </w:r>
      <w:r w:rsidRPr="00075BA6">
        <w:rPr>
          <w:rFonts w:ascii="Times New Roman" w:hAnsi="Times New Roman" w:cs="Times New Roman"/>
          <w:sz w:val="24"/>
        </w:rPr>
        <w:lastRenderedPageBreak/>
        <w:t>density intervals (HDIs) and treat a coefficient of association as credibly bounded away from zero only when its 9</w:t>
      </w:r>
      <w:r w:rsidR="00373093">
        <w:rPr>
          <w:rFonts w:ascii="Times New Roman" w:hAnsi="Times New Roman" w:cs="Times New Roman"/>
          <w:sz w:val="24"/>
        </w:rPr>
        <w:t>5</w:t>
      </w:r>
      <w:r w:rsidRPr="00075BA6">
        <w:rPr>
          <w:rFonts w:ascii="Times New Roman" w:hAnsi="Times New Roman" w:cs="Times New Roman"/>
          <w:sz w:val="24"/>
        </w:rPr>
        <w:t>% HDI excludes zero.</w:t>
      </w:r>
    </w:p>
    <w:p w14:paraId="47FE5B40" w14:textId="4385DC4E" w:rsidR="00075BA6" w:rsidRDefault="00075BA6" w:rsidP="006251FE">
      <w:pPr>
        <w:spacing w:line="480" w:lineRule="auto"/>
        <w:rPr>
          <w:rFonts w:ascii="Times New Roman" w:hAnsi="Times New Roman" w:cs="Times New Roman"/>
          <w:sz w:val="24"/>
        </w:rPr>
      </w:pPr>
    </w:p>
    <w:p w14:paraId="1B2B8A1E" w14:textId="77777777" w:rsidR="00075BA6" w:rsidRPr="00075BA6" w:rsidRDefault="00075BA6" w:rsidP="00075BA6">
      <w:pPr>
        <w:rPr>
          <w:rFonts w:ascii="Times New Roman" w:hAnsi="Times New Roman" w:cs="Times New Roman"/>
          <w:i/>
          <w:iCs/>
          <w:sz w:val="24"/>
        </w:rPr>
      </w:pPr>
      <w:r w:rsidRPr="00075BA6">
        <w:rPr>
          <w:rFonts w:ascii="Times New Roman" w:hAnsi="Times New Roman" w:cs="Times New Roman"/>
          <w:i/>
          <w:iCs/>
          <w:sz w:val="24"/>
        </w:rPr>
        <w:t>Sensitivity analyses</w:t>
      </w:r>
    </w:p>
    <w:p w14:paraId="13736F88" w14:textId="6871A3E3" w:rsidR="00075BA6" w:rsidRDefault="00075BA6" w:rsidP="006251FE">
      <w:pPr>
        <w:spacing w:line="480" w:lineRule="auto"/>
        <w:rPr>
          <w:rFonts w:ascii="Times New Roman" w:hAnsi="Times New Roman" w:cs="Times New Roman"/>
          <w:sz w:val="24"/>
        </w:rPr>
      </w:pPr>
      <w:r w:rsidRPr="00075BA6">
        <w:rPr>
          <w:rFonts w:ascii="Times New Roman" w:hAnsi="Times New Roman" w:cs="Times New Roman"/>
          <w:sz w:val="24"/>
        </w:rPr>
        <w:t>We pre-specify two Bayesian sensitivity analyses to probe the robustness of the primary association estimates. Both retain the hierarchical, non-centered backbone of the primary model and the same priors, sampler settings, and convergence thresholds.</w:t>
      </w:r>
    </w:p>
    <w:p w14:paraId="37160CED" w14:textId="2D404173" w:rsidR="00075BA6" w:rsidRDefault="00075BA6" w:rsidP="006251FE">
      <w:pPr>
        <w:spacing w:line="480" w:lineRule="auto"/>
        <w:rPr>
          <w:rFonts w:ascii="Times New Roman" w:hAnsi="Times New Roman" w:cs="Times New Roman"/>
          <w:sz w:val="24"/>
        </w:rPr>
      </w:pPr>
      <w:r>
        <w:rPr>
          <w:rFonts w:ascii="Times New Roman" w:hAnsi="Times New Roman" w:cs="Times New Roman"/>
          <w:sz w:val="24"/>
        </w:rPr>
        <w:t xml:space="preserve">1. </w:t>
      </w:r>
      <w:r w:rsidRPr="00075BA6">
        <w:rPr>
          <w:rFonts w:ascii="Times New Roman" w:hAnsi="Times New Roman" w:cs="Times New Roman"/>
          <w:sz w:val="24"/>
        </w:rPr>
        <w:t>Lag-2 dynamic panel model.</w:t>
      </w:r>
      <w:r>
        <w:rPr>
          <w:rFonts w:ascii="Times New Roman" w:hAnsi="Times New Roman" w:cs="Times New Roman"/>
          <w:sz w:val="24"/>
        </w:rPr>
        <w:t xml:space="preserve"> </w:t>
      </w:r>
      <w:r w:rsidRPr="00075BA6">
        <w:rPr>
          <w:rFonts w:ascii="Times New Roman" w:hAnsi="Times New Roman" w:cs="Times New Roman"/>
          <w:sz w:val="24"/>
        </w:rPr>
        <w:t>To assess whether the acute pandemic-shock associations surface only at a longer time horizon than the primary one-year lag, we re-estimate the model with the autoregressive term and both pandemic-shock exposures shifted to a two-year within-country lag (</w:t>
      </w:r>
      <w:r w:rsidRPr="00075BA6">
        <w:rPr>
          <w:rFonts w:ascii="Times New Roman" w:hAnsi="Times New Roman" w:cs="Times New Roman"/>
          <w:i/>
          <w:iCs/>
          <w:sz w:val="24"/>
        </w:rPr>
        <w:t>v2smpolsoc_lag2, p_score_mean_lag2, stringency_mean_lag2</w:t>
      </w:r>
      <w:r w:rsidRPr="00075BA6">
        <w:rPr>
          <w:rFonts w:ascii="Times New Roman" w:hAnsi="Times New Roman" w:cs="Times New Roman"/>
          <w:sz w:val="24"/>
        </w:rPr>
        <w:t>). All other elements of the specification are unchanged.</w:t>
      </w:r>
    </w:p>
    <w:p w14:paraId="78E382EF" w14:textId="0B0FA80B" w:rsidR="00075BA6" w:rsidRDefault="00075BA6" w:rsidP="00075BA6">
      <w:pPr>
        <w:spacing w:line="480" w:lineRule="auto"/>
        <w:rPr>
          <w:rFonts w:ascii="Times New Roman" w:hAnsi="Times New Roman" w:cs="Times New Roman"/>
          <w:sz w:val="24"/>
        </w:rPr>
      </w:pPr>
      <w:r>
        <w:rPr>
          <w:rFonts w:ascii="Times New Roman" w:hAnsi="Times New Roman" w:cs="Times New Roman"/>
          <w:sz w:val="24"/>
        </w:rPr>
        <w:t xml:space="preserve">2. </w:t>
      </w:r>
      <w:r w:rsidRPr="00075BA6">
        <w:rPr>
          <w:rFonts w:ascii="Times New Roman" w:hAnsi="Times New Roman" w:cs="Times New Roman"/>
          <w:sz w:val="24"/>
        </w:rPr>
        <w:t xml:space="preserve">Effect-modification model. To assess whether high pre-pandemic social cohesion buffered the acute pandemic-shock associations, we extend the primary specification with two product (interaction) terms between each one-year-lagged pandemic-shock exposure and a time-invariant baseline covariate </w:t>
      </w:r>
      <m:oMath>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c</m:t>
            </m:r>
          </m:sub>
        </m:sSub>
      </m:oMath>
      <w:r w:rsidRPr="00075BA6">
        <w:rPr>
          <w:rFonts w:ascii="Times New Roman" w:hAnsi="Times New Roman" w:cs="Times New Roman"/>
          <w:sz w:val="24"/>
        </w:rPr>
        <w:t xml:space="preserve"> defined as country </w:t>
      </w:r>
      <w:r>
        <w:rPr>
          <w:rFonts w:ascii="Times New Roman" w:hAnsi="Times New Roman" w:cs="Times New Roman"/>
          <w:sz w:val="24"/>
        </w:rPr>
        <w:t>c</w:t>
      </w:r>
      <w:r w:rsidRPr="00075BA6">
        <w:rPr>
          <w:rFonts w:ascii="Times New Roman" w:hAnsi="Times New Roman" w:cs="Times New Roman"/>
          <w:sz w:val="24"/>
        </w:rPr>
        <w:t xml:space="preserve">'s value of </w:t>
      </w:r>
      <w:r w:rsidRPr="00075BA6">
        <w:rPr>
          <w:rFonts w:ascii="Times New Roman" w:hAnsi="Times New Roman" w:cs="Times New Roman"/>
          <w:i/>
          <w:iCs/>
          <w:sz w:val="24"/>
        </w:rPr>
        <w:t>v2smpolsoc</w:t>
      </w:r>
      <w:r w:rsidRPr="00075BA6">
        <w:rPr>
          <w:rFonts w:ascii="Times New Roman" w:hAnsi="Times New Roman" w:cs="Times New Roman"/>
          <w:sz w:val="24"/>
        </w:rPr>
        <w:t xml:space="preserve"> in 2019:</w:t>
      </w:r>
    </w:p>
    <w:p w14:paraId="74523090" w14:textId="7FD7DECA" w:rsidR="00075BA6" w:rsidRDefault="00000000" w:rsidP="00075BA6">
      <w:pPr>
        <w:spacing w:line="480" w:lineRule="auto"/>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c, 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c</m:t>
              </m:r>
            </m:sub>
          </m:sSub>
          <m:r>
            <w:rPr>
              <w:rFonts w:ascii="Cambria Math" w:hAnsi="Cambria Math" w:cs="Times New Roman"/>
              <w:sz w:val="24"/>
            </w:rPr>
            <m:t>+ϕ</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c,t-1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sSub>
            <m:sSubPr>
              <m:ctrlPr>
                <w:rPr>
                  <w:rFonts w:ascii="Cambria Math" w:hAnsi="Cambria Math" w:cs="Times New Roman"/>
                  <w:i/>
                  <w:sz w:val="24"/>
                </w:rPr>
              </m:ctrlPr>
            </m:sSubPr>
            <m:e>
              <m:r>
                <w:rPr>
                  <w:rFonts w:ascii="Cambria Math" w:hAnsi="Cambria Math" w:cs="Times New Roman"/>
                  <w:sz w:val="24"/>
                </w:rPr>
                <m:t>P</m:t>
              </m:r>
            </m:e>
            <m:sub>
              <m:r>
                <w:rPr>
                  <w:rFonts w:ascii="Cambria Math" w:hAnsi="Cambria Math" w:cs="Times New Roman"/>
                  <w:sz w:val="24"/>
                </w:rPr>
                <m:t>c,t-1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c,t-1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p×C</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P</m:t>
              </m:r>
            </m:e>
            <m:sub>
              <m:r>
                <w:rPr>
                  <w:rFonts w:ascii="Cambria Math" w:hAnsi="Cambria Math" w:cs="Times New Roman"/>
                  <w:sz w:val="24"/>
                </w:rPr>
                <m:t>c,t-1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c</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s×C</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c,t-1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c</m:t>
              </m:r>
            </m:sub>
          </m:sSub>
          <m:r>
            <w:rPr>
              <w:rFonts w:ascii="Cambria Math" w:hAnsi="Cambria Math" w:cs="Times New Roman"/>
              <w:sz w:val="24"/>
            </w:rPr>
            <m:t>)+</m:t>
          </m:r>
          <m:sSubSup>
            <m:sSubSupPr>
              <m:ctrlPr>
                <w:rPr>
                  <w:rFonts w:ascii="Cambria Math" w:hAnsi="Cambria Math" w:cs="Times New Roman"/>
                  <w:i/>
                  <w:sz w:val="24"/>
                </w:rPr>
              </m:ctrlPr>
            </m:sSubSupPr>
            <m:e>
              <m:r>
                <m:rPr>
                  <m:scr m:val="double-struck"/>
                </m:rPr>
                <w:rPr>
                  <w:rFonts w:ascii="Cambria Math" w:hAnsi="Cambria Math" w:cs="Times New Roman"/>
                  <w:sz w:val="24"/>
                </w:rPr>
                <m:t>x</m:t>
              </m:r>
            </m:e>
            <m:sub>
              <m:r>
                <w:rPr>
                  <w:rFonts w:ascii="Cambria Math" w:hAnsi="Cambria Math" w:cs="Times New Roman"/>
                  <w:sz w:val="24"/>
                </w:rPr>
                <m:t>c,t</m:t>
              </m:r>
            </m:sub>
            <m:sup>
              <m:r>
                <w:rPr>
                  <w:rFonts w:ascii="Cambria Math" w:hAnsi="Cambria Math" w:cs="Times New Roman"/>
                  <w:sz w:val="24"/>
                </w:rPr>
                <m:t>T</m:t>
              </m:r>
            </m:sup>
          </m:sSubSup>
          <m:r>
            <w:rPr>
              <w:rFonts w:ascii="Cambria Math" w:hAnsi="Cambria Math" w:cs="Times New Roman"/>
              <w:sz w:val="24"/>
            </w:rPr>
            <m:t>γ</m:t>
          </m:r>
        </m:oMath>
      </m:oMathPara>
    </w:p>
    <w:p w14:paraId="2026572F" w14:textId="17CE7CEA" w:rsidR="00075BA6" w:rsidRDefault="00075BA6" w:rsidP="00075BA6">
      <w:pPr>
        <w:spacing w:line="480" w:lineRule="auto"/>
        <w:rPr>
          <w:rFonts w:ascii="Times New Roman" w:hAnsi="Times New Roman" w:cs="Times New Roman"/>
          <w:sz w:val="24"/>
        </w:rPr>
      </w:pPr>
      <w:r>
        <w:rPr>
          <w:rFonts w:ascii="Times New Roman" w:hAnsi="Times New Roman" w:cs="Times New Roman"/>
          <w:sz w:val="24"/>
        </w:rPr>
        <w:lastRenderedPageBreak/>
        <w:tab/>
      </w:r>
      <w:r w:rsidRPr="00075BA6">
        <w:rPr>
          <w:rFonts w:ascii="Times New Roman" w:hAnsi="Times New Roman" w:cs="Times New Roman"/>
          <w:sz w:val="24"/>
        </w:rPr>
        <w:t xml:space="preserve">The main term in </w:t>
      </w:r>
      <m:oMath>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c</m:t>
            </m:r>
          </m:sub>
        </m:sSub>
      </m:oMath>
      <w:r w:rsidRPr="00075BA6">
        <w:rPr>
          <w:rFonts w:ascii="Times New Roman" w:hAnsi="Times New Roman" w:cs="Times New Roman"/>
          <w:sz w:val="24"/>
        </w:rPr>
        <w:t xml:space="preserve"> is time-invariant within country and is absorbed by the country-level intercept </w:t>
      </w:r>
      <m:oMath>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c</m:t>
            </m:r>
          </m:sub>
        </m:sSub>
      </m:oMath>
      <w:r w:rsidRPr="00075BA6">
        <w:rPr>
          <w:rFonts w:ascii="Times New Roman" w:hAnsi="Times New Roman" w:cs="Times New Roman"/>
          <w:sz w:val="24"/>
        </w:rPr>
        <w:t xml:space="preserve">; the two product terms are nonetheless identified because </w:t>
      </w:r>
      <m:oMath>
        <m:sSub>
          <m:sSubPr>
            <m:ctrlPr>
              <w:rPr>
                <w:rFonts w:ascii="Cambria Math" w:hAnsi="Cambria Math" w:cs="Times New Roman"/>
                <w:i/>
                <w:sz w:val="24"/>
              </w:rPr>
            </m:ctrlPr>
          </m:sSubPr>
          <m:e>
            <m:r>
              <w:rPr>
                <w:rFonts w:ascii="Cambria Math" w:hAnsi="Cambria Math" w:cs="Times New Roman"/>
                <w:sz w:val="24"/>
              </w:rPr>
              <m:t>P</m:t>
            </m:r>
          </m:e>
          <m:sub>
            <m:r>
              <w:rPr>
                <w:rFonts w:ascii="Cambria Math" w:hAnsi="Cambria Math" w:cs="Times New Roman"/>
                <w:sz w:val="24"/>
              </w:rPr>
              <m:t>c, t-1</m:t>
            </m:r>
          </m:sub>
        </m:sSub>
      </m:oMath>
      <w:r>
        <w:rPr>
          <w:rFonts w:ascii="Times New Roman" w:hAnsi="Times New Roman" w:cs="Times New Roman"/>
          <w:sz w:val="24"/>
        </w:rPr>
        <w:t xml:space="preserve"> </w:t>
      </w:r>
      <w:r w:rsidRPr="00075BA6">
        <w:rPr>
          <w:rFonts w:ascii="Times New Roman" w:hAnsi="Times New Roman" w:cs="Times New Roman"/>
          <w:sz w:val="24"/>
        </w:rPr>
        <w:t>and</w:t>
      </w:r>
      <w:r>
        <w:rPr>
          <w:rFonts w:ascii="Times New Roman" w:hAnsi="Times New Roman" w:cs="Times New Roman"/>
          <w:sz w:val="24"/>
        </w:rPr>
        <w:t xml:space="preserve"> </w:t>
      </w:r>
      <m:oMath>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c, t-1</m:t>
            </m:r>
          </m:sub>
        </m:sSub>
      </m:oMath>
      <w:r w:rsidRPr="00075BA6">
        <w:rPr>
          <w:rFonts w:ascii="Times New Roman" w:hAnsi="Times New Roman" w:cs="Times New Roman"/>
          <w:sz w:val="24"/>
        </w:rPr>
        <w:t xml:space="preserve"> vary within country. This is the standard Bayesian specification for effect modification of the lagged pandemic-shock associations by pre-pandemic cohesion. Posterior credibility for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p×C</m:t>
            </m:r>
          </m:sub>
        </m:sSub>
      </m:oMath>
      <w:r>
        <w:rPr>
          <w:rFonts w:ascii="Times New Roman" w:hAnsi="Times New Roman" w:cs="Times New Roman"/>
          <w:sz w:val="24"/>
        </w:rPr>
        <w:t xml:space="preserve"> or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s×C</m:t>
            </m:r>
          </m:sub>
        </m:sSub>
      </m:oMath>
      <w:r w:rsidRPr="00075BA6">
        <w:rPr>
          <w:rFonts w:ascii="Times New Roman" w:hAnsi="Times New Roman" w:cs="Times New Roman"/>
          <w:sz w:val="24"/>
        </w:rPr>
        <w:t xml:space="preserve"> that excludes zero would constitute evidence that the lagged pandemic-shock associations differ across strata of baseline cohesion.</w:t>
      </w:r>
    </w:p>
    <w:p w14:paraId="54034A7D" w14:textId="77777777" w:rsidR="00075BA6" w:rsidRPr="00075BA6" w:rsidRDefault="00075BA6" w:rsidP="00075BA6">
      <w:pPr>
        <w:spacing w:line="480" w:lineRule="auto"/>
        <w:rPr>
          <w:rFonts w:ascii="Times New Roman" w:hAnsi="Times New Roman" w:cs="Times New Roman"/>
          <w:i/>
          <w:iCs/>
          <w:sz w:val="24"/>
        </w:rPr>
      </w:pPr>
      <w:r w:rsidRPr="00075BA6">
        <w:rPr>
          <w:rFonts w:ascii="Times New Roman" w:hAnsi="Times New Roman" w:cs="Times New Roman"/>
          <w:i/>
          <w:iCs/>
          <w:sz w:val="24"/>
        </w:rPr>
        <w:t>Code, data, and reproducibility</w:t>
      </w:r>
    </w:p>
    <w:p w14:paraId="2C45B364" w14:textId="554FA670" w:rsidR="00075BA6" w:rsidRDefault="00075BA6" w:rsidP="006251FE">
      <w:pPr>
        <w:spacing w:line="480" w:lineRule="auto"/>
        <w:rPr>
          <w:rFonts w:ascii="Times New Roman" w:hAnsi="Times New Roman" w:cs="Times New Roman"/>
          <w:sz w:val="24"/>
        </w:rPr>
      </w:pPr>
      <w:r w:rsidRPr="00075BA6">
        <w:rPr>
          <w:rFonts w:ascii="Times New Roman" w:hAnsi="Times New Roman" w:cs="Times New Roman"/>
          <w:sz w:val="24"/>
        </w:rPr>
        <w:t>All preprocessing, model code, and posterior diagnostics are released in the project repository (</w:t>
      </w:r>
      <w:hyperlink r:id="rId9" w:history="1">
        <w:r w:rsidRPr="00075BA6">
          <w:rPr>
            <w:rStyle w:val="aa"/>
            <w:rFonts w:ascii="Times New Roman" w:hAnsi="Times New Roman" w:cs="Times New Roman"/>
            <w:sz w:val="24"/>
          </w:rPr>
          <w:t>https://github.com/denovo2021/EIPSA</w:t>
        </w:r>
      </w:hyperlink>
      <w:r w:rsidRPr="00075BA6">
        <w:rPr>
          <w:rFonts w:ascii="Times New Roman" w:hAnsi="Times New Roman" w:cs="Times New Roman"/>
          <w:sz w:val="24"/>
        </w:rPr>
        <w:t xml:space="preserve">). Software dependencies include Python 3.12, </w:t>
      </w:r>
      <w:proofErr w:type="spellStart"/>
      <w:r w:rsidRPr="00075BA6">
        <w:rPr>
          <w:rFonts w:ascii="Times New Roman" w:hAnsi="Times New Roman" w:cs="Times New Roman"/>
          <w:sz w:val="24"/>
        </w:rPr>
        <w:t>PyMC</w:t>
      </w:r>
      <w:proofErr w:type="spellEnd"/>
      <w:r w:rsidRPr="00075BA6">
        <w:rPr>
          <w:rFonts w:ascii="Times New Roman" w:hAnsi="Times New Roman" w:cs="Times New Roman"/>
          <w:sz w:val="24"/>
        </w:rPr>
        <w:t xml:space="preserve"> v5 (Abril-Pla et al., 2023), </w:t>
      </w:r>
      <w:proofErr w:type="spellStart"/>
      <w:r w:rsidRPr="00075BA6">
        <w:rPr>
          <w:rFonts w:ascii="Times New Roman" w:hAnsi="Times New Roman" w:cs="Times New Roman"/>
          <w:sz w:val="24"/>
        </w:rPr>
        <w:t>ArviZ</w:t>
      </w:r>
      <w:proofErr w:type="spellEnd"/>
      <w:r w:rsidRPr="00075BA6">
        <w:rPr>
          <w:rFonts w:ascii="Times New Roman" w:hAnsi="Times New Roman" w:cs="Times New Roman"/>
          <w:sz w:val="24"/>
        </w:rPr>
        <w:t xml:space="preserve"> (Kumar et al., 2019), pandas, NumPy, and </w:t>
      </w:r>
      <w:proofErr w:type="spellStart"/>
      <w:r w:rsidRPr="00075BA6">
        <w:rPr>
          <w:rFonts w:ascii="Times New Roman" w:hAnsi="Times New Roman" w:cs="Times New Roman"/>
          <w:sz w:val="24"/>
        </w:rPr>
        <w:t>linearmodels</w:t>
      </w:r>
      <w:proofErr w:type="spellEnd"/>
      <w:r w:rsidRPr="00075BA6">
        <w:rPr>
          <w:rFonts w:ascii="Times New Roman" w:hAnsi="Times New Roman" w:cs="Times New Roman"/>
          <w:sz w:val="24"/>
        </w:rPr>
        <w:t>. The analytic panel is built from publicly available data sources cited above.</w:t>
      </w:r>
    </w:p>
    <w:p w14:paraId="5BCC8DEE" w14:textId="3B0EF966" w:rsidR="00075BA6" w:rsidRPr="00075BA6" w:rsidRDefault="00075BA6" w:rsidP="00075BA6">
      <w:pPr>
        <w:spacing w:line="480" w:lineRule="auto"/>
        <w:rPr>
          <w:rFonts w:ascii="Times New Roman" w:hAnsi="Times New Roman" w:cs="Times New Roman"/>
          <w:i/>
          <w:iCs/>
          <w:sz w:val="24"/>
        </w:rPr>
      </w:pPr>
      <w:r w:rsidRPr="00075BA6">
        <w:rPr>
          <w:rFonts w:ascii="Times New Roman" w:hAnsi="Times New Roman" w:cs="Times New Roman"/>
          <w:i/>
          <w:iCs/>
          <w:sz w:val="24"/>
        </w:rPr>
        <w:t>Ethical oversight</w:t>
      </w:r>
    </w:p>
    <w:p w14:paraId="006607B4" w14:textId="77777777" w:rsidR="00075BA6" w:rsidRPr="00075BA6" w:rsidRDefault="00075BA6" w:rsidP="00075BA6">
      <w:pPr>
        <w:spacing w:line="480" w:lineRule="auto"/>
        <w:rPr>
          <w:rFonts w:ascii="Times New Roman" w:hAnsi="Times New Roman" w:cs="Times New Roman"/>
          <w:sz w:val="24"/>
        </w:rPr>
      </w:pPr>
      <w:r w:rsidRPr="00075BA6">
        <w:rPr>
          <w:rFonts w:ascii="Times New Roman" w:hAnsi="Times New Roman" w:cs="Times New Roman"/>
          <w:sz w:val="24"/>
        </w:rPr>
        <w:t>Ethical approval was not required, as the analysis relies exclusively on publicly available, aggregate-level data.</w:t>
      </w:r>
    </w:p>
    <w:p w14:paraId="339E4B83" w14:textId="77777777" w:rsidR="008C5A01" w:rsidRDefault="008C5A01" w:rsidP="008C5A01">
      <w:pPr>
        <w:spacing w:line="480" w:lineRule="auto"/>
        <w:rPr>
          <w:rFonts w:ascii="Times New Roman" w:hAnsi="Times New Roman" w:cs="Times New Roman"/>
          <w:sz w:val="24"/>
        </w:rPr>
      </w:pPr>
    </w:p>
    <w:p w14:paraId="71FF41F5" w14:textId="5AC3AC0B" w:rsidR="008C5A01" w:rsidRPr="008C5A01" w:rsidRDefault="008C5A01" w:rsidP="008C5A01">
      <w:pPr>
        <w:spacing w:line="480" w:lineRule="auto"/>
        <w:rPr>
          <w:rFonts w:ascii="Times New Roman" w:hAnsi="Times New Roman" w:cs="Times New Roman"/>
          <w:b/>
          <w:bCs/>
          <w:sz w:val="24"/>
        </w:rPr>
      </w:pPr>
      <w:r w:rsidRPr="008C5A01">
        <w:rPr>
          <w:rFonts w:ascii="Times New Roman" w:hAnsi="Times New Roman" w:cs="Times New Roman"/>
          <w:b/>
          <w:bCs/>
          <w:sz w:val="24"/>
        </w:rPr>
        <w:t>Results</w:t>
      </w:r>
    </w:p>
    <w:p w14:paraId="6F30FE0D" w14:textId="4D791E5C" w:rsidR="00BA603E" w:rsidRPr="00BA603E" w:rsidRDefault="00C8001A" w:rsidP="00BA603E">
      <w:pPr>
        <w:spacing w:line="480" w:lineRule="auto"/>
        <w:rPr>
          <w:rFonts w:ascii="Times New Roman" w:hAnsi="Times New Roman" w:cs="Times New Roman"/>
          <w:i/>
          <w:iCs/>
          <w:sz w:val="24"/>
        </w:rPr>
      </w:pPr>
      <w:r w:rsidRPr="00C8001A">
        <w:rPr>
          <w:rFonts w:ascii="Times New Roman" w:hAnsi="Times New Roman" w:cs="Times New Roman"/>
          <w:i/>
          <w:iCs/>
          <w:sz w:val="24"/>
        </w:rPr>
        <w:t xml:space="preserve">Preliminary analysis: historical epidemic exposure does not predict pre-pandemic </w:t>
      </w:r>
      <w:r w:rsidRPr="00C8001A">
        <w:rPr>
          <w:rFonts w:ascii="Times New Roman" w:hAnsi="Times New Roman" w:cs="Times New Roman"/>
          <w:i/>
          <w:iCs/>
          <w:sz w:val="24"/>
        </w:rPr>
        <w:lastRenderedPageBreak/>
        <w:t>cohesion</w:t>
      </w:r>
    </w:p>
    <w:p w14:paraId="6FE9736C" w14:textId="321EC6FF" w:rsidR="008C5A01" w:rsidRDefault="00D7424E" w:rsidP="0099616B">
      <w:pPr>
        <w:spacing w:line="480" w:lineRule="auto"/>
        <w:rPr>
          <w:rFonts w:ascii="Times New Roman" w:hAnsi="Times New Roman" w:cs="Times New Roman"/>
          <w:sz w:val="24"/>
        </w:rPr>
      </w:pPr>
      <w:r w:rsidRPr="00D7424E">
        <w:rPr>
          <w:rFonts w:ascii="Times New Roman" w:hAnsi="Times New Roman" w:cs="Times New Roman"/>
          <w:sz w:val="24"/>
        </w:rPr>
        <w:t xml:space="preserve">Before evaluating the acute associations of the COVID-19 pandemic, we examined whether historical pathogen exposure had left a measurable imprint on the macro-institutional cohesion of OECD democracies on the eve of the pandemic. Drawing on the EM-DAT International Disaster Database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{"citationID":"IJABCpkr","properties":{"unsorted":false,"formattedCitation":"(Guha-Sapir et al., 2025)","plainCitation":"(Guha-Sapir et al., 2025)","noteIndex":0},"citationItems":[{"id":383,"uris":["http://zotero.org/users/19944767/items/D7W9G6VX"],"itemData":{"id":383,"type":"dataset","publisher":"Université Catholique de Louvain","title":"EM-DAT: The CRED/OFDA International Disaster Database","URL":"https://www.emdat.be","author":[{"family":"Guha-Sapir","given":"D."},{"family":"Below","given":"R."},{"family":"Hoyois","given":"P."}],"issued":{"date-parts":[["2025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(Guha-Sapir et al., 2025)</w:t>
      </w:r>
      <w:r>
        <w:rPr>
          <w:rFonts w:ascii="Times New Roman" w:hAnsi="Times New Roman" w:cs="Times New Roman"/>
          <w:sz w:val="24"/>
        </w:rPr>
        <w:fldChar w:fldCharType="end"/>
      </w:r>
      <w:r w:rsidRPr="00D7424E">
        <w:rPr>
          <w:rFonts w:ascii="Times New Roman" w:hAnsi="Times New Roman" w:cs="Times New Roman"/>
          <w:sz w:val="24"/>
        </w:rPr>
        <w:t>, we identified 23 epidemic events affecting 16 of the 3</w:t>
      </w:r>
      <w:r w:rsidR="00066FCC">
        <w:rPr>
          <w:rFonts w:ascii="Times New Roman" w:hAnsi="Times New Roman" w:cs="Times New Roman"/>
          <w:sz w:val="24"/>
        </w:rPr>
        <w:t>7</w:t>
      </w:r>
      <w:r w:rsidRPr="00D7424E">
        <w:rPr>
          <w:rFonts w:ascii="Times New Roman" w:hAnsi="Times New Roman" w:cs="Times New Roman"/>
          <w:sz w:val="24"/>
        </w:rPr>
        <w:t xml:space="preserve"> OECD member states between 2000 and 2019. </w:t>
      </w:r>
      <w:r w:rsidR="0099616B" w:rsidRPr="0099616B">
        <w:rPr>
          <w:rFonts w:ascii="Times New Roman" w:hAnsi="Times New Roman" w:cs="Times New Roman"/>
          <w:sz w:val="24"/>
        </w:rPr>
        <w:t xml:space="preserve">The cumulative count of historical epidemics was not credibly associated with the level of social cohesion in 2019 (V-Dem </w:t>
      </w:r>
      <w:r w:rsidR="0099616B" w:rsidRPr="0099616B">
        <w:rPr>
          <w:rFonts w:ascii="Times New Roman" w:hAnsi="Times New Roman" w:cs="Times New Roman"/>
          <w:i/>
          <w:iCs/>
          <w:sz w:val="24"/>
        </w:rPr>
        <w:t>v2smpolsoc</w:t>
      </w:r>
      <w:r w:rsidR="0099616B" w:rsidRPr="0099616B">
        <w:rPr>
          <w:rFonts w:ascii="Times New Roman" w:hAnsi="Times New Roman" w:cs="Times New Roman"/>
          <w:sz w:val="24"/>
        </w:rPr>
        <w:t>; r</w:t>
      </w:r>
      <w:r w:rsidR="0099616B">
        <w:rPr>
          <w:rFonts w:ascii="Times New Roman" w:hAnsi="Times New Roman" w:cs="Times New Roman"/>
          <w:sz w:val="24"/>
        </w:rPr>
        <w:t xml:space="preserve"> </w:t>
      </w:r>
      <w:r w:rsidR="0099616B" w:rsidRPr="0099616B">
        <w:rPr>
          <w:rFonts w:ascii="Times New Roman" w:hAnsi="Times New Roman" w:cs="Times New Roman"/>
          <w:sz w:val="24"/>
        </w:rPr>
        <w:t>=</w:t>
      </w:r>
      <w:r w:rsidR="0099616B">
        <w:rPr>
          <w:rFonts w:ascii="Times New Roman" w:hAnsi="Times New Roman" w:cs="Times New Roman"/>
          <w:sz w:val="24"/>
        </w:rPr>
        <w:t>-</w:t>
      </w:r>
      <w:r w:rsidR="0099616B" w:rsidRPr="0099616B">
        <w:rPr>
          <w:rFonts w:ascii="Times New Roman" w:hAnsi="Times New Roman" w:cs="Times New Roman"/>
          <w:sz w:val="24"/>
        </w:rPr>
        <w:t>0.30,</w:t>
      </w:r>
      <w:r w:rsidR="0099616B">
        <w:rPr>
          <w:rFonts w:ascii="Times New Roman" w:hAnsi="Times New Roman" w:cs="Times New Roman"/>
          <w:sz w:val="24"/>
        </w:rPr>
        <w:t xml:space="preserve"> </w:t>
      </w:r>
      <w:r w:rsidR="0099616B" w:rsidRPr="0099616B">
        <w:rPr>
          <w:rFonts w:ascii="Times New Roman" w:hAnsi="Times New Roman" w:cs="Times New Roman"/>
          <w:sz w:val="24"/>
        </w:rPr>
        <w:t>p</w:t>
      </w:r>
      <w:r w:rsidR="0099616B">
        <w:rPr>
          <w:rFonts w:ascii="Times New Roman" w:hAnsi="Times New Roman" w:cs="Times New Roman"/>
          <w:sz w:val="24"/>
        </w:rPr>
        <w:t xml:space="preserve"> </w:t>
      </w:r>
      <w:r w:rsidR="0099616B" w:rsidRPr="0099616B">
        <w:rPr>
          <w:rFonts w:ascii="Times New Roman" w:hAnsi="Times New Roman" w:cs="Times New Roman"/>
          <w:sz w:val="24"/>
        </w:rPr>
        <w:t>=0.0</w:t>
      </w:r>
      <w:r w:rsidR="0099616B">
        <w:rPr>
          <w:rFonts w:ascii="Times New Roman" w:hAnsi="Times New Roman" w:cs="Times New Roman"/>
          <w:sz w:val="24"/>
        </w:rPr>
        <w:t>7</w:t>
      </w:r>
      <w:r w:rsidR="0099616B" w:rsidRPr="0099616B">
        <w:rPr>
          <w:rFonts w:ascii="Times New Roman" w:hAnsi="Times New Roman" w:cs="Times New Roman"/>
          <w:sz w:val="24"/>
        </w:rPr>
        <w:t>, nor with the subsequent change in cohesion between 2019 and 2024 (r</w:t>
      </w:r>
      <w:r w:rsidR="0099616B">
        <w:rPr>
          <w:rFonts w:ascii="Times New Roman" w:hAnsi="Times New Roman" w:cs="Times New Roman"/>
          <w:sz w:val="24"/>
        </w:rPr>
        <w:t xml:space="preserve"> </w:t>
      </w:r>
      <w:r w:rsidR="0099616B" w:rsidRPr="0099616B">
        <w:rPr>
          <w:rFonts w:ascii="Times New Roman" w:hAnsi="Times New Roman" w:cs="Times New Roman"/>
          <w:sz w:val="24"/>
        </w:rPr>
        <w:t>=+0.08,</w:t>
      </w:r>
      <w:r w:rsidR="0099616B">
        <w:rPr>
          <w:rFonts w:ascii="Times New Roman" w:hAnsi="Times New Roman" w:cs="Times New Roman"/>
          <w:sz w:val="24"/>
        </w:rPr>
        <w:t xml:space="preserve"> </w:t>
      </w:r>
      <w:r w:rsidR="0099616B" w:rsidRPr="0099616B">
        <w:rPr>
          <w:rFonts w:ascii="Times New Roman" w:hAnsi="Times New Roman" w:cs="Times New Roman"/>
          <w:sz w:val="24"/>
        </w:rPr>
        <w:t>p</w:t>
      </w:r>
      <w:r w:rsidR="0099616B">
        <w:rPr>
          <w:rFonts w:ascii="Times New Roman" w:hAnsi="Times New Roman" w:cs="Times New Roman"/>
          <w:sz w:val="24"/>
        </w:rPr>
        <w:t xml:space="preserve"> </w:t>
      </w:r>
      <w:r w:rsidR="0099616B" w:rsidRPr="0099616B">
        <w:rPr>
          <w:rFonts w:ascii="Times New Roman" w:hAnsi="Times New Roman" w:cs="Times New Roman"/>
          <w:sz w:val="24"/>
        </w:rPr>
        <w:t>=0.6</w:t>
      </w:r>
      <w:r w:rsidR="0099616B">
        <w:rPr>
          <w:rFonts w:ascii="Times New Roman" w:hAnsi="Times New Roman" w:cs="Times New Roman"/>
          <w:sz w:val="24"/>
        </w:rPr>
        <w:t>3</w:t>
      </w:r>
      <w:r w:rsidR="0099616B" w:rsidRPr="0099616B">
        <w:rPr>
          <w:rFonts w:ascii="Times New Roman" w:hAnsi="Times New Roman" w:cs="Times New Roman"/>
          <w:sz w:val="24"/>
        </w:rPr>
        <w:t>). Countries that had registered one or more historical epidemic events were statistically indistinguishable from those that had not on the 2019 baseline (t</w:t>
      </w:r>
      <w:r w:rsidR="0099616B">
        <w:rPr>
          <w:rFonts w:ascii="Times New Roman" w:hAnsi="Times New Roman" w:cs="Times New Roman"/>
          <w:sz w:val="24"/>
        </w:rPr>
        <w:t xml:space="preserve"> </w:t>
      </w:r>
      <w:r w:rsidR="0099616B" w:rsidRPr="0099616B">
        <w:rPr>
          <w:rFonts w:ascii="Times New Roman" w:hAnsi="Times New Roman" w:cs="Times New Roman"/>
          <w:sz w:val="24"/>
        </w:rPr>
        <w:t>=</w:t>
      </w:r>
      <w:r w:rsidR="0099616B">
        <w:rPr>
          <w:rFonts w:ascii="Times New Roman" w:hAnsi="Times New Roman" w:cs="Times New Roman"/>
          <w:sz w:val="24"/>
        </w:rPr>
        <w:t>-</w:t>
      </w:r>
      <w:r w:rsidR="0099616B" w:rsidRPr="0099616B">
        <w:rPr>
          <w:rFonts w:ascii="Times New Roman" w:hAnsi="Times New Roman" w:cs="Times New Roman"/>
          <w:sz w:val="24"/>
        </w:rPr>
        <w:t>1.67,</w:t>
      </w:r>
      <w:r w:rsidR="0099616B">
        <w:rPr>
          <w:rFonts w:ascii="Times New Roman" w:hAnsi="Times New Roman" w:cs="Times New Roman"/>
          <w:sz w:val="24"/>
        </w:rPr>
        <w:t xml:space="preserve"> </w:t>
      </w:r>
      <w:r w:rsidR="0099616B" w:rsidRPr="0099616B">
        <w:rPr>
          <w:rFonts w:ascii="Times New Roman" w:hAnsi="Times New Roman" w:cs="Times New Roman"/>
          <w:sz w:val="24"/>
        </w:rPr>
        <w:t>p</w:t>
      </w:r>
      <w:r w:rsidR="0099616B">
        <w:rPr>
          <w:rFonts w:ascii="Times New Roman" w:hAnsi="Times New Roman" w:cs="Times New Roman"/>
          <w:sz w:val="24"/>
        </w:rPr>
        <w:t xml:space="preserve"> </w:t>
      </w:r>
      <w:r w:rsidR="0099616B" w:rsidRPr="0099616B">
        <w:rPr>
          <w:rFonts w:ascii="Times New Roman" w:hAnsi="Times New Roman" w:cs="Times New Roman"/>
          <w:sz w:val="24"/>
        </w:rPr>
        <w:t>=0.10) or on the 2019–2024 trajectory.</w:t>
      </w:r>
      <w:r w:rsidRPr="00D7424E">
        <w:rPr>
          <w:rFonts w:ascii="Times New Roman" w:hAnsi="Times New Roman" w:cs="Times New Roman"/>
          <w:sz w:val="24"/>
        </w:rPr>
        <w:t xml:space="preserve"> In these high-income democracies, historical pathogen exposure is therefore not associated with the trajectory of social polarization </w:t>
      </w:r>
      <w:r>
        <w:rPr>
          <w:rFonts w:ascii="Times New Roman" w:hAnsi="Times New Roman" w:cs="Times New Roman"/>
          <w:sz w:val="24"/>
        </w:rPr>
        <w:t>–</w:t>
      </w:r>
      <w:r w:rsidRPr="00D7424E">
        <w:rPr>
          <w:rFonts w:ascii="Times New Roman" w:hAnsi="Times New Roman" w:cs="Times New Roman"/>
          <w:sz w:val="24"/>
        </w:rPr>
        <w:t xml:space="preserve"> a pattern that is consistent with the broader cross-national finding of Pasin et al.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{"citationID":"IcdHByWD","properties":{"unsorted":false,"formattedCitation":"(Pasin et al., 2024)","plainCitation":"(Pasin et al., 2024)","noteIndex":0},"citationItems":[{"id":407,"uris":["http://zotero.org/users/19944767/items/7S28XXJA"],"itemData":{"id":407,"type":"article-journal","abstract":"Abstract\n            Did cultures change shortly after, and in response to, the COVID-19 outbreak? If so, then in what way? We study these questions for a set of macro-cultural dimensions: collectivism/individualism, duty/joy, traditionalism/autonomy, and pro-fertility/individual-choice norms. We also study specific perceptions and norms like perceived threats to society (e.g. immigration) and hygiene norms. We draw on Evolutionary Modernization Theory, Parasite Stress Theory, and the Behavioural Immune System, and existing evidence, to make an overarching prediction: the COVID-19 pandemic should increase collectivism, duty, traditionalism, conformity (i.e. pro-fertility), and outgroup prejudice. We derive specific hypotheses from this prediction and use survey data from 29,761 respondents, in 55 cities and 43 countries, collected before (April–December 2019) and recently after the emergence of COVID-19 (March–July 2020) to test them. We exploit variation in disease intensity across regions to test potential mechanisms behind any changes. The macro-cultural dimensions remained stable. In contrast, specific perceptions and norms related to the pandemic changed: norms of hygiene substantially increased as did perceived threats related to disease. Taken together, our findings imply that macro-cultural dimensions are primarily stable while specific perceptions and norms, particularly those related to the pandemic, can change rapidly. Our findings provide new evidence for theories of cultural change and have implications for policy, public health, daily life, and future trajectories of our societies.","container-title":"Scientific Reports","DOI":"10.1038/s41598-023-33155-6","ISSN":"2045-2322","issue":"1","journalAbbreviation":"Sci Rep","language":"en","page":"6502","source":"DOI.org (Crossref)","title":"Evidence from 43 countries that disease leaves cultures unchanged in the short-term","volume":"14","author":[{"family":"Pasin","given":"Gian Luca"},{"family":"Eriksson","given":"Kimmo"},{"family":"Guido","given":"Andrea"},{"family":"Di Sorrentino","given":"Eugenia Polizzi"},{"family":"Andrighetto","given":"Giulia"}],"issued":{"date-parts":[["2024",3,18]]}}}],"schema":"https://github.com/citation-style-language/schema/raw/master/csl-citation.json"}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(Pasin et al., 2024)</w:t>
      </w:r>
      <w:r>
        <w:rPr>
          <w:rFonts w:ascii="Times New Roman" w:hAnsi="Times New Roman" w:cs="Times New Roman"/>
          <w:sz w:val="24"/>
        </w:rPr>
        <w:fldChar w:fldCharType="end"/>
      </w:r>
      <w:r w:rsidRPr="00D7424E">
        <w:rPr>
          <w:rFonts w:ascii="Times New Roman" w:hAnsi="Times New Roman" w:cs="Times New Roman"/>
          <w:sz w:val="24"/>
        </w:rPr>
        <w:t xml:space="preserve"> that macro-cultural dimensions remained unchanged in the short-term aftermath of COVID-19 across 43 societies. Whatever forces shape social cohesion in the contemporary OECD operate through structural and institutional channels that are largely orthogonal to epidemiological history.</w:t>
      </w:r>
    </w:p>
    <w:p w14:paraId="2664BDC1" w14:textId="107CC507" w:rsidR="00C8001A" w:rsidRPr="00C8001A" w:rsidRDefault="00C8001A" w:rsidP="00FE0B4E">
      <w:pPr>
        <w:spacing w:line="480" w:lineRule="auto"/>
        <w:rPr>
          <w:rFonts w:ascii="Times New Roman" w:hAnsi="Times New Roman" w:cs="Times New Roman"/>
          <w:i/>
          <w:iCs/>
          <w:sz w:val="24"/>
        </w:rPr>
      </w:pPr>
      <w:r w:rsidRPr="00C8001A">
        <w:rPr>
          <w:rFonts w:ascii="Times New Roman" w:hAnsi="Times New Roman" w:cs="Times New Roman"/>
          <w:i/>
          <w:iCs/>
          <w:sz w:val="24"/>
        </w:rPr>
        <w:lastRenderedPageBreak/>
        <w:t>Macro-structural inertia overrides acute pandemic shocks</w:t>
      </w:r>
    </w:p>
    <w:p w14:paraId="5E93F099" w14:textId="2A31A3F2" w:rsidR="00C8001A" w:rsidRDefault="00C8001A" w:rsidP="00FE0B4E">
      <w:pPr>
        <w:spacing w:line="480" w:lineRule="auto"/>
        <w:rPr>
          <w:rFonts w:ascii="Times New Roman" w:hAnsi="Times New Roman" w:cs="Times New Roman"/>
          <w:sz w:val="24"/>
        </w:rPr>
      </w:pPr>
      <w:r w:rsidRPr="00C8001A">
        <w:rPr>
          <w:rFonts w:ascii="Times New Roman" w:hAnsi="Times New Roman" w:cs="Times New Roman"/>
          <w:sz w:val="24"/>
        </w:rPr>
        <w:t>The Hierarchical Bayesian Dynamic Panel Model returned an unambiguous portrait of macro-structural inertia, summarized in Table 1 and visualized in Figure 1. The autoregressive parameter on lagged social polarization (</w:t>
      </w:r>
      <m:oMath>
        <m:r>
          <w:rPr>
            <w:rFonts w:ascii="Cambria Math" w:hAnsi="Cambria Math" w:cs="Times New Roman"/>
            <w:sz w:val="24"/>
          </w:rPr>
          <m:t>ϕ</m:t>
        </m:r>
      </m:oMath>
      <w:r w:rsidRPr="00C8001A">
        <w:rPr>
          <w:rFonts w:ascii="Times New Roman" w:hAnsi="Times New Roman" w:cs="Times New Roman"/>
          <w:sz w:val="24"/>
        </w:rPr>
        <w:t>) was large, tightly estimated, and well separated from zero, with a posterior mean of 1.29 and a 95% highest-density interval (HDI) of [1.20, 1.38]. In OECD democracies between 2019 and 2024, the dominant predictor of social polarization in any given country-year was social polarization in that country during the preceding year — the trajectory of cohesion is, to a first approximation, its own immediate past.</w:t>
      </w:r>
    </w:p>
    <w:p w14:paraId="4995C348" w14:textId="142120F9" w:rsidR="00C8001A" w:rsidRDefault="00C8001A" w:rsidP="00FE0B4E">
      <w:pPr>
        <w:spacing w:line="480" w:lineRule="auto"/>
        <w:rPr>
          <w:rFonts w:ascii="Times New Roman" w:hAnsi="Times New Roman" w:cs="Times New Roman"/>
          <w:sz w:val="24"/>
        </w:rPr>
      </w:pPr>
      <w:r>
        <w:rPr>
          <w:rFonts w:ascii="Times New Roman" w:hAnsi="Times New Roman" w:cs="Times New Roman"/>
          <w:sz w:val="24"/>
        </w:rPr>
        <w:tab/>
      </w:r>
      <w:r w:rsidRPr="00C8001A">
        <w:rPr>
          <w:rFonts w:ascii="Times New Roman" w:hAnsi="Times New Roman" w:cs="Times New Roman"/>
          <w:sz w:val="24"/>
        </w:rPr>
        <w:t>Against this backdrop of strong path dependence, neither acute pandemic-shock exposure was credibly associated with the residual, non-inertial component of polarization. The coefficient of association on one-year-lagged log COVID-19 mortality was small and posterior-credibly bounded around zero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r w:rsidRPr="00C8001A">
        <w:rPr>
          <w:rFonts w:ascii="Times New Roman" w:hAnsi="Times New Roman" w:cs="Times New Roman"/>
          <w:sz w:val="24"/>
        </w:rPr>
        <w:t xml:space="preserve"> = 0.0</w:t>
      </w:r>
      <w:r w:rsidR="00116CF0">
        <w:rPr>
          <w:rFonts w:ascii="Times New Roman" w:hAnsi="Times New Roman" w:cs="Times New Roman"/>
          <w:sz w:val="24"/>
        </w:rPr>
        <w:t>5</w:t>
      </w:r>
      <w:r w:rsidRPr="00C8001A">
        <w:rPr>
          <w:rFonts w:ascii="Times New Roman" w:hAnsi="Times New Roman" w:cs="Times New Roman"/>
          <w:sz w:val="24"/>
        </w:rPr>
        <w:t>, 95% HDI [−0.0</w:t>
      </w:r>
      <w:r w:rsidR="00233476">
        <w:rPr>
          <w:rFonts w:ascii="Times New Roman" w:hAnsi="Times New Roman" w:cs="Times New Roman"/>
          <w:sz w:val="24"/>
        </w:rPr>
        <w:t>4</w:t>
      </w:r>
      <w:r w:rsidRPr="00C8001A">
        <w:rPr>
          <w:rFonts w:ascii="Times New Roman" w:hAnsi="Times New Roman" w:cs="Times New Roman"/>
          <w:sz w:val="24"/>
        </w:rPr>
        <w:t>, 0.13]), and the coefficient of association on one-year-lagged lockdown stringency was effectively indistinguishable from zero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C8001A">
        <w:rPr>
          <w:rFonts w:ascii="Times New Roman" w:hAnsi="Times New Roman" w:cs="Times New Roman"/>
          <w:sz w:val="24"/>
        </w:rPr>
        <w:t xml:space="preserve"> = 0.0</w:t>
      </w:r>
      <w:r w:rsidR="00231E4F">
        <w:rPr>
          <w:rFonts w:ascii="Times New Roman" w:hAnsi="Times New Roman" w:cs="Times New Roman"/>
          <w:sz w:val="24"/>
        </w:rPr>
        <w:t>0</w:t>
      </w:r>
      <w:r w:rsidRPr="00C8001A">
        <w:rPr>
          <w:rFonts w:ascii="Times New Roman" w:hAnsi="Times New Roman" w:cs="Times New Roman"/>
          <w:sz w:val="24"/>
        </w:rPr>
        <w:t>, 95% HDI [−0.06, 0.0</w:t>
      </w:r>
      <w:r w:rsidR="00116CF0">
        <w:rPr>
          <w:rFonts w:ascii="Times New Roman" w:hAnsi="Times New Roman" w:cs="Times New Roman"/>
          <w:sz w:val="24"/>
        </w:rPr>
        <w:t>7</w:t>
      </w:r>
      <w:r w:rsidRPr="00C8001A">
        <w:rPr>
          <w:rFonts w:ascii="Times New Roman" w:hAnsi="Times New Roman" w:cs="Times New Roman"/>
          <w:sz w:val="24"/>
        </w:rPr>
        <w:t xml:space="preserve">]). The 95% HDIs for both acute shocks comfortably crossed zero in both directions, while the inertia parameter sat far above zero, so the substantive comparison is not between two competing positive associations but between a large, credibly non-zero structural channel and two </w:t>
      </w:r>
      <w:r w:rsidRPr="00C8001A">
        <w:rPr>
          <w:rFonts w:ascii="Times New Roman" w:hAnsi="Times New Roman" w:cs="Times New Roman"/>
          <w:sz w:val="24"/>
        </w:rPr>
        <w:lastRenderedPageBreak/>
        <w:t xml:space="preserve">acute channels whose posterior credibility is consistent with the null. The forest-plot juxtaposition of </w:t>
      </w:r>
      <m:oMath>
        <m:r>
          <w:rPr>
            <w:rFonts w:ascii="Cambria Math" w:hAnsi="Cambria Math" w:cs="Times New Roman"/>
            <w:sz w:val="24"/>
          </w:rPr>
          <m:t>ϕ</m:t>
        </m:r>
      </m:oMath>
      <w:r w:rsidRPr="00C8001A">
        <w:rPr>
          <w:rFonts w:ascii="Times New Roman" w:hAnsi="Times New Roman" w:cs="Times New Roman"/>
          <w:sz w:val="24"/>
        </w:rPr>
        <w:t xml:space="preserve">,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r w:rsidRPr="00C8001A">
        <w:rPr>
          <w:rFonts w:ascii="Times New Roman" w:hAnsi="Times New Roman" w:cs="Times New Roman"/>
          <w:sz w:val="24"/>
        </w:rPr>
        <w:t xml:space="preserve">, and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C8001A">
        <w:rPr>
          <w:rFonts w:ascii="Times New Roman" w:hAnsi="Times New Roman" w:cs="Times New Roman"/>
          <w:sz w:val="24"/>
        </w:rPr>
        <w:t xml:space="preserve"> in Figure 1 makes this asymmetry visually explicit. Convergence diagnostics were excellent across all monitored parameters (</w:t>
      </w:r>
      <m:oMath>
        <m:acc>
          <m:accPr>
            <m:ctrlPr>
              <w:rPr>
                <w:rFonts w:ascii="Cambria Math" w:hAnsi="Cambria Math" w:cs="Times New Roman"/>
                <w:i/>
                <w:sz w:val="24"/>
              </w:rPr>
            </m:ctrlPr>
          </m:accPr>
          <m:e>
            <m:r>
              <w:rPr>
                <w:rFonts w:ascii="Cambria Math" w:hAnsi="Cambria Math" w:cs="Times New Roman"/>
                <w:sz w:val="24"/>
              </w:rPr>
              <m:t>R</m:t>
            </m:r>
          </m:e>
        </m:acc>
        <m:r>
          <w:rPr>
            <w:rFonts w:ascii="Cambria Math" w:hAnsi="Cambria Math" w:cs="Times New Roman"/>
            <w:sz w:val="24"/>
          </w:rPr>
          <m:t>≈</m:t>
        </m:r>
      </m:oMath>
      <w:r w:rsidRPr="00C8001A">
        <w:rPr>
          <w:rFonts w:ascii="Times New Roman" w:hAnsi="Times New Roman" w:cs="Times New Roman"/>
          <w:sz w:val="24"/>
        </w:rPr>
        <w:t xml:space="preserve"> 1.00, bulk effective sample sizes well above pre-specified thresholds), so these posterior summaries reflect the likelihood and priors rather than sampler pathology.</w:t>
      </w:r>
    </w:p>
    <w:p w14:paraId="2BDF1225" w14:textId="5629669A" w:rsidR="00C8001A" w:rsidRDefault="00C8001A" w:rsidP="00FE0B4E">
      <w:pPr>
        <w:spacing w:line="480" w:lineRule="auto"/>
        <w:rPr>
          <w:rFonts w:ascii="Times New Roman" w:hAnsi="Times New Roman" w:cs="Times New Roman"/>
          <w:sz w:val="24"/>
        </w:rPr>
      </w:pPr>
      <w:r>
        <w:rPr>
          <w:rFonts w:ascii="Times New Roman" w:hAnsi="Times New Roman" w:cs="Times New Roman"/>
          <w:sz w:val="24"/>
        </w:rPr>
        <w:tab/>
      </w:r>
      <w:r w:rsidRPr="00C8001A">
        <w:rPr>
          <w:rFonts w:ascii="Times New Roman" w:hAnsi="Times New Roman" w:cs="Times New Roman"/>
          <w:sz w:val="24"/>
        </w:rPr>
        <w:t>Substantively, the acute pathogen and policy shocks of the COVID-19 pandemic were absorbed by the pre-existing structural trajectory of OECD social cohesion rather than redirecting it. The "pandemic authoritarianism" prediction generated by a direct projection of the parasite-stress framework onto national-scale outcomes is, in this setting, overridden by macro-structural inertia in the formal Bayesian sense: the posterior probability mass for both acute-shock parameters is concentrated near zero, while the probability mass for inertia is concentrated far from it.</w:t>
      </w:r>
    </w:p>
    <w:p w14:paraId="526584D6" w14:textId="2C4D933E" w:rsidR="00C8001A" w:rsidRPr="00C8001A" w:rsidRDefault="00C8001A" w:rsidP="00FE0B4E">
      <w:pPr>
        <w:spacing w:line="480" w:lineRule="auto"/>
        <w:rPr>
          <w:rFonts w:ascii="Times New Roman" w:hAnsi="Times New Roman" w:cs="Times New Roman"/>
          <w:i/>
          <w:iCs/>
          <w:sz w:val="24"/>
        </w:rPr>
      </w:pPr>
      <w:r w:rsidRPr="00C8001A">
        <w:rPr>
          <w:rFonts w:ascii="Times New Roman" w:hAnsi="Times New Roman" w:cs="Times New Roman"/>
          <w:i/>
          <w:iCs/>
          <w:sz w:val="24"/>
        </w:rPr>
        <w:t>The selection effect: pre-pandemic cohesion determined the policy response</w:t>
      </w:r>
    </w:p>
    <w:p w14:paraId="5F6F9F11" w14:textId="4E2DB169" w:rsidR="00F21D42" w:rsidRDefault="00C8001A" w:rsidP="00CF516B">
      <w:pPr>
        <w:spacing w:line="480" w:lineRule="auto"/>
        <w:rPr>
          <w:rFonts w:ascii="Times New Roman" w:hAnsi="Times New Roman" w:cs="Times New Roman"/>
          <w:sz w:val="24"/>
        </w:rPr>
      </w:pPr>
      <w:r w:rsidRPr="00C8001A">
        <w:rPr>
          <w:rFonts w:ascii="Times New Roman" w:hAnsi="Times New Roman" w:cs="Times New Roman"/>
          <w:sz w:val="24"/>
        </w:rPr>
        <w:t xml:space="preserve">Although lockdown stringency was not credibly associated with subsequent changes in social polarization, </w:t>
      </w:r>
      <w:r w:rsidR="00425D59" w:rsidRPr="00425D59">
        <w:rPr>
          <w:rFonts w:ascii="Times New Roman" w:hAnsi="Times New Roman" w:cs="Times New Roman"/>
          <w:sz w:val="24"/>
        </w:rPr>
        <w:t>the reverse association was strongly evident: pre-pandemic social cohesion predicted subsequent lockdown stringency.</w:t>
      </w:r>
      <w:r w:rsidRPr="00C8001A">
        <w:rPr>
          <w:rFonts w:ascii="Times New Roman" w:hAnsi="Times New Roman" w:cs="Times New Roman"/>
          <w:sz w:val="24"/>
        </w:rPr>
        <w:t xml:space="preserve"> As illustrated in Figure 2, pre-pandemic social cohesion (V-Dem </w:t>
      </w:r>
      <w:r w:rsidRPr="00C8001A">
        <w:rPr>
          <w:rFonts w:ascii="Times New Roman" w:hAnsi="Times New Roman" w:cs="Times New Roman"/>
          <w:i/>
          <w:iCs/>
          <w:sz w:val="24"/>
        </w:rPr>
        <w:t>v2smpolsoc</w:t>
      </w:r>
      <w:r w:rsidRPr="00C8001A">
        <w:rPr>
          <w:rFonts w:ascii="Times New Roman" w:hAnsi="Times New Roman" w:cs="Times New Roman"/>
          <w:sz w:val="24"/>
        </w:rPr>
        <w:t>, 2019) was strongly negatively associated with mean lockdown stringency over 2020–2021 across the 3</w:t>
      </w:r>
      <w:r w:rsidR="00066FCC">
        <w:rPr>
          <w:rFonts w:ascii="Times New Roman" w:hAnsi="Times New Roman" w:cs="Times New Roman"/>
          <w:sz w:val="24"/>
        </w:rPr>
        <w:t>7</w:t>
      </w:r>
      <w:r w:rsidRPr="00C8001A">
        <w:rPr>
          <w:rFonts w:ascii="Times New Roman" w:hAnsi="Times New Roman" w:cs="Times New Roman"/>
          <w:sz w:val="24"/>
        </w:rPr>
        <w:t xml:space="preserve"> OECD countries (r = −0.51, </w:t>
      </w:r>
      <w:r w:rsidRPr="00C8001A">
        <w:rPr>
          <w:rFonts w:ascii="Times New Roman" w:hAnsi="Times New Roman" w:cs="Times New Roman"/>
          <w:sz w:val="24"/>
        </w:rPr>
        <w:lastRenderedPageBreak/>
        <w:t>p = 0.001). Countries that entered the pandemic with greater cohesion subsequently adopted lighter restrictions; countries that entered with deeper polarization adopted markedly more coercive mandates.</w:t>
      </w:r>
    </w:p>
    <w:p w14:paraId="5CC5B1A9" w14:textId="688AFB17" w:rsidR="00C8001A" w:rsidRDefault="00C8001A" w:rsidP="00CF516B">
      <w:pPr>
        <w:spacing w:line="480" w:lineRule="auto"/>
        <w:rPr>
          <w:rFonts w:ascii="Times New Roman" w:hAnsi="Times New Roman" w:cs="Times New Roman"/>
          <w:sz w:val="24"/>
        </w:rPr>
      </w:pPr>
      <w:r>
        <w:rPr>
          <w:rFonts w:ascii="Times New Roman" w:hAnsi="Times New Roman" w:cs="Times New Roman"/>
          <w:sz w:val="24"/>
        </w:rPr>
        <w:tab/>
      </w:r>
      <w:r w:rsidRPr="00C8001A">
        <w:rPr>
          <w:rFonts w:ascii="Times New Roman" w:hAnsi="Times New Roman" w:cs="Times New Roman"/>
          <w:sz w:val="24"/>
        </w:rPr>
        <w:t>This selection effect reframes the analytical question. The cross-sectional association between coercive policy and polarization that a naive analysis might read as causal is instead a structural footprint: pre-existing social conditions selected countries into distinct governance regimes. Socially cohesive societies — Japan, the Nordic countries, New Zealand — were able to elicit voluntary compliance through shared norms of collective responsibility and therefore did not require strict mandates, whereas low-trust societies could not assume voluntary compliance and were structurally compelled to substitute formal coercion for absent informal norms. Coercive lockdown policy was, in this sense, an institutional consequence of prior polarization rather than an antecedent of it.</w:t>
      </w:r>
    </w:p>
    <w:p w14:paraId="3E17A072" w14:textId="4494A63B" w:rsidR="00C8001A" w:rsidRPr="00C8001A" w:rsidRDefault="00C8001A" w:rsidP="00CF516B">
      <w:pPr>
        <w:spacing w:line="480" w:lineRule="auto"/>
        <w:rPr>
          <w:rFonts w:ascii="Times New Roman" w:hAnsi="Times New Roman" w:cs="Times New Roman"/>
          <w:i/>
          <w:iCs/>
          <w:sz w:val="24"/>
        </w:rPr>
      </w:pPr>
      <w:r w:rsidRPr="00C8001A">
        <w:rPr>
          <w:rFonts w:ascii="Times New Roman" w:hAnsi="Times New Roman" w:cs="Times New Roman"/>
          <w:i/>
          <w:iCs/>
          <w:sz w:val="24"/>
        </w:rPr>
        <w:t>Sensitivity analyses</w:t>
      </w:r>
    </w:p>
    <w:p w14:paraId="4FDD8FF8" w14:textId="79F3A82D" w:rsidR="00C8001A" w:rsidRDefault="00C8001A" w:rsidP="001976E3">
      <w:pPr>
        <w:spacing w:line="480" w:lineRule="auto"/>
        <w:rPr>
          <w:rFonts w:ascii="Times New Roman" w:hAnsi="Times New Roman" w:cs="Times New Roman"/>
          <w:sz w:val="24"/>
        </w:rPr>
      </w:pPr>
      <w:r w:rsidRPr="00C8001A">
        <w:rPr>
          <w:rFonts w:ascii="Times New Roman" w:hAnsi="Times New Roman" w:cs="Times New Roman"/>
          <w:sz w:val="24"/>
        </w:rPr>
        <w:t xml:space="preserve">Two pre-specified Bayesian sensitivity analyses, summarized jointly in </w:t>
      </w:r>
      <w:r w:rsidR="00B543E4" w:rsidRPr="00B543E4">
        <w:rPr>
          <w:rFonts w:ascii="Times New Roman" w:hAnsi="Times New Roman" w:cs="Times New Roman"/>
          <w:sz w:val="24"/>
        </w:rPr>
        <w:t>Supplementary Tables S1 and S2</w:t>
      </w:r>
      <w:r w:rsidR="00287D59">
        <w:rPr>
          <w:rFonts w:ascii="Times New Roman" w:hAnsi="Times New Roman" w:cs="Times New Roman"/>
          <w:sz w:val="24"/>
        </w:rPr>
        <w:t xml:space="preserve"> </w:t>
      </w:r>
      <w:r w:rsidR="00287D59" w:rsidRPr="00287D59">
        <w:rPr>
          <w:rFonts w:ascii="Times New Roman" w:hAnsi="Times New Roman" w:cs="Times New Roman"/>
          <w:sz w:val="24"/>
        </w:rPr>
        <w:t>(SI Appendices B and C),</w:t>
      </w:r>
      <w:r w:rsidRPr="00C8001A">
        <w:rPr>
          <w:rFonts w:ascii="Times New Roman" w:hAnsi="Times New Roman" w:cs="Times New Roman"/>
          <w:sz w:val="24"/>
        </w:rPr>
        <w:t xml:space="preserve"> confirm the robustness of the primary association estimates.</w:t>
      </w:r>
    </w:p>
    <w:p w14:paraId="40F905AA" w14:textId="15519E3F" w:rsidR="00C8001A" w:rsidRDefault="00C8001A" w:rsidP="001976E3">
      <w:pPr>
        <w:spacing w:line="480" w:lineRule="auto"/>
        <w:rPr>
          <w:rFonts w:ascii="Times New Roman" w:hAnsi="Times New Roman" w:cs="Times New Roman"/>
          <w:sz w:val="24"/>
        </w:rPr>
      </w:pPr>
      <w:r>
        <w:rPr>
          <w:rFonts w:ascii="Times New Roman" w:hAnsi="Times New Roman" w:cs="Times New Roman"/>
          <w:sz w:val="24"/>
        </w:rPr>
        <w:tab/>
      </w:r>
      <w:r w:rsidRPr="00C8001A">
        <w:rPr>
          <w:rFonts w:ascii="Times New Roman" w:hAnsi="Times New Roman" w:cs="Times New Roman"/>
          <w:sz w:val="24"/>
        </w:rPr>
        <w:t xml:space="preserve">First, extending the within-country lag from one to two years did not surface any </w:t>
      </w:r>
      <w:r w:rsidRPr="00C8001A">
        <w:rPr>
          <w:rFonts w:ascii="Times New Roman" w:hAnsi="Times New Roman" w:cs="Times New Roman"/>
          <w:sz w:val="24"/>
        </w:rPr>
        <w:lastRenderedPageBreak/>
        <w:t>latent acute association. The autoregressive inertia parameter remained large and credibly non-zero (</w:t>
      </w:r>
      <m:oMath>
        <m:r>
          <w:rPr>
            <w:rFonts w:ascii="Cambria Math" w:hAnsi="Cambria Math" w:cs="Times New Roman"/>
            <w:sz w:val="24"/>
          </w:rPr>
          <m:t>ϕ</m:t>
        </m:r>
      </m:oMath>
      <w:r w:rsidRPr="00C8001A">
        <w:rPr>
          <w:rFonts w:ascii="Times New Roman" w:hAnsi="Times New Roman" w:cs="Times New Roman"/>
          <w:sz w:val="24"/>
        </w:rPr>
        <w:t xml:space="preserve"> = 1.1</w:t>
      </w:r>
      <w:r w:rsidR="00B60CD6">
        <w:rPr>
          <w:rFonts w:ascii="Times New Roman" w:hAnsi="Times New Roman" w:cs="Times New Roman"/>
          <w:sz w:val="24"/>
        </w:rPr>
        <w:t>4</w:t>
      </w:r>
      <w:r w:rsidRPr="00C8001A">
        <w:rPr>
          <w:rFonts w:ascii="Times New Roman" w:hAnsi="Times New Roman" w:cs="Times New Roman"/>
          <w:sz w:val="24"/>
        </w:rPr>
        <w:t>, 95% HDI [0.9</w:t>
      </w:r>
      <w:r w:rsidR="00B60CD6">
        <w:rPr>
          <w:rFonts w:ascii="Times New Roman" w:hAnsi="Times New Roman" w:cs="Times New Roman"/>
          <w:sz w:val="24"/>
        </w:rPr>
        <w:t>5</w:t>
      </w:r>
      <w:r w:rsidRPr="00C8001A">
        <w:rPr>
          <w:rFonts w:ascii="Times New Roman" w:hAnsi="Times New Roman" w:cs="Times New Roman"/>
          <w:sz w:val="24"/>
        </w:rPr>
        <w:t>, 1.3</w:t>
      </w:r>
      <w:r w:rsidR="00B60CD6">
        <w:rPr>
          <w:rFonts w:ascii="Times New Roman" w:hAnsi="Times New Roman" w:cs="Times New Roman"/>
          <w:sz w:val="24"/>
        </w:rPr>
        <w:t>1</w:t>
      </w:r>
      <w:r w:rsidRPr="00C8001A">
        <w:rPr>
          <w:rFonts w:ascii="Times New Roman" w:hAnsi="Times New Roman" w:cs="Times New Roman"/>
          <w:sz w:val="24"/>
        </w:rPr>
        <w:t>]), while the two-year-lagged coefficients of association on log COVID-19 mortality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p,2</m:t>
            </m:r>
          </m:sub>
        </m:sSub>
      </m:oMath>
      <w:r w:rsidRPr="00C8001A">
        <w:rPr>
          <w:rFonts w:ascii="Times New Roman" w:hAnsi="Times New Roman" w:cs="Times New Roman"/>
          <w:sz w:val="24"/>
        </w:rPr>
        <w:t xml:space="preserve"> = </w:t>
      </w:r>
      <w:r>
        <w:rPr>
          <w:rFonts w:ascii="Times New Roman" w:hAnsi="Times New Roman" w:cs="Times New Roman"/>
          <w:sz w:val="24"/>
        </w:rPr>
        <w:t>-</w:t>
      </w:r>
      <w:r w:rsidRPr="00C8001A">
        <w:rPr>
          <w:rFonts w:ascii="Times New Roman" w:hAnsi="Times New Roman" w:cs="Times New Roman"/>
          <w:sz w:val="24"/>
        </w:rPr>
        <w:t>0.05, 95% HDI [</w:t>
      </w:r>
      <w:r>
        <w:rPr>
          <w:rFonts w:ascii="Times New Roman" w:hAnsi="Times New Roman" w:cs="Times New Roman"/>
          <w:sz w:val="24"/>
        </w:rPr>
        <w:t>-</w:t>
      </w:r>
      <w:r w:rsidRPr="00C8001A">
        <w:rPr>
          <w:rFonts w:ascii="Times New Roman" w:hAnsi="Times New Roman" w:cs="Times New Roman"/>
          <w:sz w:val="24"/>
        </w:rPr>
        <w:t>0.1</w:t>
      </w:r>
      <w:r w:rsidR="00B60CD6">
        <w:rPr>
          <w:rFonts w:ascii="Times New Roman" w:hAnsi="Times New Roman" w:cs="Times New Roman"/>
          <w:sz w:val="24"/>
        </w:rPr>
        <w:t>9</w:t>
      </w:r>
      <w:r w:rsidRPr="00C8001A">
        <w:rPr>
          <w:rFonts w:ascii="Times New Roman" w:hAnsi="Times New Roman" w:cs="Times New Roman"/>
          <w:sz w:val="24"/>
        </w:rPr>
        <w:t>, 0.0</w:t>
      </w:r>
      <w:r w:rsidR="00116CF0">
        <w:rPr>
          <w:rFonts w:ascii="Times New Roman" w:hAnsi="Times New Roman" w:cs="Times New Roman"/>
          <w:sz w:val="24"/>
        </w:rPr>
        <w:t>8</w:t>
      </w:r>
      <w:r w:rsidRPr="00C8001A">
        <w:rPr>
          <w:rFonts w:ascii="Times New Roman" w:hAnsi="Times New Roman" w:cs="Times New Roman"/>
          <w:sz w:val="24"/>
        </w:rPr>
        <w:t>]) and on lockdown stringency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s,2</m:t>
            </m:r>
          </m:sub>
        </m:sSub>
      </m:oMath>
      <w:r w:rsidRPr="00C8001A">
        <w:rPr>
          <w:rFonts w:ascii="Times New Roman" w:hAnsi="Times New Roman" w:cs="Times New Roman"/>
          <w:sz w:val="24"/>
        </w:rPr>
        <w:t xml:space="preserve"> = 0.0</w:t>
      </w:r>
      <w:r w:rsidR="00116CF0">
        <w:rPr>
          <w:rFonts w:ascii="Times New Roman" w:hAnsi="Times New Roman" w:cs="Times New Roman"/>
          <w:sz w:val="24"/>
        </w:rPr>
        <w:t>5</w:t>
      </w:r>
      <w:r w:rsidRPr="00C8001A">
        <w:rPr>
          <w:rFonts w:ascii="Times New Roman" w:hAnsi="Times New Roman" w:cs="Times New Roman"/>
          <w:sz w:val="24"/>
        </w:rPr>
        <w:t>, 95% HDI [−0.0</w:t>
      </w:r>
      <w:r w:rsidR="00116CF0">
        <w:rPr>
          <w:rFonts w:ascii="Times New Roman" w:hAnsi="Times New Roman" w:cs="Times New Roman"/>
          <w:sz w:val="24"/>
        </w:rPr>
        <w:t>4</w:t>
      </w:r>
      <w:r w:rsidRPr="00C8001A">
        <w:rPr>
          <w:rFonts w:ascii="Times New Roman" w:hAnsi="Times New Roman" w:cs="Times New Roman"/>
          <w:sz w:val="24"/>
        </w:rPr>
        <w:t>, 0.1</w:t>
      </w:r>
      <w:r w:rsidR="00116CF0">
        <w:rPr>
          <w:rFonts w:ascii="Times New Roman" w:hAnsi="Times New Roman" w:cs="Times New Roman"/>
          <w:sz w:val="24"/>
        </w:rPr>
        <w:t>4</w:t>
      </w:r>
      <w:r w:rsidRPr="00C8001A">
        <w:rPr>
          <w:rFonts w:ascii="Times New Roman" w:hAnsi="Times New Roman" w:cs="Times New Roman"/>
          <w:sz w:val="24"/>
        </w:rPr>
        <w:t>]) both crossed zero. The null acute-shock associations are therefore not an artifact of a too-short lag horizon; they survive when the structural memory of the model is doubled.</w:t>
      </w:r>
    </w:p>
    <w:p w14:paraId="74972645" w14:textId="6D9D5FAD" w:rsidR="00C8001A" w:rsidRDefault="00C8001A" w:rsidP="001976E3">
      <w:pPr>
        <w:spacing w:line="480" w:lineRule="auto"/>
        <w:rPr>
          <w:rFonts w:ascii="Times New Roman" w:hAnsi="Times New Roman" w:cs="Times New Roman"/>
          <w:sz w:val="24"/>
        </w:rPr>
      </w:pPr>
      <w:r>
        <w:rPr>
          <w:rFonts w:ascii="Times New Roman" w:hAnsi="Times New Roman" w:cs="Times New Roman"/>
          <w:sz w:val="24"/>
        </w:rPr>
        <w:tab/>
      </w:r>
      <w:r w:rsidRPr="00C8001A">
        <w:rPr>
          <w:rFonts w:ascii="Times New Roman" w:hAnsi="Times New Roman" w:cs="Times New Roman"/>
          <w:sz w:val="24"/>
        </w:rPr>
        <w:t>Second, the effect-modification specification rejected the hypothesis that high pre-pandemic cohesion buffered the acute pandemic-shock associations. The product term between baseline 2019 cohesion and one-year-lagged log COVID-19 mortality was not credibly different from zero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inter,p</m:t>
            </m:r>
          </m:sub>
        </m:sSub>
      </m:oMath>
      <w:r w:rsidRPr="00C8001A">
        <w:rPr>
          <w:rFonts w:ascii="Times New Roman" w:hAnsi="Times New Roman" w:cs="Times New Roman"/>
          <w:sz w:val="24"/>
        </w:rPr>
        <w:t xml:space="preserve"> = </w:t>
      </w:r>
      <w:r>
        <w:rPr>
          <w:rFonts w:ascii="Times New Roman" w:hAnsi="Times New Roman" w:cs="Times New Roman"/>
          <w:sz w:val="24"/>
        </w:rPr>
        <w:t>-</w:t>
      </w:r>
      <w:r w:rsidRPr="00C8001A">
        <w:rPr>
          <w:rFonts w:ascii="Times New Roman" w:hAnsi="Times New Roman" w:cs="Times New Roman"/>
          <w:sz w:val="24"/>
        </w:rPr>
        <w:t>0.0</w:t>
      </w:r>
      <w:r w:rsidR="002A5781">
        <w:rPr>
          <w:rFonts w:ascii="Times New Roman" w:hAnsi="Times New Roman" w:cs="Times New Roman"/>
          <w:sz w:val="24"/>
        </w:rPr>
        <w:t>8</w:t>
      </w:r>
      <w:r w:rsidRPr="00C8001A">
        <w:rPr>
          <w:rFonts w:ascii="Times New Roman" w:hAnsi="Times New Roman" w:cs="Times New Roman"/>
          <w:sz w:val="24"/>
        </w:rPr>
        <w:t>, 95% HDI [</w:t>
      </w:r>
      <w:r>
        <w:rPr>
          <w:rFonts w:ascii="Times New Roman" w:hAnsi="Times New Roman" w:cs="Times New Roman"/>
          <w:sz w:val="24"/>
        </w:rPr>
        <w:t>-</w:t>
      </w:r>
      <w:r w:rsidRPr="00C8001A">
        <w:rPr>
          <w:rFonts w:ascii="Times New Roman" w:hAnsi="Times New Roman" w:cs="Times New Roman"/>
          <w:sz w:val="24"/>
        </w:rPr>
        <w:t>0.</w:t>
      </w:r>
      <w:r w:rsidR="002A5781">
        <w:rPr>
          <w:rFonts w:ascii="Times New Roman" w:hAnsi="Times New Roman" w:cs="Times New Roman"/>
          <w:sz w:val="24"/>
        </w:rPr>
        <w:t>15</w:t>
      </w:r>
      <w:r w:rsidRPr="00C8001A">
        <w:rPr>
          <w:rFonts w:ascii="Times New Roman" w:hAnsi="Times New Roman" w:cs="Times New Roman"/>
          <w:sz w:val="24"/>
        </w:rPr>
        <w:t>, 0.0</w:t>
      </w:r>
      <w:r w:rsidR="002A5781">
        <w:rPr>
          <w:rFonts w:ascii="Times New Roman" w:hAnsi="Times New Roman" w:cs="Times New Roman"/>
          <w:sz w:val="24"/>
        </w:rPr>
        <w:t>0</w:t>
      </w:r>
      <w:r w:rsidRPr="00C8001A">
        <w:rPr>
          <w:rFonts w:ascii="Times New Roman" w:hAnsi="Times New Roman" w:cs="Times New Roman"/>
          <w:sz w:val="24"/>
        </w:rPr>
        <w:t>]), and neither was the product term with one-year-lagged lockdown stringency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inter,s</m:t>
            </m:r>
          </m:sub>
        </m:sSub>
      </m:oMath>
      <w:r w:rsidRPr="00C8001A">
        <w:rPr>
          <w:rFonts w:ascii="Times New Roman" w:hAnsi="Times New Roman" w:cs="Times New Roman"/>
          <w:sz w:val="24"/>
        </w:rPr>
        <w:t xml:space="preserve"> = </w:t>
      </w:r>
      <w:r w:rsidR="002A5781">
        <w:rPr>
          <w:rFonts w:ascii="Times New Roman" w:hAnsi="Times New Roman" w:cs="Times New Roman"/>
          <w:sz w:val="24"/>
        </w:rPr>
        <w:t>-</w:t>
      </w:r>
      <w:r w:rsidRPr="00C8001A">
        <w:rPr>
          <w:rFonts w:ascii="Times New Roman" w:hAnsi="Times New Roman" w:cs="Times New Roman"/>
          <w:sz w:val="24"/>
        </w:rPr>
        <w:t>0.0</w:t>
      </w:r>
      <w:r w:rsidR="00116CF0">
        <w:rPr>
          <w:rFonts w:ascii="Times New Roman" w:hAnsi="Times New Roman" w:cs="Times New Roman"/>
          <w:sz w:val="24"/>
        </w:rPr>
        <w:t>3</w:t>
      </w:r>
      <w:r w:rsidRPr="00C8001A">
        <w:rPr>
          <w:rFonts w:ascii="Times New Roman" w:hAnsi="Times New Roman" w:cs="Times New Roman"/>
          <w:sz w:val="24"/>
        </w:rPr>
        <w:t>, 95% HDI [</w:t>
      </w:r>
      <w:r>
        <w:rPr>
          <w:rFonts w:ascii="Times New Roman" w:hAnsi="Times New Roman" w:cs="Times New Roman"/>
          <w:sz w:val="24"/>
        </w:rPr>
        <w:t>-</w:t>
      </w:r>
      <w:r w:rsidRPr="00C8001A">
        <w:rPr>
          <w:rFonts w:ascii="Times New Roman" w:hAnsi="Times New Roman" w:cs="Times New Roman"/>
          <w:sz w:val="24"/>
        </w:rPr>
        <w:t>0.1</w:t>
      </w:r>
      <w:r w:rsidR="002A5781">
        <w:rPr>
          <w:rFonts w:ascii="Times New Roman" w:hAnsi="Times New Roman" w:cs="Times New Roman"/>
          <w:sz w:val="24"/>
        </w:rPr>
        <w:t>0</w:t>
      </w:r>
      <w:r w:rsidRPr="00C8001A">
        <w:rPr>
          <w:rFonts w:ascii="Times New Roman" w:hAnsi="Times New Roman" w:cs="Times New Roman"/>
          <w:sz w:val="24"/>
        </w:rPr>
        <w:t>, 0.</w:t>
      </w:r>
      <w:r w:rsidR="002A5781">
        <w:rPr>
          <w:rFonts w:ascii="Times New Roman" w:hAnsi="Times New Roman" w:cs="Times New Roman"/>
          <w:sz w:val="24"/>
        </w:rPr>
        <w:t>05</w:t>
      </w:r>
      <w:r w:rsidRPr="00C8001A">
        <w:rPr>
          <w:rFonts w:ascii="Times New Roman" w:hAnsi="Times New Roman" w:cs="Times New Roman"/>
          <w:sz w:val="24"/>
        </w:rPr>
        <w:t>]). The 95% HDIs for both interaction parameters firmly crossed zero, so the data provide no posterior support for the conjecture that the pandemic-shock associations differed across strata of baseline cohesion. The acute shocks were absorbed by macro-structural inertia uniformly across the OECD-3</w:t>
      </w:r>
      <w:r w:rsidR="00066FCC">
        <w:rPr>
          <w:rFonts w:ascii="Times New Roman" w:hAnsi="Times New Roman" w:cs="Times New Roman"/>
          <w:sz w:val="24"/>
        </w:rPr>
        <w:t>7</w:t>
      </w:r>
      <w:r w:rsidRPr="00C8001A">
        <w:rPr>
          <w:rFonts w:ascii="Times New Roman" w:hAnsi="Times New Roman" w:cs="Times New Roman"/>
          <w:sz w:val="24"/>
        </w:rPr>
        <w:t xml:space="preserve">, </w:t>
      </w:r>
      <w:r w:rsidR="00287D59" w:rsidRPr="00287D59">
        <w:rPr>
          <w:rFonts w:ascii="Times New Roman" w:hAnsi="Times New Roman" w:cs="Times New Roman"/>
          <w:sz w:val="24"/>
        </w:rPr>
        <w:t>not selectively in higher-cohesion settings</w:t>
      </w:r>
      <w:r w:rsidR="00287D59">
        <w:rPr>
          <w:rFonts w:ascii="Times New Roman" w:hAnsi="Times New Roman" w:cs="Times New Roman"/>
          <w:sz w:val="24"/>
        </w:rPr>
        <w:t>.</w:t>
      </w:r>
    </w:p>
    <w:p w14:paraId="0E581853" w14:textId="044AB932" w:rsidR="00C8001A" w:rsidRDefault="00C8001A" w:rsidP="001976E3">
      <w:pPr>
        <w:spacing w:line="480" w:lineRule="auto"/>
        <w:rPr>
          <w:rFonts w:ascii="Times New Roman" w:hAnsi="Times New Roman" w:cs="Times New Roman"/>
          <w:sz w:val="24"/>
        </w:rPr>
      </w:pPr>
      <w:r>
        <w:rPr>
          <w:rFonts w:ascii="Times New Roman" w:hAnsi="Times New Roman" w:cs="Times New Roman"/>
          <w:sz w:val="24"/>
        </w:rPr>
        <w:tab/>
      </w:r>
      <w:r w:rsidRPr="00C8001A">
        <w:rPr>
          <w:rFonts w:ascii="Times New Roman" w:hAnsi="Times New Roman" w:cs="Times New Roman"/>
          <w:sz w:val="24"/>
        </w:rPr>
        <w:t>Taken together, the preliminary, primary, and sensitivity results converge on a single substantive finding: across 3</w:t>
      </w:r>
      <w:r w:rsidR="00066FCC">
        <w:rPr>
          <w:rFonts w:ascii="Times New Roman" w:hAnsi="Times New Roman" w:cs="Times New Roman"/>
          <w:sz w:val="24"/>
        </w:rPr>
        <w:t>7</w:t>
      </w:r>
      <w:r w:rsidRPr="00C8001A">
        <w:rPr>
          <w:rFonts w:ascii="Times New Roman" w:hAnsi="Times New Roman" w:cs="Times New Roman"/>
          <w:sz w:val="24"/>
        </w:rPr>
        <w:t xml:space="preserve"> OECD democracies, the trajectory of social </w:t>
      </w:r>
      <w:r w:rsidRPr="00C8001A">
        <w:rPr>
          <w:rFonts w:ascii="Times New Roman" w:hAnsi="Times New Roman" w:cs="Times New Roman"/>
          <w:sz w:val="24"/>
        </w:rPr>
        <w:lastRenderedPageBreak/>
        <w:t>polarization between 2019 and 2024 is governed by macro-structural inertia and is not credibly associated with either the biological threat of COVID-19 mortality or the coercive policy response of lockdown stringency, while the cross-sectional pattern that links those policies to polarization is best understood as a selection effect in which pre-pandemic cohesion determined the policy regime.</w:t>
      </w:r>
    </w:p>
    <w:p w14:paraId="26822DE3" w14:textId="77777777" w:rsidR="00C8001A" w:rsidRPr="00C8001A" w:rsidRDefault="00C8001A" w:rsidP="001976E3">
      <w:pPr>
        <w:spacing w:line="480" w:lineRule="auto"/>
        <w:rPr>
          <w:rFonts w:ascii="Times New Roman" w:hAnsi="Times New Roman" w:cs="Times New Roman"/>
          <w:sz w:val="24"/>
        </w:rPr>
      </w:pPr>
    </w:p>
    <w:p w14:paraId="7F70CE6C" w14:textId="02DC1350" w:rsidR="001976E3" w:rsidRDefault="00F21D42" w:rsidP="001976E3">
      <w:pPr>
        <w:spacing w:line="480" w:lineRule="auto"/>
        <w:rPr>
          <w:rFonts w:ascii="Times New Roman" w:hAnsi="Times New Roman" w:cs="Times New Roman"/>
          <w:b/>
          <w:bCs/>
          <w:sz w:val="24"/>
        </w:rPr>
      </w:pPr>
      <w:r w:rsidRPr="00DE693E">
        <w:rPr>
          <w:rFonts w:ascii="Times New Roman" w:hAnsi="Times New Roman" w:cs="Times New Roman"/>
          <w:b/>
          <w:bCs/>
          <w:sz w:val="24"/>
        </w:rPr>
        <w:t>D</w:t>
      </w:r>
      <w:r w:rsidR="001976E3">
        <w:rPr>
          <w:rFonts w:ascii="Times New Roman" w:hAnsi="Times New Roman" w:cs="Times New Roman"/>
          <w:b/>
          <w:bCs/>
          <w:sz w:val="24"/>
        </w:rPr>
        <w:t>iscussion</w:t>
      </w:r>
    </w:p>
    <w:p w14:paraId="67E14829" w14:textId="78E66A6E" w:rsidR="00353A14" w:rsidRDefault="00305639" w:rsidP="001976E3">
      <w:pPr>
        <w:spacing w:line="480" w:lineRule="auto"/>
        <w:rPr>
          <w:rFonts w:ascii="Times New Roman" w:hAnsi="Times New Roman" w:cs="Times New Roman"/>
          <w:i/>
          <w:iCs/>
          <w:sz w:val="24"/>
        </w:rPr>
      </w:pPr>
      <w:r w:rsidRPr="00305639">
        <w:rPr>
          <w:rFonts w:ascii="Times New Roman" w:hAnsi="Times New Roman" w:cs="Times New Roman"/>
          <w:i/>
          <w:iCs/>
          <w:sz w:val="24"/>
        </w:rPr>
        <w:t>Parasite-Stress Theory revisited and the Temporal Fallacy</w:t>
      </w:r>
    </w:p>
    <w:p w14:paraId="648E78D4" w14:textId="0DFF4A6F" w:rsidR="00FE0B4E" w:rsidRDefault="00305639" w:rsidP="00FE0B4E">
      <w:pPr>
        <w:spacing w:line="480" w:lineRule="auto"/>
        <w:rPr>
          <w:rFonts w:ascii="Times New Roman" w:hAnsi="Times New Roman" w:cs="Times New Roman"/>
          <w:sz w:val="24"/>
        </w:rPr>
      </w:pPr>
      <w:r w:rsidRPr="00305639">
        <w:rPr>
          <w:rFonts w:ascii="Times New Roman" w:hAnsi="Times New Roman" w:cs="Times New Roman"/>
          <w:sz w:val="24"/>
        </w:rPr>
        <w:t xml:space="preserve">The Parasite-Stress Theory of Values predicts that infectious disease threats should drive societies toward authoritarianism, in-group conformity, and reduced tolerance for dissent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{"citationID":"rhLCD2jP","properties":{"unsorted":false,"formattedCitation":"(Thornhill &amp; Fincher, 2014)","plainCitation":"(Thornhill &amp; Fincher, 2014)","noteIndex":0},"citationItems":[{"id":386,"uris":["http://zotero.org/users/19944767/items/4SECZC62"],"itemData":{"id":386,"type":"book","publisher":"Springer","title":"The parasite-stress theory of values and sociality: Infectious disease, history and human values worldwide","author":[{"family":"Thornhill","given":"R."},{"family":"Fincher","given":"C. L."}],"issued":{"date-parts":[["2014"]]}}}],"schema":"https://github.com/citation-style-language/schema/raw/master/csl-citation.json"}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(Thornhill &amp; Fincher, 2014)</w:t>
      </w:r>
      <w:r>
        <w:rPr>
          <w:rFonts w:ascii="Times New Roman" w:hAnsi="Times New Roman" w:cs="Times New Roman"/>
          <w:sz w:val="24"/>
        </w:rPr>
        <w:fldChar w:fldCharType="end"/>
      </w:r>
      <w:r w:rsidRPr="00305639">
        <w:rPr>
          <w:rFonts w:ascii="Times New Roman" w:hAnsi="Times New Roman" w:cs="Times New Roman"/>
          <w:sz w:val="24"/>
        </w:rPr>
        <w:t>. Our Hierarchical Bayesian Dynamic Panel Model places this prediction under formal posterior scrutiny in the contemporary OECD setting and finds it unsupported on both of the channels through which the theory might plausibly operate. The biological-threat channel is null: the coefficient of association on one-year-lagged log COVID-19 mortality has a 95% highest-density interval (HDI) firmly crossing zero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r w:rsidRPr="00305639">
        <w:rPr>
          <w:rFonts w:ascii="Times New Roman" w:hAnsi="Times New Roman" w:cs="Times New Roman"/>
          <w:sz w:val="24"/>
        </w:rPr>
        <w:t xml:space="preserve"> = 0.0</w:t>
      </w:r>
      <w:r w:rsidR="00116CF0">
        <w:rPr>
          <w:rFonts w:ascii="Times New Roman" w:hAnsi="Times New Roman" w:cs="Times New Roman"/>
          <w:sz w:val="24"/>
        </w:rPr>
        <w:t>5</w:t>
      </w:r>
      <w:r w:rsidRPr="00305639">
        <w:rPr>
          <w:rFonts w:ascii="Times New Roman" w:hAnsi="Times New Roman" w:cs="Times New Roman"/>
          <w:sz w:val="24"/>
        </w:rPr>
        <w:t>, HDI [−0.0</w:t>
      </w:r>
      <w:r w:rsidR="00231E4F">
        <w:rPr>
          <w:rFonts w:ascii="Times New Roman" w:hAnsi="Times New Roman" w:cs="Times New Roman"/>
          <w:sz w:val="24"/>
        </w:rPr>
        <w:t>4</w:t>
      </w:r>
      <w:r w:rsidRPr="00305639">
        <w:rPr>
          <w:rFonts w:ascii="Times New Roman" w:hAnsi="Times New Roman" w:cs="Times New Roman"/>
          <w:sz w:val="24"/>
        </w:rPr>
        <w:t>, 0.1</w:t>
      </w:r>
      <w:r w:rsidR="00231E4F">
        <w:rPr>
          <w:rFonts w:ascii="Times New Roman" w:hAnsi="Times New Roman" w:cs="Times New Roman"/>
          <w:sz w:val="24"/>
        </w:rPr>
        <w:t>3</w:t>
      </w:r>
      <w:r w:rsidRPr="00305639">
        <w:rPr>
          <w:rFonts w:ascii="Times New Roman" w:hAnsi="Times New Roman" w:cs="Times New Roman"/>
          <w:sz w:val="24"/>
        </w:rPr>
        <w:t xml:space="preserve">]). The policy-coercion channel — the instrument that might most plausibly proxy the "authoritarian shift" the theory predicts — is likewise null, with the coefficient of association on one-year-lagged lockdown stringency essentially </w:t>
      </w:r>
      <w:r w:rsidRPr="00305639">
        <w:rPr>
          <w:rFonts w:ascii="Times New Roman" w:hAnsi="Times New Roman" w:cs="Times New Roman"/>
          <w:sz w:val="24"/>
        </w:rPr>
        <w:lastRenderedPageBreak/>
        <w:t>indistinguishable from zero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305639">
        <w:rPr>
          <w:rFonts w:ascii="Times New Roman" w:hAnsi="Times New Roman" w:cs="Times New Roman"/>
          <w:sz w:val="24"/>
        </w:rPr>
        <w:t xml:space="preserve"> = 0.00, HDI [−0.06, 0.0</w:t>
      </w:r>
      <w:r w:rsidR="00116CF0">
        <w:rPr>
          <w:rFonts w:ascii="Times New Roman" w:hAnsi="Times New Roman" w:cs="Times New Roman"/>
          <w:sz w:val="24"/>
        </w:rPr>
        <w:t>7</w:t>
      </w:r>
      <w:r w:rsidRPr="00305639">
        <w:rPr>
          <w:rFonts w:ascii="Times New Roman" w:hAnsi="Times New Roman" w:cs="Times New Roman"/>
          <w:sz w:val="24"/>
        </w:rPr>
        <w:t>]). Neither acute exposure is credibly associated with the trajectory of social polarization once macro-structural inertia and regional partial pooling are accounted for.</w:t>
      </w:r>
    </w:p>
    <w:p w14:paraId="03810D0E" w14:textId="5C6ECAB1" w:rsidR="00305639" w:rsidRDefault="00305639" w:rsidP="00FE0B4E">
      <w:pPr>
        <w:spacing w:line="480" w:lineRule="auto"/>
        <w:rPr>
          <w:rFonts w:ascii="Times New Roman" w:hAnsi="Times New Roman" w:cs="Times New Roman"/>
          <w:sz w:val="24"/>
        </w:rPr>
      </w:pPr>
      <w:r>
        <w:rPr>
          <w:rFonts w:ascii="Times New Roman" w:hAnsi="Times New Roman" w:cs="Times New Roman"/>
          <w:sz w:val="24"/>
        </w:rPr>
        <w:tab/>
      </w:r>
      <w:r w:rsidRPr="00305639">
        <w:rPr>
          <w:rFonts w:ascii="Times New Roman" w:hAnsi="Times New Roman" w:cs="Times New Roman"/>
          <w:sz w:val="24"/>
        </w:rPr>
        <w:t xml:space="preserve">This double null is consistent with Pasin et al.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{"citationID":"yZVPZfP3","properties":{"unsorted":false,"formattedCitation":"(Pasin et al., 2024)","plainCitation":"(Pasin et al., 2024)","noteIndex":0},"citationItems":[{"id":407,"uris":["http://zotero.org/users/19944767/items/7S28XXJA"],"itemData":{"id":407,"type":"article-journal","abstract":"Abstract\n            Did cultures change shortly after, and in response to, the COVID-19 outbreak? If so, then in what way? We study these questions for a set of macro-cultural dimensions: collectivism/individualism, duty/joy, traditionalism/autonomy, and pro-fertility/individual-choice norms. We also study specific perceptions and norms like perceived threats to society (e.g. immigration) and hygiene norms. We draw on Evolutionary Modernization Theory, Parasite Stress Theory, and the Behavioural Immune System, and existing evidence, to make an overarching prediction: the COVID-19 pandemic should increase collectivism, duty, traditionalism, conformity (i.e. pro-fertility), and outgroup prejudice. We derive specific hypotheses from this prediction and use survey data from 29,761 respondents, in 55 cities and 43 countries, collected before (April–December 2019) and recently after the emergence of COVID-19 (March–July 2020) to test them. We exploit variation in disease intensity across regions to test potential mechanisms behind any changes. The macro-cultural dimensions remained stable. In contrast, specific perceptions and norms related to the pandemic changed: norms of hygiene substantially increased as did perceived threats related to disease. Taken together, our findings imply that macro-cultural dimensions are primarily stable while specific perceptions and norms, particularly those related to the pandemic, can change rapidly. Our findings provide new evidence for theories of cultural change and have implications for policy, public health, daily life, and future trajectories of our societies.","container-title":"Scientific Reports","DOI":"10.1038/s41598-023-33155-6","ISSN":"2045-2322","issue":"1","journalAbbreviation":"Sci Rep","language":"en","page":"6502","source":"DOI.org (Crossref)","title":"Evidence from 43 countries that disease leaves cultures unchanged in the short-term","volume":"14","author":[{"family":"Pasin","given":"Gian Luca"},{"family":"Eriksson","given":"Kimmo"},{"family":"Guido","given":"Andrea"},{"family":"Di Sorrentino","given":"Eugenia Polizzi"},{"family":"Andrighetto","given":"Giulia"}],"issued":{"date-parts":[["2024",3,18]]}}}],"schema":"https://github.com/citation-style-language/schema/raw/master/csl-citation.json"}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(Pasin et al., 2024)</w:t>
      </w:r>
      <w:r>
        <w:rPr>
          <w:rFonts w:ascii="Times New Roman" w:hAnsi="Times New Roman" w:cs="Times New Roman"/>
          <w:sz w:val="24"/>
        </w:rPr>
        <w:fldChar w:fldCharType="end"/>
      </w:r>
      <w:r w:rsidRPr="00305639">
        <w:rPr>
          <w:rFonts w:ascii="Times New Roman" w:hAnsi="Times New Roman" w:cs="Times New Roman"/>
          <w:sz w:val="24"/>
        </w:rPr>
        <w:t xml:space="preserve">, who examined survey data from 29,761 individuals across 43 countries before and after the onset of COVID-19 and reported that macro-cultural dimensions — collectivism, conformity, outgroup prejudice — were unchanged in the short-term aftermath of the most severe global pathogen shock in a century. It also vindicates long-standing methodological critiques of the cross-national parasite-stress program: Currie and Mace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{"citationID":"7cXiZZWT","properties":{"unsorted":false,"formattedCitation":"(Currie &amp; Mace, 2012)","plainCitation":"(Currie &amp; Mace, 2012)","noteIndex":0},"citationItems":[{"id":368,"uris":["http://zotero.org/users/19944767/items/3CFAKNS9"],"itemData":{"id":368,"type":"article-journal","abstract":"Abstract\n            Re-analysis of the data provided in the target article reveals a lack of evidence for a strong, universal relationship between parasite stress and the variables relating to sociality. Furthermore, even if associations between these variables do exist, the analyses presented here do not provide evidence for Fincher &amp; Thornhill's (F&amp;T's) proposed causal mechanism.","container-title":"Behavioral and Brain Sciences","DOI":"10.1017/S0140525X11000963","ISSN":"0140-525X, 1469-1825","issue":"2","journalAbbreviation":"Behav Brain Sci","language":"en","license":"https://www.cambridge.org/core/terms","page":"83-85","source":"DOI.org (Crossref)","title":"Analyses do not support the parasite-stress theory of human sociality","volume":"35","author":[{"family":"Currie","given":"Thomas E."},{"family":"Mace","given":"Ruth"}],"issued":{"date-parts":[["2012",4]]}}}],"schema":"https://github.com/citation-style-language/schema/raw/master/csl-citation.json"}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(Currie &amp; Mace, 2012)</w:t>
      </w:r>
      <w:r>
        <w:rPr>
          <w:rFonts w:ascii="Times New Roman" w:hAnsi="Times New Roman" w:cs="Times New Roman"/>
          <w:sz w:val="24"/>
        </w:rPr>
        <w:fldChar w:fldCharType="end"/>
      </w:r>
      <w:r w:rsidRPr="00305639">
        <w:rPr>
          <w:rFonts w:ascii="Times New Roman" w:hAnsi="Times New Roman" w:cs="Times New Roman"/>
          <w:sz w:val="24"/>
        </w:rPr>
        <w:t xml:space="preserve"> showed that the original cross-country associations do not survive the proper handling of spatial non-independence, Pollet et al. </w:t>
      </w:r>
      <w:r>
        <w:rPr>
          <w:rFonts w:ascii="Times New Roman" w:hAnsi="Times New Roman" w:cs="Times New Roman"/>
          <w:sz w:val="24"/>
        </w:rPr>
        <w:fldChar w:fldCharType="begin"/>
      </w:r>
      <w:r w:rsidR="00116CF0">
        <w:rPr>
          <w:rFonts w:ascii="Times New Roman" w:hAnsi="Times New Roman" w:cs="Times New Roman"/>
          <w:sz w:val="24"/>
        </w:rPr>
        <w:instrText xml:space="preserve"> ADDIN ZOTERO_ITEM CSL_CITATION {"citationID":"NdyzGe3v","properties":{"unsorted":false,"formattedCitation":"(Pollet et al., 2014)","plainCitation":"(Pollet et al., 2014)","noteIndex":0},"citationItems":[{"id":374,"uris":["http://zotero.org/users/19944767/items/WZFVEI5Y"],"itemData":{"id":374,"type":"article-journal","container-title":"Human Nature","DOI":"10.1007/s12110-014-9206-3","ISSN":"1045-6767, 1936-4776","issue":"3","journalAbbreviation":"Hum Nat","language":"en","page":"410-429","source":"DOI.org (Crossref)","title":"What can cross-cultural correlations teach us about human nature?","volume":"25","author":[{"family":"Pollet","given":"Thomas V."},{"family":"Tybur","given":"Joshua M."},{"family":"Frankenhuis","given":"Willem E."},{"family":"Rickard","given":"Ian J."}],"issued":{"date-parts":[["2014",9]]}}}],"schema":"https://github.com/citation-style-language/schema/raw/master/csl-citation.json"}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(Pollet et al., 2014)</w:t>
      </w:r>
      <w:r>
        <w:rPr>
          <w:rFonts w:ascii="Times New Roman" w:hAnsi="Times New Roman" w:cs="Times New Roman"/>
          <w:sz w:val="24"/>
        </w:rPr>
        <w:fldChar w:fldCharType="end"/>
      </w:r>
      <w:r w:rsidRPr="00305639">
        <w:rPr>
          <w:rFonts w:ascii="Times New Roman" w:hAnsi="Times New Roman" w:cs="Times New Roman"/>
          <w:sz w:val="24"/>
        </w:rPr>
        <w:t xml:space="preserve"> warned that aggregate associations between pathogen prevalence and cultural values are systematically inflated by the ecological fallacy, and </w:t>
      </w:r>
      <w:proofErr w:type="spellStart"/>
      <w:r w:rsidRPr="00305639">
        <w:rPr>
          <w:rFonts w:ascii="Times New Roman" w:hAnsi="Times New Roman" w:cs="Times New Roman"/>
          <w:sz w:val="24"/>
        </w:rPr>
        <w:t>Tybur</w:t>
      </w:r>
      <w:proofErr w:type="spellEnd"/>
      <w:r w:rsidRPr="00305639">
        <w:rPr>
          <w:rFonts w:ascii="Times New Roman" w:hAnsi="Times New Roman" w:cs="Times New Roman"/>
          <w:sz w:val="24"/>
        </w:rPr>
        <w:t xml:space="preserve"> et al.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{"citationID":"hauuNfQo","properties":{"unsorted":false,"formattedCitation":"(Tybur et al., 2016)","plainCitation":"(Tybur et al., 2016)","noteIndex":0},"citationItems":[{"id":371,"uris":["http://zotero.org/users/19944767/items/CHQYURKM"],"itemData":{"id":371,"type":"article-journal","abstract":"Significance\n            Pathogens, and antipathogen behavioral strategies, affect myriad aspects of human behavior. Recent findings suggest that antipathogen strategies relate to political attitudes, with more ideologically conservative individuals reporting more disgust toward pathogen cues, and with higher parasite stress nations being, on average, more conservative. However, no research has yet adjudicated between two theoretical accounts proposed to explain these relationships between pathogens and politics. We find that national parasite stress and individual disgust sensitivity relate more strongly to adherence to traditional norms than they relate to support for barriers between social groups. These results suggest that the relationship between pathogens and politics reflects intragroup motivations more than intergroup motivations.\n          , \n            People who are more avoidant of pathogens are more politically conservative, as are nations with greater parasite stress. In the current research, we test two prominent hypotheses that have been proposed as explanations for these relationships. The first, which is an intragroup account, holds that these relationships between pathogens and politics are based on motivations to adhere to local norms, which are sometimes shaped by cultural evolution to have pathogen-neutralizing properties. The second, which is an intergroup account, holds that these same relationships are based on motivations to avoid contact with outgroups, who might pose greater infectious disease threats than ingroup members. Results from a study surveying 11,501 participants across 30 nations are more consistent with the intragroup account than with the intergroup account. National parasite stress relates to traditionalism (an aspect of conservatism especially related to adherence to group norms) but not to social dominance orientation (SDO; an aspect of conservatism especially related to endorsements of intergroup barriers and negativity toward ethnic and racial outgroups). Further, individual differences in pathogen-avoidance motives (i.e., disgust sensitivity) relate more strongly to traditionalism than to SDO within the 30 nations.","container-title":"Proceedings of the National Academy of Sciences","DOI":"10.1073/pnas.1607398113","ISSN":"0027-8424, 1091-6490","issue":"44","journalAbbreviation":"Proc. Natl. Acad. Sci. U.S.A.","language":"en","page":"12408-12413","source":"DOI.org (Crossref)","title":"Parasite stress and pathogen avoidance relate to distinct dimensions of political ideology across 30 nations","volume":"113","author":[{"family":"Tybur","given":"Joshua M."},{"family":"Inbar","given":"Yoel"},{"family":"Aarøe","given":"Lene"},{"family":"Barclay","given":"Pat"},{"family":"Barlow","given":"Fiona Kate"},{"family":"De Barra","given":"Mícheál"},{"family":"Becker","given":"D. Vaughn"},{"family":"Borovoi","given":"Leah"},{"family":"Choi","given":"Incheol"},{"family":"Choi","given":"Jong An"},{"family":"Consedine","given":"Nathan S."},{"family":"Conway","given":"Alan"},{"family":"Conway","given":"Jane Rebecca"},{"family":"Conway","given":"Paul"},{"family":"Adoric","given":"Vera Cubela"},{"family":"Demirci","given":"Dilara Ekin"},{"family":"Fern</w:instrText>
      </w:r>
      <w:r>
        <w:rPr>
          <w:rFonts w:ascii="Times New Roman" w:hAnsi="Times New Roman" w:cs="Times New Roman" w:hint="eastAsia"/>
          <w:sz w:val="24"/>
        </w:rPr>
        <w:instrText>á</w:instrText>
      </w:r>
      <w:r>
        <w:rPr>
          <w:rFonts w:ascii="Times New Roman" w:hAnsi="Times New Roman" w:cs="Times New Roman"/>
          <w:sz w:val="24"/>
        </w:rPr>
        <w:instrText xml:space="preserve">ndez","given":"Ana María"},{"family":"Ferreira","given":"Diogo Conque Seco"},{"family":"Ishii","given":"Keiko"},{"family":"Jakšić","given":"Ivana"},{"family":"Ji","given":"Tingting"},{"family":"Van Leeuwen","given":"Florian"},{"family":"Lewis","given":"David M. G."},{"family":"Li","given":"Norman P."},{"family":"McIntyre","given":"Jason C."},{"family":"Mukherjee","given":"Sumitava"},{"family":"Park","given":"Justin H."},{"family":"Pawlowski","given":"Boguslaw"},{"family":"Petersen","given":"Michael Bang"},{"family":"Pizarro","given":"David"},{"family":"Prodromitis","given":"Gerasimos"},{"family":"Prokop","given":"Pavol"},{"family":"Rantala","given":"Markus J."},{"family":"Reynolds","given":"Lisa M."},{"family":"Sandin","given":"Bonifacio"},{"family":"Sevi","given":"Bariş"},{"family":"De Smet","given":"Delphine"},{"family":"Srinivasan","given":"Narayanan"},{"family":"Tewari","given":"Shruti"},{"family":"Wilson","given":"Cameron"},{"family":"Yong","given":"Jose C."},{"family":"Žeželj","given":"Iris"}],"issued":{"date-parts":[["2016",11]]}}}],"schema":"https://github.com/citation-style-language/schema/raw/master/csl-citation.json"}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(Tybur et al., 2016)</w:t>
      </w:r>
      <w:r>
        <w:rPr>
          <w:rFonts w:ascii="Times New Roman" w:hAnsi="Times New Roman" w:cs="Times New Roman"/>
          <w:sz w:val="24"/>
        </w:rPr>
        <w:fldChar w:fldCharType="end"/>
      </w:r>
      <w:r w:rsidRPr="00305639">
        <w:rPr>
          <w:rFonts w:ascii="Times New Roman" w:hAnsi="Times New Roman" w:cs="Times New Roman"/>
          <w:sz w:val="24"/>
        </w:rPr>
        <w:t xml:space="preserve"> demonstrated that pathogen-avoidance dispositions are tied to a far narrower domain (sexual conservatism) than authoritarianism writ large. Our Bayesian results provide a direct, posterior-credible empirical confirmation of these critiques in the COVID-19 setting.</w:t>
      </w:r>
    </w:p>
    <w:p w14:paraId="45D50C5F" w14:textId="738B47DD" w:rsidR="00305639" w:rsidRDefault="00305639" w:rsidP="00FE0B4E">
      <w:pPr>
        <w:spacing w:line="480" w:lineRule="auto"/>
        <w:rPr>
          <w:rFonts w:ascii="Times New Roman" w:hAnsi="Times New Roman" w:cs="Times New Roman"/>
          <w:sz w:val="24"/>
        </w:rPr>
      </w:pPr>
      <w:r>
        <w:rPr>
          <w:rFonts w:ascii="Times New Roman" w:hAnsi="Times New Roman" w:cs="Times New Roman"/>
          <w:sz w:val="24"/>
        </w:rPr>
        <w:tab/>
      </w:r>
      <w:r w:rsidRPr="00305639">
        <w:rPr>
          <w:rFonts w:ascii="Times New Roman" w:hAnsi="Times New Roman" w:cs="Times New Roman"/>
          <w:sz w:val="24"/>
        </w:rPr>
        <w:t xml:space="preserve">We frame this null finding around what we have called the Temporal Fallacy: the </w:t>
      </w:r>
      <w:r w:rsidRPr="00305639">
        <w:rPr>
          <w:rFonts w:ascii="Times New Roman" w:hAnsi="Times New Roman" w:cs="Times New Roman"/>
          <w:sz w:val="24"/>
        </w:rPr>
        <w:lastRenderedPageBreak/>
        <w:t xml:space="preserve">error of projecting acute, micro-level psychological reactions to pathogens </w:t>
      </w:r>
      <w:r w:rsidR="00E84A09">
        <w:rPr>
          <w:rFonts w:ascii="Times New Roman" w:hAnsi="Times New Roman" w:cs="Times New Roman"/>
          <w:sz w:val="24"/>
        </w:rPr>
        <w:t>–</w:t>
      </w:r>
      <w:r w:rsidRPr="00305639">
        <w:rPr>
          <w:rFonts w:ascii="Times New Roman" w:hAnsi="Times New Roman" w:cs="Times New Roman"/>
          <w:sz w:val="24"/>
        </w:rPr>
        <w:t xml:space="preserve"> calibrated over evolutionary timescales and operative on individual cognition </w:t>
      </w:r>
      <w:r w:rsidR="00E84A09">
        <w:rPr>
          <w:rFonts w:ascii="Times New Roman" w:hAnsi="Times New Roman" w:cs="Times New Roman"/>
          <w:sz w:val="24"/>
        </w:rPr>
        <w:t>–</w:t>
      </w:r>
      <w:r w:rsidRPr="00305639">
        <w:rPr>
          <w:rFonts w:ascii="Times New Roman" w:hAnsi="Times New Roman" w:cs="Times New Roman"/>
          <w:sz w:val="24"/>
        </w:rPr>
        <w:t xml:space="preserve"> directly onto the macro-level institutional trajectories of nation-states. Our model formalizes the rebuttal. National-scale social polarization is not an aggregate snapshot of reflexive disgust responses; it is a slow, path-dependent process whose year-on-year trajectory is dominated by its own immediate past. Modern democratic institutions </w:t>
      </w:r>
      <w:r w:rsidR="00E84A09">
        <w:rPr>
          <w:rFonts w:ascii="Times New Roman" w:hAnsi="Times New Roman" w:cs="Times New Roman"/>
          <w:sz w:val="24"/>
        </w:rPr>
        <w:t>–</w:t>
      </w:r>
      <w:r w:rsidRPr="00305639">
        <w:rPr>
          <w:rFonts w:ascii="Times New Roman" w:hAnsi="Times New Roman" w:cs="Times New Roman"/>
          <w:sz w:val="24"/>
        </w:rPr>
        <w:t xml:space="preserve"> independent judiciaries, free media, embedded administrative routines </w:t>
      </w:r>
      <w:r w:rsidR="00E84A09">
        <w:rPr>
          <w:rFonts w:ascii="Times New Roman" w:hAnsi="Times New Roman" w:cs="Times New Roman"/>
          <w:sz w:val="24"/>
        </w:rPr>
        <w:t>–</w:t>
      </w:r>
      <w:r w:rsidRPr="00305639">
        <w:rPr>
          <w:rFonts w:ascii="Times New Roman" w:hAnsi="Times New Roman" w:cs="Times New Roman"/>
          <w:sz w:val="24"/>
        </w:rPr>
        <w:t xml:space="preserve"> absorb both the psychological shock of disease and the political shock of emergency governance into this structural memory, rather than transmitting either into lasting institutional change. The double null is therefore not a rejection of evolutionary logic at the individual level; it is the boundary condition that macro-structural inertia imposes on its institutional projection.</w:t>
      </w:r>
    </w:p>
    <w:p w14:paraId="3DB4F5CE" w14:textId="7DB53004" w:rsidR="00305639" w:rsidRPr="00305639" w:rsidRDefault="00305639" w:rsidP="00FE0B4E">
      <w:pPr>
        <w:spacing w:line="480" w:lineRule="auto"/>
        <w:rPr>
          <w:rFonts w:ascii="Times New Roman" w:hAnsi="Times New Roman" w:cs="Times New Roman"/>
          <w:i/>
          <w:iCs/>
          <w:sz w:val="24"/>
        </w:rPr>
      </w:pPr>
      <w:r w:rsidRPr="00305639">
        <w:rPr>
          <w:rFonts w:ascii="Times New Roman" w:hAnsi="Times New Roman" w:cs="Times New Roman"/>
          <w:i/>
          <w:iCs/>
          <w:sz w:val="24"/>
        </w:rPr>
        <w:t>The pandemic as stress test: the selection effect</w:t>
      </w:r>
    </w:p>
    <w:p w14:paraId="2EE2BD47" w14:textId="2A1B4CA8" w:rsidR="00305639" w:rsidRDefault="00305639" w:rsidP="00FE0B4E">
      <w:pPr>
        <w:spacing w:line="480" w:lineRule="auto"/>
        <w:rPr>
          <w:rFonts w:ascii="Times New Roman" w:hAnsi="Times New Roman" w:cs="Times New Roman"/>
          <w:sz w:val="24"/>
        </w:rPr>
      </w:pPr>
      <w:r w:rsidRPr="00305639">
        <w:rPr>
          <w:rFonts w:ascii="Times New Roman" w:hAnsi="Times New Roman" w:cs="Times New Roman"/>
          <w:sz w:val="24"/>
        </w:rPr>
        <w:t xml:space="preserve">If the pandemic did not drive polarization, what did it do? Our findings suggest that it functioned as a diagnostic </w:t>
      </w:r>
      <w:r w:rsidR="00E84A09">
        <w:rPr>
          <w:rFonts w:ascii="Times New Roman" w:hAnsi="Times New Roman" w:cs="Times New Roman"/>
          <w:sz w:val="24"/>
        </w:rPr>
        <w:t>–</w:t>
      </w:r>
      <w:r w:rsidRPr="00305639">
        <w:rPr>
          <w:rFonts w:ascii="Times New Roman" w:hAnsi="Times New Roman" w:cs="Times New Roman"/>
          <w:sz w:val="24"/>
        </w:rPr>
        <w:t xml:space="preserve"> a stress test that revealed the load-bearing capacity of each democracy's social infrastructure without itself adding to the structural load.</w:t>
      </w:r>
    </w:p>
    <w:p w14:paraId="14F281D4" w14:textId="263E9C3F" w:rsidR="00305639" w:rsidRDefault="00305639" w:rsidP="00FE0B4E">
      <w:pPr>
        <w:spacing w:line="480" w:lineRule="auto"/>
        <w:rPr>
          <w:rFonts w:ascii="Times New Roman" w:hAnsi="Times New Roman" w:cs="Times New Roman"/>
          <w:sz w:val="24"/>
        </w:rPr>
      </w:pPr>
      <w:r>
        <w:rPr>
          <w:rFonts w:ascii="Times New Roman" w:hAnsi="Times New Roman" w:cs="Times New Roman"/>
          <w:sz w:val="24"/>
        </w:rPr>
        <w:tab/>
      </w:r>
      <w:r w:rsidRPr="00305639">
        <w:rPr>
          <w:rFonts w:ascii="Times New Roman" w:hAnsi="Times New Roman" w:cs="Times New Roman"/>
          <w:sz w:val="24"/>
        </w:rPr>
        <w:t>The selection effect is the central evidence for this interpretation. Pre-pandemic social cohesion was strongly negatively associated with subsequent mean lockdown stringency across the OECD-3</w:t>
      </w:r>
      <w:r w:rsidR="00066FCC">
        <w:rPr>
          <w:rFonts w:ascii="Times New Roman" w:hAnsi="Times New Roman" w:cs="Times New Roman"/>
          <w:sz w:val="24"/>
        </w:rPr>
        <w:t>7</w:t>
      </w:r>
      <w:r w:rsidRPr="00305639">
        <w:rPr>
          <w:rFonts w:ascii="Times New Roman" w:hAnsi="Times New Roman" w:cs="Times New Roman"/>
          <w:sz w:val="24"/>
        </w:rPr>
        <w:t xml:space="preserve"> (r = −0.51, p = 0.001). The single strongest predictor of </w:t>
      </w:r>
      <w:r w:rsidRPr="00305639">
        <w:rPr>
          <w:rFonts w:ascii="Times New Roman" w:hAnsi="Times New Roman" w:cs="Times New Roman"/>
          <w:sz w:val="24"/>
        </w:rPr>
        <w:lastRenderedPageBreak/>
        <w:t>a country's lockdown strategy was not its epidemiological situation, its government's ideology, or its healthcare capacity, but the level of mutual social trust its citizens held before the crisis began. Countries did not simply choose stringency; their social conditions selected them into it.</w:t>
      </w:r>
    </w:p>
    <w:p w14:paraId="4513126C" w14:textId="4BDD9BB2" w:rsidR="00305639" w:rsidRDefault="00305639" w:rsidP="00FE0B4E">
      <w:pPr>
        <w:spacing w:line="480" w:lineRule="auto"/>
        <w:rPr>
          <w:rFonts w:ascii="Times New Roman" w:hAnsi="Times New Roman" w:cs="Times New Roman"/>
          <w:sz w:val="24"/>
        </w:rPr>
      </w:pPr>
      <w:r>
        <w:rPr>
          <w:rFonts w:ascii="Times New Roman" w:hAnsi="Times New Roman" w:cs="Times New Roman"/>
          <w:sz w:val="24"/>
        </w:rPr>
        <w:tab/>
      </w:r>
      <w:r w:rsidRPr="00305639">
        <w:rPr>
          <w:rFonts w:ascii="Times New Roman" w:hAnsi="Times New Roman" w:cs="Times New Roman"/>
          <w:sz w:val="24"/>
        </w:rPr>
        <w:t xml:space="preserve">For high-trust nations </w:t>
      </w:r>
      <w:r w:rsidR="00E84A09">
        <w:rPr>
          <w:rFonts w:ascii="Times New Roman" w:hAnsi="Times New Roman" w:cs="Times New Roman"/>
          <w:sz w:val="24"/>
        </w:rPr>
        <w:t>–</w:t>
      </w:r>
      <w:r w:rsidRPr="00305639">
        <w:rPr>
          <w:rFonts w:ascii="Times New Roman" w:hAnsi="Times New Roman" w:cs="Times New Roman"/>
          <w:sz w:val="24"/>
        </w:rPr>
        <w:t xml:space="preserve"> </w:t>
      </w:r>
      <w:r w:rsidR="001F0C3F" w:rsidRPr="001F0C3F">
        <w:rPr>
          <w:rFonts w:ascii="Times New Roman" w:hAnsi="Times New Roman" w:cs="Times New Roman"/>
          <w:sz w:val="24"/>
        </w:rPr>
        <w:t>Japan, the Nordic countries, and New Zealand</w:t>
      </w:r>
      <w:r w:rsidRPr="00305639">
        <w:rPr>
          <w:rFonts w:ascii="Times New Roman" w:hAnsi="Times New Roman" w:cs="Times New Roman"/>
          <w:sz w:val="24"/>
        </w:rPr>
        <w:t xml:space="preserve"> </w:t>
      </w:r>
      <w:r w:rsidR="00E84A09">
        <w:rPr>
          <w:rFonts w:ascii="Times New Roman" w:hAnsi="Times New Roman" w:cs="Times New Roman"/>
          <w:sz w:val="24"/>
        </w:rPr>
        <w:t>–</w:t>
      </w:r>
      <w:r w:rsidRPr="00305639">
        <w:rPr>
          <w:rFonts w:ascii="Times New Roman" w:hAnsi="Times New Roman" w:cs="Times New Roman"/>
          <w:sz w:val="24"/>
        </w:rPr>
        <w:t xml:space="preserve"> low lockdown stringency should not be read as policy laxity or governmental indifference. It reflects what Fukuyama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{"citationID":"GMdvhCBM","properties":{"unsorted":false,"formattedCitation":"(Fukuyama, 1995)","plainCitation":"(Fukuyama, 1995)","noteIndex":0},"citationItems":[{"id":414,"uris":["http://zotero.org/users/19944767/items/WTCHBBD8"],"itemData":{"id":414,"type":"book","publisher":"Free Press","title":"Trust: The social virtues and the creation of prosperity.","author":[{"family":"Fukuyama","given":"F."}],"issued":{"date-parts":[["1995"]]}}}],"schema":"https://github.com/citation-style-language/schema/raw/master/csl-citation.json"}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(Fukuyama, 1995)</w:t>
      </w:r>
      <w:r>
        <w:rPr>
          <w:rFonts w:ascii="Times New Roman" w:hAnsi="Times New Roman" w:cs="Times New Roman"/>
          <w:sz w:val="24"/>
        </w:rPr>
        <w:fldChar w:fldCharType="end"/>
      </w:r>
      <w:r w:rsidRPr="00305639">
        <w:rPr>
          <w:rFonts w:ascii="Times New Roman" w:hAnsi="Times New Roman" w:cs="Times New Roman"/>
          <w:sz w:val="24"/>
        </w:rPr>
        <w:t xml:space="preserve"> termed the capacity of high-trust societies to achieve collective outcomes at lower transaction costs, a principle subsequently extended to the pandemic context by analyses arguing that social trust, rather than regime type, was the critical axis separating successful from unsuccessful responses </w:t>
      </w:r>
      <w:r>
        <w:rPr>
          <w:rFonts w:ascii="Times New Roman" w:hAnsi="Times New Roman" w:cs="Times New Roman"/>
          <w:sz w:val="24"/>
        </w:rPr>
        <w:fldChar w:fldCharType="begin"/>
      </w:r>
      <w:r w:rsidR="0090791C">
        <w:rPr>
          <w:rFonts w:ascii="Times New Roman" w:hAnsi="Times New Roman" w:cs="Times New Roman"/>
          <w:sz w:val="24"/>
        </w:rPr>
        <w:instrText xml:space="preserve"> ADDIN ZOTERO_ITEM CSL_CITATION {"citationID":"Vo2E7Emo","properties":{"unsorted":false,"formattedCitation":"(Jankulovski, 2025)","plainCitation":"(Jankulovski, 2025)","noteIndex":0},"citationItems":[{"id":415,"uris":["http://zotero.org/users/19944767/items/AZTPPI2Z"],"itemData":{"id":415,"type":"article-journal","abstract":"The Covid-19 pandemic has significantly transformed international relations, exposing critical vulnerabilities in global cooperation frameworks. This paper explores the multifaceted challenges that have emerged in the post-Covid era, focusing on political, economic, security, and socio-cultural dimensions. The initial global response was marked by a surge in nationalism and isolationism, disrupting established multilateral systems and exacerbating geopolitical tensions, particularly between major powers such as the United States and China. Trust in international institutions, including the WHO and the UN, has declined, highlighting the urgent need for reform and stronger global coordination mechanisms. Economically, the pandemic caused widespread supply chain disruptions, increased unemployment, and widened inequality, compelling nations to reconsider their dependency on global networks. In terms of security, the crisis emphasized the importance of cybersecurity and health systems as integral components of national and global stability. Moreover, the pandemic catalyzed social and cultural shifts, with digitalization redefining communication, work, and education, while mental health and local resilience emerged as key priorities. The research underscores the necessity of revitalizing multilateralism and developing adaptive strategies for future crises. By analyzing the pandemic’s long-term impact on international relations, this paper advocates for stronger international solidarity, inclusive governance, and sustainable global policies. The findings aim to contribute to a deeper understanding of the post-Covid international order and provide strategic insights for building a more resilient and cooperative global community.","container-title":"International Journal of Economics, Management and Tourism","DOI":"10.46763/IJEMT2551117j","ISSN":"26713802, 26713810","issue":"1","journalAbbreviation":"IJEMT","page":"117-125","source":"DOI.org (Crossref)","title":"The challenges of international relations in the post-covid era","volume":"5","author":[{"family":"Jankulovski","given":"Stevce"}],"issued":{"date-parts":[["2025",5,21]]}}}],"schema":"https://github.com/citation-style-language/schema/raw/master/csl-citation.json"} </w:instrText>
      </w:r>
      <w:r>
        <w:rPr>
          <w:rFonts w:ascii="Times New Roman" w:hAnsi="Times New Roman" w:cs="Times New Roman"/>
          <w:sz w:val="24"/>
        </w:rPr>
        <w:fldChar w:fldCharType="separate"/>
      </w:r>
      <w:r w:rsidR="0090791C">
        <w:rPr>
          <w:rFonts w:ascii="Times New Roman" w:hAnsi="Times New Roman" w:cs="Times New Roman"/>
          <w:noProof/>
          <w:sz w:val="24"/>
        </w:rPr>
        <w:t>(Jankulovski, 2025)</w:t>
      </w:r>
      <w:r>
        <w:rPr>
          <w:rFonts w:ascii="Times New Roman" w:hAnsi="Times New Roman" w:cs="Times New Roman"/>
          <w:sz w:val="24"/>
        </w:rPr>
        <w:fldChar w:fldCharType="end"/>
      </w:r>
      <w:r w:rsidRPr="00305639">
        <w:rPr>
          <w:rFonts w:ascii="Times New Roman" w:hAnsi="Times New Roman" w:cs="Times New Roman"/>
          <w:sz w:val="24"/>
        </w:rPr>
        <w:t xml:space="preserve">. This mechanism is now well-documented at multiple scales. Bargain and </w:t>
      </w:r>
      <w:proofErr w:type="spellStart"/>
      <w:r w:rsidRPr="00305639">
        <w:rPr>
          <w:rFonts w:ascii="Times New Roman" w:hAnsi="Times New Roman" w:cs="Times New Roman"/>
          <w:sz w:val="24"/>
        </w:rPr>
        <w:t>Aminjonov</w:t>
      </w:r>
      <w:proofErr w:type="spellEnd"/>
      <w:r w:rsidRPr="00305639">
        <w:rPr>
          <w:rFonts w:ascii="Times New Roman" w:hAnsi="Times New Roman" w:cs="Times New Roman"/>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{"citationID":"k4RNaZob","properties":{"unsorted":false,"formattedCitation":"(Bargain &amp; Aminjonov, 2020)","plainCitation":"(Bargain &amp; Aminjonov, 2020)","noteIndex":0},"citationItems":[{"id":409,"uris":["http://zotero.org/users/19944767/items/26XSS7MS"],"itemData":{"id":409,"type":"article-journal","container-title":"Journal of Public Economics","DOI":"10.1016/j.jpubeco.2020.104316","ISSN":"00472727","journalAbbreviation":"Journal of Public Economics","language":"en","page":"104316","source":"DOI.org (Crossref)","title":"Trust and compliance to public health policies in times of COVID-19","volume":"192","author":[{"family":"Bargain","given":"Olivier"},{"family":"Aminjonov","given":"Ulugbek"}],"issued":{"date-parts":[["2020",12]]}}}],"schema":"https://github.com/citation-style-language/schema/raw/master/csl-citation.json"}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(Bargain &amp; Aminjonov, 2020)</w:t>
      </w:r>
      <w:r>
        <w:rPr>
          <w:rFonts w:ascii="Times New Roman" w:hAnsi="Times New Roman" w:cs="Times New Roman"/>
          <w:sz w:val="24"/>
        </w:rPr>
        <w:fldChar w:fldCharType="end"/>
      </w:r>
      <w:r w:rsidRPr="00305639">
        <w:rPr>
          <w:rFonts w:ascii="Times New Roman" w:hAnsi="Times New Roman" w:cs="Times New Roman"/>
          <w:sz w:val="24"/>
        </w:rPr>
        <w:t xml:space="preserve"> show that European regions with higher institutional trust exhibited substantially greater voluntary reductions in mobility during the pandemic, independent of the stringency of formal mandates. Durante et al.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{"citationID":"xBPXFv4c","properties":{"unsorted":false,"formattedCitation":"(Durante et al., 2021)","plainCitation":"(Durante et al., 2021)","noteIndex":0},"citationItems":[{"id":413,"uris":["http://zotero.org/users/19944767/items/BPC35UF5"],"itemData":{"id":413,"type":"article-journal","container-title":"Journal of Public Economics","DOI":"10.1016/j.jpubeco.2020.104342","ISSN":"00472727","journalAbbreviation":"Journal of Public Economics","language":"en","page":"104342","source":"DOI.org (Crossref)","title":"Asocial capital: Civic culture and social distancing during COVID-19","title-short":"Asocial capital","volume":"194","author":[{"family":"Durante","given":"Ruben"},{"family":"Guiso","given":"Luigi"},{"family":"Gulino","given":"Giorgio"}],"issued":{"date-parts":[["2021",2]]}}}],"schema":"https://github.com/citation-style-language/schema/raw/master/csl-citation.json"}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(Durante et al., 2021)</w:t>
      </w:r>
      <w:r>
        <w:rPr>
          <w:rFonts w:ascii="Times New Roman" w:hAnsi="Times New Roman" w:cs="Times New Roman"/>
          <w:sz w:val="24"/>
        </w:rPr>
        <w:fldChar w:fldCharType="end"/>
      </w:r>
      <w:r w:rsidRPr="00305639">
        <w:rPr>
          <w:rFonts w:ascii="Times New Roman" w:hAnsi="Times New Roman" w:cs="Times New Roman"/>
          <w:sz w:val="24"/>
        </w:rPr>
        <w:t xml:space="preserve"> find that Italian municipalities with stronger civic traditions practiced social distancing before government orders were issued </w:t>
      </w:r>
      <w:r w:rsidR="00E84A09">
        <w:rPr>
          <w:rFonts w:ascii="Times New Roman" w:hAnsi="Times New Roman" w:cs="Times New Roman"/>
          <w:sz w:val="24"/>
        </w:rPr>
        <w:t>–</w:t>
      </w:r>
      <w:r w:rsidRPr="00305639">
        <w:rPr>
          <w:rFonts w:ascii="Times New Roman" w:hAnsi="Times New Roman" w:cs="Times New Roman"/>
          <w:sz w:val="24"/>
        </w:rPr>
        <w:t xml:space="preserve"> trust preceded coercion rather than following it. At the cross-country level, Bartscher et al.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{"citationID":"sYwc0R44","properties":{"unsorted":false,"formattedCitation":"(Bartscher et al., 2021)","plainCitation":"(Bartscher et al., 2021)","noteIndex":0},"citationItems":[{"id":410,"uris":["http://zotero.org/users/19944767/items/NKDXIWIF"],"itemData":{"id":410,"type":"article-journal","container-title":"Journal of Health Economics","DOI":"10.1016/j.jhealeco.2021.102531","ISSN":"01676296","journalAbbreviation":"Journal of Health Economics","language":"en","page":"102531","source":"DOI.org (Crossref)","title":"Social capital and the spread of covid-19: Insights from european countries","title-short":"Social capital and the spread of covid-19","volume":"80","author":[{"family":"Bartscher","given":"Alina Kristin"},{"family":"Seitz","given":"Sebastian"},{"family":"Siegloch","given":"Sebastian"},{"family":"Slotwinski","given":"Michaela"},{"family":"Wehrhöfer","given":"Nils"}],"issued":{"date-parts":[["2021",12]]}}}],"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(Bartscher et al., 2021)</w:t>
      </w:r>
      <w:r>
        <w:rPr>
          <w:rFonts w:ascii="Times New Roman" w:hAnsi="Times New Roman" w:cs="Times New Roman"/>
          <w:sz w:val="24"/>
        </w:rPr>
        <w:fldChar w:fldCharType="end"/>
      </w:r>
      <w:r w:rsidRPr="00305639">
        <w:rPr>
          <w:rFonts w:ascii="Times New Roman" w:hAnsi="Times New Roman" w:cs="Times New Roman"/>
          <w:sz w:val="24"/>
        </w:rPr>
        <w:t xml:space="preserve"> demonstrate that social capital was associated with slower COVID-19 transmission across European countries </w:t>
      </w:r>
      <w:r w:rsidRPr="00305639">
        <w:rPr>
          <w:rFonts w:ascii="Times New Roman" w:hAnsi="Times New Roman" w:cs="Times New Roman"/>
          <w:sz w:val="24"/>
        </w:rPr>
        <w:lastRenderedPageBreak/>
        <w:t xml:space="preserve">through precisely this voluntary compliance channel. These findings operationalize the theoretical insight of Van Bavel et al. </w:t>
      </w:r>
      <w:r>
        <w:rPr>
          <w:rFonts w:ascii="Times New Roman" w:hAnsi="Times New Roman" w:cs="Times New Roman"/>
          <w:sz w:val="24"/>
        </w:rPr>
        <w:fldChar w:fldCharType="begin"/>
      </w:r>
      <w:r w:rsidR="0090791C">
        <w:rPr>
          <w:rFonts w:ascii="Times New Roman" w:hAnsi="Times New Roman" w:cs="Times New Roman"/>
          <w:sz w:val="24"/>
        </w:rPr>
        <w:instrText xml:space="preserve"> ADDIN ZOTERO_ITEM CSL_CITATION {"citationID":"Vs9x4Mb0","properties":{"unsorted":false,"formattedCitation":"(Van Bavel et al., 2020)","plainCitation":"(Van Bavel et al., 2020)","noteIndex":0},"citationItems":[{"id":370,"uris":["http://zotero.org/users/19944767/items/B68CXD2X"],"itemData":{"id":370,"type":"article-journal","container-title":"Nature Human Behaviour","DOI":"10.1038/s41562-020-0884-z","ISSN":"2397-3374","issue":"5","journalAbbreviation":"Nat Hum Behav","language":"en","page":"460-471","source":"DOI.org (Crossref)","title":"Using social and behavioural science to support COVID-19 pandemic response","volume":"4","author":[{"family":"Van Bavel","given":"J. J."},{"family":"Baicker","given":"Katherine"},{"family":"Boggio","given":"Paulo S."},{"family":"Capraro","given":"Valerio"},{"family":"Cichocka","given":"Aleksandra"},{"family":"Cikara","given":"Mina"},{"family":"Crockett","given":"Molly J."},{"family":"Crum","given":"Alia J."},{"family":"Douglas","given":"Karen M."},{"family":"Druckman","given":"James N."},{"family":"Drury","given":"John"},{"family":"Dube","given":"Oeindrila"},{"family":"Ellemers","given":"Naomi"},{"family":"Finkel","given":"Eli J."},{"family":"Fowler","given":"James H."},{"family":"Gelfand","given":"Michele"},{"family":"Han","given":"Shihui"},{"family":"Haslam","given":"S. Alexander"},{"family":"Jetten","given":"Jolanda"},{"family":"Kitayama","given":"Shinobu"},{"family":"Mobbs","given":"Dean"},{"family":"Napper","given":"Lucy E."},{"family":"Packer","given":"Dominic J."},{"family":"Pennycook","given":"Gordon"},{"family":"Peters","given":"Ellen"},{"family":"Petty","given":"Richard E."},{"family":"Rand","given":"David G."},{"family":"Reicher","given":"Stephen D."},{"family":"Schnall","given":"Simone"},{"family":"Shariff","given":"Azim"},{"family":"Skitka","given":"Linda J."},{"family":"Smith","given":"Sandra Susan"},{"family":"Sunstein","given":"Cass R."},{"family":"Tabri","given":"Nassim"},{"family":"Tucker","given":"Joshua A."},{"family":"Linden","given":"Sander Van Der"},{"family":"Lange","given":"Paul Van"},{"family":"Weeden","given":"Kim A."},{"family":"Wohl","given":"Michael J. A."},{"family":"Zaki","given":"Jamil"},{"family":"Zion","given":"Sean R."},{"family":"Willer","given":"Robb"}],"issued":{"date-parts":[["2020",4,30]]}}}],"schema":"https://github.com/citation-style-language/schema/raw/master/csl-citation.json"} </w:instrText>
      </w:r>
      <w:r>
        <w:rPr>
          <w:rFonts w:ascii="Times New Roman" w:hAnsi="Times New Roman" w:cs="Times New Roman"/>
          <w:sz w:val="24"/>
        </w:rPr>
        <w:fldChar w:fldCharType="separate"/>
      </w:r>
      <w:r w:rsidR="0090791C">
        <w:rPr>
          <w:rFonts w:ascii="Times New Roman" w:hAnsi="Times New Roman" w:cs="Times New Roman"/>
          <w:noProof/>
          <w:sz w:val="24"/>
        </w:rPr>
        <w:t>(Van Bavel et al., 2020)</w:t>
      </w:r>
      <w:r>
        <w:rPr>
          <w:rFonts w:ascii="Times New Roman" w:hAnsi="Times New Roman" w:cs="Times New Roman"/>
          <w:sz w:val="24"/>
        </w:rPr>
        <w:fldChar w:fldCharType="end"/>
      </w:r>
      <w:r w:rsidRPr="00305639">
        <w:rPr>
          <w:rFonts w:ascii="Times New Roman" w:hAnsi="Times New Roman" w:cs="Times New Roman"/>
          <w:sz w:val="24"/>
        </w:rPr>
        <w:t xml:space="preserve">, whose landmark review identified social norms and trust in institutions as among the most powerful determinants of health behavior during pandemics. The nations in our "voluntary compliance" quadrant possessed these resources in abundance; their light-touch governance was not a failure of state capacity but its highest expression </w:t>
      </w:r>
      <w:r w:rsidR="00E84A09">
        <w:rPr>
          <w:rFonts w:ascii="Times New Roman" w:hAnsi="Times New Roman" w:cs="Times New Roman"/>
          <w:sz w:val="24"/>
        </w:rPr>
        <w:t>–</w:t>
      </w:r>
      <w:r w:rsidRPr="00305639">
        <w:rPr>
          <w:rFonts w:ascii="Times New Roman" w:hAnsi="Times New Roman" w:cs="Times New Roman"/>
          <w:sz w:val="24"/>
        </w:rPr>
        <w:t xml:space="preserve"> coordinating a population-level behavioral response through shared norms and mutual obligation rather than the blunt instrument of legal enforcement.</w:t>
      </w:r>
    </w:p>
    <w:p w14:paraId="18936283" w14:textId="6739183C" w:rsidR="00305639" w:rsidRDefault="00305639" w:rsidP="00FE0B4E">
      <w:pPr>
        <w:spacing w:line="480" w:lineRule="auto"/>
        <w:rPr>
          <w:rFonts w:ascii="Times New Roman" w:hAnsi="Times New Roman" w:cs="Times New Roman"/>
          <w:sz w:val="24"/>
        </w:rPr>
      </w:pPr>
      <w:r>
        <w:rPr>
          <w:rFonts w:ascii="Times New Roman" w:hAnsi="Times New Roman" w:cs="Times New Roman"/>
          <w:sz w:val="24"/>
        </w:rPr>
        <w:tab/>
      </w:r>
      <w:r w:rsidRPr="00305639">
        <w:rPr>
          <w:rFonts w:ascii="Times New Roman" w:hAnsi="Times New Roman" w:cs="Times New Roman"/>
          <w:sz w:val="24"/>
        </w:rPr>
        <w:t xml:space="preserve">For low-trust nations </w:t>
      </w:r>
      <w:r w:rsidR="00E84A09">
        <w:rPr>
          <w:rFonts w:ascii="Times New Roman" w:hAnsi="Times New Roman" w:cs="Times New Roman"/>
          <w:sz w:val="24"/>
        </w:rPr>
        <w:t>–</w:t>
      </w:r>
      <w:r w:rsidRPr="00305639">
        <w:rPr>
          <w:rFonts w:ascii="Times New Roman" w:hAnsi="Times New Roman" w:cs="Times New Roman"/>
          <w:sz w:val="24"/>
        </w:rPr>
        <w:t xml:space="preserve"> the United States, Italy, Chile, Turkey </w:t>
      </w:r>
      <w:r w:rsidR="00E84A09">
        <w:rPr>
          <w:rFonts w:ascii="Times New Roman" w:hAnsi="Times New Roman" w:cs="Times New Roman"/>
          <w:sz w:val="24"/>
        </w:rPr>
        <w:t>–</w:t>
      </w:r>
      <w:r w:rsidRPr="00305639">
        <w:rPr>
          <w:rFonts w:ascii="Times New Roman" w:hAnsi="Times New Roman" w:cs="Times New Roman"/>
          <w:sz w:val="24"/>
        </w:rPr>
        <w:t xml:space="preserve"> the pandemic revealed a deficit that pre-dated the crisis by years. These societies could not generate voluntary compliance because the prerequisite, mutual trust across social and political lines, was already depleted. Coercion was not a policy failure but a structural necessity: mandates, curfews, and enforcement actions were symptoms of low social capital, not causes of its further erosion. These countries were not polarized because they locked down hard; they locked down hard because they were already polarized.</w:t>
      </w:r>
    </w:p>
    <w:p w14:paraId="20414504" w14:textId="7D872683" w:rsidR="00305639" w:rsidRDefault="00305639" w:rsidP="00FE0B4E">
      <w:pPr>
        <w:spacing w:line="480" w:lineRule="auto"/>
        <w:rPr>
          <w:rFonts w:ascii="Times New Roman" w:hAnsi="Times New Roman" w:cs="Times New Roman"/>
          <w:sz w:val="24"/>
        </w:rPr>
      </w:pPr>
      <w:r>
        <w:rPr>
          <w:rFonts w:ascii="Times New Roman" w:hAnsi="Times New Roman" w:cs="Times New Roman"/>
          <w:sz w:val="24"/>
        </w:rPr>
        <w:tab/>
      </w:r>
      <w:r w:rsidRPr="00305639">
        <w:rPr>
          <w:rFonts w:ascii="Times New Roman" w:hAnsi="Times New Roman" w:cs="Times New Roman"/>
          <w:sz w:val="24"/>
        </w:rPr>
        <w:t xml:space="preserve">This distinction has implications for how state capacity is conceptualized. The conventional understanding emphasizes the ability to enforce compliance </w:t>
      </w:r>
      <w:r w:rsidR="00E84A09">
        <w:rPr>
          <w:rFonts w:ascii="Times New Roman" w:hAnsi="Times New Roman" w:cs="Times New Roman"/>
          <w:sz w:val="24"/>
        </w:rPr>
        <w:t>–</w:t>
      </w:r>
      <w:r w:rsidRPr="00305639">
        <w:rPr>
          <w:rFonts w:ascii="Times New Roman" w:hAnsi="Times New Roman" w:cs="Times New Roman"/>
          <w:sz w:val="24"/>
        </w:rPr>
        <w:t xml:space="preserve"> to tax, to regulate, to coerce. Our findings highlight a complementary dimension that might be </w:t>
      </w:r>
      <w:r w:rsidRPr="00305639">
        <w:rPr>
          <w:rFonts w:ascii="Times New Roman" w:hAnsi="Times New Roman" w:cs="Times New Roman"/>
          <w:sz w:val="24"/>
        </w:rPr>
        <w:lastRenderedPageBreak/>
        <w:t>termed relational capacity: the ability to elicit voluntary cooperation in the absence of formal enforcement. By that measure, the most capable states during the pandemic were not those with the strongest enforcement apparatus but those that never needed to deploy it.</w:t>
      </w:r>
    </w:p>
    <w:p w14:paraId="02CA00FA" w14:textId="451F93EE" w:rsidR="00305639" w:rsidRPr="00305639" w:rsidRDefault="00305639" w:rsidP="00FE0B4E">
      <w:pPr>
        <w:spacing w:line="480" w:lineRule="auto"/>
        <w:rPr>
          <w:rFonts w:ascii="Times New Roman" w:hAnsi="Times New Roman" w:cs="Times New Roman"/>
          <w:i/>
          <w:iCs/>
          <w:sz w:val="24"/>
        </w:rPr>
      </w:pPr>
      <w:r w:rsidRPr="00305639">
        <w:rPr>
          <w:rFonts w:ascii="Times New Roman" w:hAnsi="Times New Roman" w:cs="Times New Roman"/>
          <w:i/>
          <w:iCs/>
          <w:sz w:val="24"/>
        </w:rPr>
        <w:t>The stubbornness of structural polarization</w:t>
      </w:r>
    </w:p>
    <w:p w14:paraId="7AE61E33" w14:textId="4750958E" w:rsidR="00305639" w:rsidRDefault="00305639" w:rsidP="00305639">
      <w:pPr>
        <w:spacing w:line="480" w:lineRule="auto"/>
        <w:rPr>
          <w:rFonts w:ascii="Times New Roman" w:hAnsi="Times New Roman" w:cs="Times New Roman"/>
          <w:sz w:val="24"/>
        </w:rPr>
      </w:pPr>
      <w:r w:rsidRPr="00305639">
        <w:rPr>
          <w:rFonts w:ascii="Times New Roman" w:hAnsi="Times New Roman" w:cs="Times New Roman"/>
          <w:sz w:val="24"/>
        </w:rPr>
        <w:t xml:space="preserve">Perhaps the most striking feature of our results is not what the pandemic was associated </w:t>
      </w:r>
      <w:proofErr w:type="gramStart"/>
      <w:r w:rsidRPr="00305639">
        <w:rPr>
          <w:rFonts w:ascii="Times New Roman" w:hAnsi="Times New Roman" w:cs="Times New Roman"/>
          <w:sz w:val="24"/>
        </w:rPr>
        <w:t>with</w:t>
      </w:r>
      <w:proofErr w:type="gramEnd"/>
      <w:r w:rsidRPr="00305639">
        <w:rPr>
          <w:rFonts w:ascii="Times New Roman" w:hAnsi="Times New Roman" w:cs="Times New Roman"/>
          <w:sz w:val="24"/>
        </w:rPr>
        <w:t xml:space="preserve"> but what it failed to alter. The autoregressive parameter on lagged social polarization (</w:t>
      </w:r>
      <m:oMath>
        <m:r>
          <w:rPr>
            <w:rFonts w:ascii="Cambria Math" w:hAnsi="Cambria Math" w:cs="Times New Roman"/>
            <w:sz w:val="24"/>
          </w:rPr>
          <m:t>ϕ</m:t>
        </m:r>
      </m:oMath>
      <w:r w:rsidRPr="00305639">
        <w:rPr>
          <w:rFonts w:ascii="Times New Roman" w:hAnsi="Times New Roman" w:cs="Times New Roman"/>
          <w:sz w:val="24"/>
        </w:rPr>
        <w:t xml:space="preserve"> = 1.29, 95% HDI [1.20, 1.38]) is large, tightly estimated, and well separated from zero. This is the formal posterior expression of macro-structural inertia: the trajectory of national social polarization is overwhelmingly governed by its own immediate past, and the 95% HDIs of both acute pandemic-shock parameters cross zero against this backdrop. The lag-2 sensitivity specification preserves this asymmetry (</w:t>
      </w:r>
      <m:oMath>
        <m:r>
          <w:rPr>
            <w:rFonts w:ascii="Cambria Math" w:hAnsi="Cambria Math" w:cs="Times New Roman"/>
            <w:sz w:val="24"/>
          </w:rPr>
          <m:t>ϕ</m:t>
        </m:r>
      </m:oMath>
      <w:r w:rsidRPr="00305639">
        <w:rPr>
          <w:rFonts w:ascii="Times New Roman" w:hAnsi="Times New Roman" w:cs="Times New Roman"/>
          <w:sz w:val="24"/>
        </w:rPr>
        <w:t xml:space="preserve"> = 1.1</w:t>
      </w:r>
      <w:r w:rsidR="00231E4F">
        <w:rPr>
          <w:rFonts w:ascii="Times New Roman" w:hAnsi="Times New Roman" w:cs="Times New Roman"/>
          <w:sz w:val="24"/>
        </w:rPr>
        <w:t>4</w:t>
      </w:r>
      <w:r w:rsidRPr="00305639">
        <w:rPr>
          <w:rFonts w:ascii="Times New Roman" w:hAnsi="Times New Roman" w:cs="Times New Roman"/>
          <w:sz w:val="24"/>
        </w:rPr>
        <w:t>, HDI [0.9</w:t>
      </w:r>
      <w:r w:rsidR="00231E4F">
        <w:rPr>
          <w:rFonts w:ascii="Times New Roman" w:hAnsi="Times New Roman" w:cs="Times New Roman"/>
          <w:sz w:val="24"/>
        </w:rPr>
        <w:t>5</w:t>
      </w:r>
      <w:r w:rsidRPr="00305639">
        <w:rPr>
          <w:rFonts w:ascii="Times New Roman" w:hAnsi="Times New Roman" w:cs="Times New Roman"/>
          <w:sz w:val="24"/>
        </w:rPr>
        <w:t>, 1.3</w:t>
      </w:r>
      <w:r w:rsidR="00231E4F">
        <w:rPr>
          <w:rFonts w:ascii="Times New Roman" w:hAnsi="Times New Roman" w:cs="Times New Roman"/>
          <w:sz w:val="24"/>
        </w:rPr>
        <w:t>1</w:t>
      </w:r>
      <w:r w:rsidRPr="00305639">
        <w:rPr>
          <w:rFonts w:ascii="Times New Roman" w:hAnsi="Times New Roman" w:cs="Times New Roman"/>
          <w:sz w:val="24"/>
        </w:rPr>
        <w:t>]), confirming that the inertial signal is not an artifact of a particular lag horizon.</w:t>
      </w:r>
    </w:p>
    <w:p w14:paraId="2763E965" w14:textId="32CD9180" w:rsidR="00305639" w:rsidRDefault="00305639" w:rsidP="00305639">
      <w:pPr>
        <w:spacing w:line="480" w:lineRule="auto"/>
        <w:rPr>
          <w:rFonts w:ascii="Times New Roman" w:hAnsi="Times New Roman" w:cs="Times New Roman"/>
          <w:sz w:val="24"/>
        </w:rPr>
      </w:pPr>
      <w:r>
        <w:rPr>
          <w:rFonts w:ascii="Times New Roman" w:hAnsi="Times New Roman" w:cs="Times New Roman"/>
          <w:sz w:val="24"/>
        </w:rPr>
        <w:tab/>
      </w:r>
      <w:r w:rsidRPr="00305639">
        <w:rPr>
          <w:rFonts w:ascii="Times New Roman" w:hAnsi="Times New Roman" w:cs="Times New Roman"/>
          <w:sz w:val="24"/>
        </w:rPr>
        <w:t xml:space="preserve">This finding speaks to the structural nature of polarization in advanced democracies. The forces driving social division </w:t>
      </w:r>
      <w:r w:rsidR="00E84A09">
        <w:rPr>
          <w:rFonts w:ascii="Times New Roman" w:hAnsi="Times New Roman" w:cs="Times New Roman"/>
          <w:sz w:val="24"/>
        </w:rPr>
        <w:t>–</w:t>
      </w:r>
      <w:r w:rsidRPr="00305639">
        <w:rPr>
          <w:rFonts w:ascii="Times New Roman" w:hAnsi="Times New Roman" w:cs="Times New Roman"/>
          <w:sz w:val="24"/>
        </w:rPr>
        <w:t xml:space="preserve"> economic inequality, cultural sorting, media fragmentation, declining institutional trust </w:t>
      </w:r>
      <w:r w:rsidR="00E84A09">
        <w:rPr>
          <w:rFonts w:ascii="Times New Roman" w:hAnsi="Times New Roman" w:cs="Times New Roman"/>
          <w:sz w:val="24"/>
        </w:rPr>
        <w:t>–</w:t>
      </w:r>
      <w:r w:rsidRPr="00305639">
        <w:rPr>
          <w:rFonts w:ascii="Times New Roman" w:hAnsi="Times New Roman" w:cs="Times New Roman"/>
          <w:sz w:val="24"/>
        </w:rPr>
        <w:t xml:space="preserve"> operate on timescales and through mechanisms that a single exogenous shock, however severe, cannot override. Iyengar et al. </w:t>
      </w:r>
      <w:r>
        <w:rPr>
          <w:rFonts w:ascii="Times New Roman" w:hAnsi="Times New Roman" w:cs="Times New Roman"/>
          <w:sz w:val="24"/>
        </w:rPr>
        <w:fldChar w:fldCharType="begin"/>
      </w:r>
      <w:r w:rsidR="00116CF0">
        <w:rPr>
          <w:rFonts w:ascii="Times New Roman" w:hAnsi="Times New Roman" w:cs="Times New Roman"/>
          <w:sz w:val="24"/>
        </w:rPr>
        <w:instrText xml:space="preserve"> ADDIN ZOTERO_ITEM CSL_CITATION {"citationID":"RIQgurYr","properties":{"unsorted":false,"formattedCitation":"(Iyengar et al., 2019)","plainCitation":"(Iyengar et al., 2019)","noteIndex":0},"citationItems":[{"id":377,"uris":["http://zotero.org/users/19944767/items/H4QPFCZ5"],"itemData":{"id":377,"type":"article-journal","abstract":"While previously polarization was primarily seen only in issue-based terms, a new type of division has emerged in the mass public in recent years: Ordinary Americans increasingly dislike and distrust those from the other party. Democrats and Republicans both say that the other party's members are hypocritical, selfish, and closed-minded, and they are unwilling to socialize across party lines. This phenomenon of animosity between the parties is known as affective polarization. We trace its origins to the power of partisanship as a social identity, and explain the factors that intensify partisan animus. We also explore the consequences of affective polarization, highlighting how partisan affect influences attitudes and behaviors well outside the political sphere. Finally, we discuss strategies that might mitigate partisan discord and conclude with suggestions for future work.","container-title":"Annual Review of Political Science","DOI":"10.1146/annurev-polisci-051117-073034","ISSN":"1094-2939, 1545-1577","issue":"1","journalAbbreviation":"Annu. Rev. Polit. Sci.","language":"en","page":"129-146","source":"DOI.org (Crossref)","title":"The origins and consequences of affective polarization in the united states","volume":"22","author":[{"family":"Iyengar","given":"Shanto"},{"family":"Lelkes","given":"Yphtach"},{"family":"Levendusky","given":"Matthew"},{"family":"Malhotra","given":"Neil"},{"family":"Westwood","given":"Sean J."}],"issued":{"date-parts":[["2019",5,11]]}}}],"schema":"https://github.com/citation-style-language/schema/raw/master/csl-citation.json"}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(Iyengar et al., 2019)</w:t>
      </w:r>
      <w:r>
        <w:rPr>
          <w:rFonts w:ascii="Times New Roman" w:hAnsi="Times New Roman" w:cs="Times New Roman"/>
          <w:sz w:val="24"/>
        </w:rPr>
        <w:fldChar w:fldCharType="end"/>
      </w:r>
      <w:r w:rsidRPr="00305639">
        <w:rPr>
          <w:rFonts w:ascii="Times New Roman" w:hAnsi="Times New Roman" w:cs="Times New Roman"/>
          <w:sz w:val="24"/>
        </w:rPr>
        <w:t xml:space="preserve"> trace the rise of affective polarization in the United States to </w:t>
      </w:r>
      <w:r w:rsidRPr="00305639">
        <w:rPr>
          <w:rFonts w:ascii="Times New Roman" w:hAnsi="Times New Roman" w:cs="Times New Roman"/>
          <w:sz w:val="24"/>
        </w:rPr>
        <w:lastRenderedPageBreak/>
        <w:t xml:space="preserve">partisan sorting processes unfolding over four decades; McCarty et al.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{"citationID":"zvtDa7VU","properties":{"unsorted":false,"formattedCitation":"(McCarty et al., 2016)","plainCitation":"(McCarty et al., 2016)","noteIndex":0},"citationItems":[{"id":417,"uris":["http://zotero.org/users/19944767/items/2CQDJEBM"],"itemData":{"id":417,"type":"book","edition":"2nd ed.","publisher":"MIT Press","title":"Polarized America: The dance of ideology and unequal riches","author":[{"family":"McCarty","given":"N. M."},{"family":"Poole","given":"K. T."},{"family":"Rosenthal","given":"H."}],"issued":{"date-parts":[["2016"]]}}}],"schema":"https://github.com/citation-style-language/schema/raw/master/csl-citation.json"}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(McCarty et al., 2016)</w:t>
      </w:r>
      <w:r>
        <w:rPr>
          <w:rFonts w:ascii="Times New Roman" w:hAnsi="Times New Roman" w:cs="Times New Roman"/>
          <w:sz w:val="24"/>
        </w:rPr>
        <w:fldChar w:fldCharType="end"/>
      </w:r>
      <w:r w:rsidRPr="00305639">
        <w:rPr>
          <w:rFonts w:ascii="Times New Roman" w:hAnsi="Times New Roman" w:cs="Times New Roman"/>
          <w:sz w:val="24"/>
        </w:rPr>
        <w:t xml:space="preserve"> identify economic inequality and elite ideological divergence as its primary structural drivers; and Boxell et al.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{"citationID":"MhZRMOoc","properties":{"unsorted":false,"formattedCitation":"(Boxell et al., 2017)","plainCitation":"(Boxell et al., 2017)","noteIndex":0},"citationItems":[{"id":411,"uris":["http://zotero.org/users/19944767/items/SU2B9XJB"],"itemData":{"id":411,"type":"article-journal","abstract":"Significance\n            By many measures, Americans have become increasingly polarized in recent decades. We study the role of the Internet and social media in explaining this trend. We find that polarization has increased the most among the demographic groups least likely to use the Internet and social media, suggesting that the role of these factors is limited.\n          , \n            We combine eight previously proposed measures to construct an index of political polarization among US adults. We find that polarization has increased the most among the demographic groups least likely to use the Internet and social media. Our overall index and all but one of the individual measures show greater increases for those older than 65 than for those aged 18–39. A linear model estimated at the age-group level implies that the Internet explains a small share of the recent growth in polarization.","container-title":"Proceedings of the National Academy of Sciences","DOI":"10.1073/pnas.1706588114","ISSN":"0027-8424, 1091-6490","issue":"40","journalAbbreviation":"Proc. Natl. Acad. Sci. U.S.A.","language":"en","page":"10612-10617","source":"DOI.org (Crossref)","title":"Greater Internet use is not associated with faster growth in political polarization among US demographic groups","volume":"114","author":[{"family":"Boxell","given":"Levi"},{"family":"Gentzkow","given":"Matthew"},{"family":"Shapiro","given":"Jesse M."}],"issued":{"date-parts":[["2017",10,3]]}}}],"schema":"https://github.com/citation-style-language/schema/raw/master/csl-citation.json"}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(Boxell et al., 2017)</w:t>
      </w:r>
      <w:r>
        <w:rPr>
          <w:rFonts w:ascii="Times New Roman" w:hAnsi="Times New Roman" w:cs="Times New Roman"/>
          <w:sz w:val="24"/>
        </w:rPr>
        <w:fldChar w:fldCharType="end"/>
      </w:r>
      <w:r w:rsidRPr="00305639">
        <w:rPr>
          <w:rFonts w:ascii="Times New Roman" w:hAnsi="Times New Roman" w:cs="Times New Roman"/>
          <w:sz w:val="24"/>
        </w:rPr>
        <w:t xml:space="preserve"> report the provocative finding that polarization in the United States has grown fastest among demographic groups least likely to use the internet, challenging the intuition that social media is the proximate cause and reinforcing the primacy of deeper structural forces. If these slow-moving fundamentals are the true engines of polarization, then a pandemic </w:t>
      </w:r>
      <w:r w:rsidR="00E84A09">
        <w:rPr>
          <w:rFonts w:ascii="Times New Roman" w:hAnsi="Times New Roman" w:cs="Times New Roman"/>
          <w:sz w:val="24"/>
        </w:rPr>
        <w:t>–</w:t>
      </w:r>
      <w:r w:rsidRPr="00305639">
        <w:rPr>
          <w:rFonts w:ascii="Times New Roman" w:hAnsi="Times New Roman" w:cs="Times New Roman"/>
          <w:sz w:val="24"/>
        </w:rPr>
        <w:t xml:space="preserve"> however socially disruptive in the short term </w:t>
      </w:r>
      <w:r w:rsidR="00E84A09">
        <w:rPr>
          <w:rFonts w:ascii="Times New Roman" w:hAnsi="Times New Roman" w:cs="Times New Roman"/>
          <w:sz w:val="24"/>
        </w:rPr>
        <w:t>–</w:t>
      </w:r>
      <w:r w:rsidRPr="00305639">
        <w:rPr>
          <w:rFonts w:ascii="Times New Roman" w:hAnsi="Times New Roman" w:cs="Times New Roman"/>
          <w:sz w:val="24"/>
        </w:rPr>
        <w:t xml:space="preserve"> would leave the trajectory largely undisturbed. That is precisely what an autoregressive coefficient of 1.29, set against null acute-shock coefficients, formalizes.</w:t>
      </w:r>
    </w:p>
    <w:p w14:paraId="5BF28975" w14:textId="77777777" w:rsidR="00305639" w:rsidRDefault="00305639" w:rsidP="00305639">
      <w:pPr>
        <w:spacing w:line="480" w:lineRule="auto"/>
        <w:rPr>
          <w:rFonts w:ascii="Times New Roman" w:hAnsi="Times New Roman" w:cs="Times New Roman"/>
          <w:sz w:val="24"/>
        </w:rPr>
      </w:pPr>
    </w:p>
    <w:p w14:paraId="7F4DD916" w14:textId="5AA07013" w:rsidR="00305639" w:rsidRPr="00305639" w:rsidRDefault="00305639" w:rsidP="00305639">
      <w:pPr>
        <w:spacing w:line="480" w:lineRule="auto"/>
        <w:rPr>
          <w:rFonts w:ascii="Times New Roman" w:hAnsi="Times New Roman" w:cs="Times New Roman"/>
          <w:b/>
          <w:bCs/>
          <w:sz w:val="24"/>
        </w:rPr>
      </w:pPr>
      <w:r w:rsidRPr="00305639">
        <w:rPr>
          <w:rFonts w:ascii="Times New Roman" w:hAnsi="Times New Roman" w:cs="Times New Roman"/>
          <w:b/>
          <w:bCs/>
          <w:sz w:val="24"/>
        </w:rPr>
        <w:t>Limitations</w:t>
      </w:r>
    </w:p>
    <w:p w14:paraId="70597327" w14:textId="1E874042" w:rsidR="00305639" w:rsidRDefault="00305639" w:rsidP="00305639">
      <w:pPr>
        <w:spacing w:line="480" w:lineRule="auto"/>
        <w:rPr>
          <w:rFonts w:ascii="Times New Roman" w:hAnsi="Times New Roman" w:cs="Times New Roman"/>
          <w:sz w:val="24"/>
        </w:rPr>
      </w:pPr>
      <w:r w:rsidRPr="00305639">
        <w:rPr>
          <w:rFonts w:ascii="Times New Roman" w:hAnsi="Times New Roman" w:cs="Times New Roman"/>
          <w:sz w:val="24"/>
        </w:rPr>
        <w:t>Several limitations warrant acknowledgment. First, our sample is restricted to the 3</w:t>
      </w:r>
      <w:r w:rsidR="00066FCC">
        <w:rPr>
          <w:rFonts w:ascii="Times New Roman" w:hAnsi="Times New Roman" w:cs="Times New Roman"/>
          <w:sz w:val="24"/>
        </w:rPr>
        <w:t>7</w:t>
      </w:r>
      <w:r w:rsidRPr="00305639">
        <w:rPr>
          <w:rFonts w:ascii="Times New Roman" w:hAnsi="Times New Roman" w:cs="Times New Roman"/>
          <w:sz w:val="24"/>
        </w:rPr>
        <w:t xml:space="preserve"> OECD member states. While this provides a coherent set of high-income democracies in which institutional safeguards are robust, it limits generalizability to developing nations and autocracies, where both the biological burden and the political dynamics of the pandemic may differ substantially. Second, although our Hierarchical Bayesian Dynamic Panel Model explicitly accommodates spatial non-independence across countries through </w:t>
      </w:r>
      <w:r w:rsidRPr="00305639">
        <w:rPr>
          <w:rFonts w:ascii="Times New Roman" w:hAnsi="Times New Roman" w:cs="Times New Roman"/>
          <w:sz w:val="24"/>
        </w:rPr>
        <w:lastRenderedPageBreak/>
        <w:t>regional partial pooling (Galton's problem;</w:t>
      </w:r>
      <w:r>
        <w:rPr>
          <w:rFonts w:ascii="Times New Roman" w:hAnsi="Times New Roman" w:cs="Times New Roman"/>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{"citationID":"1OvuLXw0","properties":{"unsorted":false,"formattedCitation":"(Currie &amp; Mace, 2012)","plainCitation":"(Currie &amp; Mace, 2012)","noteIndex":0},"citationItems":[{"id":368,"uris":["http://zotero.org/users/19944767/items/3CFAKNS9"],"itemData":{"id":368,"type":"article-journal","abstract":"Abstract\n            Re-analysis of the data provided in the target article reveals a lack of evidence for a strong, universal relationship between parasite stress and the variables relating to sociality. Furthermore, even if associations between these variables do exist, the analyses presented here do not provide evidence for Fincher &amp; Thornhill's (F&amp;T's) proposed causal mechanism.","container-title":"Behavioral and Brain Sciences","DOI":"10.1017/S0140525X11000963","ISSN":"0140-525X, 1469-1825","issue":"2","journalAbbreviation":"Behav Brain Sci","language":"en","license":"https://www.cambridge.org/core/terms","page":"83-85","source":"DOI.org (Crossref)","title":"Analyses do not support the parasite-stress theory of human sociality","volume":"35","author":[{"family":"Currie","given":"Thomas E."},{"family":"Mace","given":"Ruth"}],"issued":{"date-parts":[["2012",4]]}}}],"schema":"https://github.com/citation-style-language/schema/raw/master/csl-citation.json"}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noProof/>
          <w:sz w:val="24"/>
        </w:rPr>
        <w:t>(Currie &amp; Mace, 2012)</w:t>
      </w:r>
      <w:r>
        <w:rPr>
          <w:rFonts w:ascii="Times New Roman" w:hAnsi="Times New Roman" w:cs="Times New Roman"/>
          <w:sz w:val="24"/>
        </w:rPr>
        <w:fldChar w:fldCharType="end"/>
      </w:r>
      <w:r w:rsidRPr="00305639">
        <w:rPr>
          <w:rFonts w:ascii="Times New Roman" w:hAnsi="Times New Roman" w:cs="Times New Roman"/>
          <w:sz w:val="24"/>
        </w:rPr>
        <w:t xml:space="preserve">) and captures macro-structural inertia through the autoregressive parameter, the analysis remains observational and is therefore subject to unobserved time-varying confounding; the selection effect, in particular, is a posterior-credible association rather than a causal identification. Third, our primary specification uses a one-year within-country lag and the sensitivity specification a two-year lag, but institutional trajectories may be shaped by exposures unfolding over longer, unmeasured timescales that neither lag horizon can capture. Fourth, V-Dem indicators are expert-coded annual assessments that may not capture rapid, within-year fluctuations in social sentiment; survey-based measures of interpersonal trust and political attitudes might reveal dynamics invisible at the annual institutional level. Finally, the Stringency Index is a composite measure aggregating diverse policy instruments </w:t>
      </w:r>
      <w:r w:rsidR="00E84A09">
        <w:rPr>
          <w:rFonts w:ascii="Times New Roman" w:hAnsi="Times New Roman" w:cs="Times New Roman"/>
          <w:sz w:val="24"/>
        </w:rPr>
        <w:t>–</w:t>
      </w:r>
      <w:r w:rsidRPr="00305639">
        <w:rPr>
          <w:rFonts w:ascii="Times New Roman" w:hAnsi="Times New Roman" w:cs="Times New Roman"/>
          <w:sz w:val="24"/>
        </w:rPr>
        <w:t xml:space="preserve"> school closures, workplace restrictions, travel bans </w:t>
      </w:r>
      <w:r w:rsidR="00E84A09">
        <w:rPr>
          <w:rFonts w:ascii="Times New Roman" w:hAnsi="Times New Roman" w:cs="Times New Roman"/>
          <w:sz w:val="24"/>
        </w:rPr>
        <w:t>–</w:t>
      </w:r>
      <w:r w:rsidRPr="00305639">
        <w:rPr>
          <w:rFonts w:ascii="Times New Roman" w:hAnsi="Times New Roman" w:cs="Times New Roman"/>
          <w:sz w:val="24"/>
        </w:rPr>
        <w:t xml:space="preserve"> whose individual associations with social cohesion may be heterogeneous and are not separately identified in our specification.</w:t>
      </w:r>
    </w:p>
    <w:p w14:paraId="60A6F920" w14:textId="77777777" w:rsidR="00116CF0" w:rsidRDefault="00116CF0" w:rsidP="00305639">
      <w:pPr>
        <w:spacing w:line="480" w:lineRule="auto"/>
        <w:rPr>
          <w:rFonts w:ascii="Times New Roman" w:hAnsi="Times New Roman" w:cs="Times New Roman"/>
          <w:sz w:val="24"/>
        </w:rPr>
      </w:pPr>
    </w:p>
    <w:p w14:paraId="595C5135" w14:textId="298827F6" w:rsidR="00305639" w:rsidRPr="00305639" w:rsidRDefault="00305639" w:rsidP="00305639">
      <w:pPr>
        <w:spacing w:line="480" w:lineRule="auto"/>
        <w:rPr>
          <w:rFonts w:ascii="Times New Roman" w:hAnsi="Times New Roman" w:cs="Times New Roman"/>
          <w:b/>
          <w:bCs/>
          <w:sz w:val="24"/>
        </w:rPr>
      </w:pPr>
      <w:r w:rsidRPr="00305639">
        <w:rPr>
          <w:rFonts w:ascii="Times New Roman" w:hAnsi="Times New Roman" w:cs="Times New Roman"/>
          <w:b/>
          <w:bCs/>
          <w:sz w:val="24"/>
        </w:rPr>
        <w:t>Conclusion</w:t>
      </w:r>
    </w:p>
    <w:p w14:paraId="5AA3F75B" w14:textId="5052F724" w:rsidR="00305639" w:rsidRDefault="00305639" w:rsidP="00FE0B4E">
      <w:pPr>
        <w:spacing w:line="480" w:lineRule="auto"/>
        <w:rPr>
          <w:rFonts w:ascii="Times New Roman" w:hAnsi="Times New Roman" w:cs="Times New Roman"/>
          <w:sz w:val="24"/>
        </w:rPr>
      </w:pPr>
      <w:r w:rsidRPr="00305639">
        <w:rPr>
          <w:rFonts w:ascii="Times New Roman" w:hAnsi="Times New Roman" w:cs="Times New Roman"/>
          <w:sz w:val="24"/>
        </w:rPr>
        <w:t xml:space="preserve">This paper set out to test whether the COVID-19 pandemic drove social polarization in the developed world and, if so, through which channel </w:t>
      </w:r>
      <w:r w:rsidR="00E84A09">
        <w:rPr>
          <w:rFonts w:ascii="Times New Roman" w:hAnsi="Times New Roman" w:cs="Times New Roman"/>
          <w:sz w:val="24"/>
        </w:rPr>
        <w:t>–</w:t>
      </w:r>
      <w:r w:rsidRPr="00305639">
        <w:rPr>
          <w:rFonts w:ascii="Times New Roman" w:hAnsi="Times New Roman" w:cs="Times New Roman"/>
          <w:sz w:val="24"/>
        </w:rPr>
        <w:t xml:space="preserve"> the virus or the lockdowns. The answer is neither. Across 3</w:t>
      </w:r>
      <w:r w:rsidR="00066FCC">
        <w:rPr>
          <w:rFonts w:ascii="Times New Roman" w:hAnsi="Times New Roman" w:cs="Times New Roman"/>
          <w:sz w:val="24"/>
        </w:rPr>
        <w:t>7</w:t>
      </w:r>
      <w:r w:rsidRPr="00305639">
        <w:rPr>
          <w:rFonts w:ascii="Times New Roman" w:hAnsi="Times New Roman" w:cs="Times New Roman"/>
          <w:sz w:val="24"/>
        </w:rPr>
        <w:t xml:space="preserve"> OECD countries between 2019 and 2024, our Hierarchical </w:t>
      </w:r>
      <w:r w:rsidRPr="00305639">
        <w:rPr>
          <w:rFonts w:ascii="Times New Roman" w:hAnsi="Times New Roman" w:cs="Times New Roman"/>
          <w:sz w:val="24"/>
        </w:rPr>
        <w:lastRenderedPageBreak/>
        <w:t>Bayesian Dynamic Panel Model finds no credible association between COVID-19 mortality and changes in social polarization, no credible association between lockdown stringency and changes in social polarization, and a large, posterior-credible autoregressive parameter (</w:t>
      </w:r>
      <m:oMath>
        <m:r>
          <w:rPr>
            <w:rFonts w:ascii="Cambria Math" w:hAnsi="Cambria Math" w:cs="Times New Roman"/>
            <w:sz w:val="24"/>
          </w:rPr>
          <m:t>ϕ</m:t>
        </m:r>
      </m:oMath>
      <w:r w:rsidRPr="00305639">
        <w:rPr>
          <w:rFonts w:ascii="Times New Roman" w:hAnsi="Times New Roman" w:cs="Times New Roman"/>
          <w:sz w:val="24"/>
        </w:rPr>
        <w:t xml:space="preserve"> = 1.29) that quantifies macro-structural inertia as the dominant feature of the trajectory. The pandemic did not bend the curve; structural inertia carried it.</w:t>
      </w:r>
    </w:p>
    <w:p w14:paraId="33DC1A8F" w14:textId="2C9DB421" w:rsidR="00305639" w:rsidRDefault="00305639" w:rsidP="00FE0B4E">
      <w:pPr>
        <w:spacing w:line="480" w:lineRule="auto"/>
        <w:rPr>
          <w:rFonts w:ascii="Times New Roman" w:hAnsi="Times New Roman" w:cs="Times New Roman"/>
          <w:sz w:val="24"/>
        </w:rPr>
      </w:pPr>
      <w:r>
        <w:rPr>
          <w:rFonts w:ascii="Times New Roman" w:hAnsi="Times New Roman" w:cs="Times New Roman"/>
          <w:sz w:val="24"/>
        </w:rPr>
        <w:tab/>
      </w:r>
      <w:r w:rsidRPr="00305639">
        <w:rPr>
          <w:rFonts w:ascii="Times New Roman" w:hAnsi="Times New Roman" w:cs="Times New Roman"/>
          <w:sz w:val="24"/>
        </w:rPr>
        <w:t xml:space="preserve">What the pandemic did reveal was the asymmetry of democratic governance under crisis. The single strongest predictor of lockdown stringency was not the severity of the outbreak but the level of pre-existing social cohesion (r = −0.51, p = 0.001). Societies rich in social capital </w:t>
      </w:r>
      <w:r w:rsidR="00E84A09">
        <w:rPr>
          <w:rFonts w:ascii="Times New Roman" w:hAnsi="Times New Roman" w:cs="Times New Roman"/>
          <w:sz w:val="24"/>
        </w:rPr>
        <w:t>–</w:t>
      </w:r>
      <w:r w:rsidRPr="00305639">
        <w:rPr>
          <w:rFonts w:ascii="Times New Roman" w:hAnsi="Times New Roman" w:cs="Times New Roman"/>
          <w:sz w:val="24"/>
        </w:rPr>
        <w:t xml:space="preserve"> Japan, the Nordic countries, New Zealand </w:t>
      </w:r>
      <w:r w:rsidR="00E84A09">
        <w:rPr>
          <w:rFonts w:ascii="Times New Roman" w:hAnsi="Times New Roman" w:cs="Times New Roman"/>
          <w:sz w:val="24"/>
        </w:rPr>
        <w:t>–</w:t>
      </w:r>
      <w:r w:rsidRPr="00305639">
        <w:rPr>
          <w:rFonts w:ascii="Times New Roman" w:hAnsi="Times New Roman" w:cs="Times New Roman"/>
          <w:sz w:val="24"/>
        </w:rPr>
        <w:t xml:space="preserve"> could afford to govern lightly, achieving public-health objectives through voluntary compliance. Societies poor in social capital </w:t>
      </w:r>
      <w:r w:rsidR="00E84A09">
        <w:rPr>
          <w:rFonts w:ascii="Times New Roman" w:hAnsi="Times New Roman" w:cs="Times New Roman"/>
          <w:sz w:val="24"/>
        </w:rPr>
        <w:t>–</w:t>
      </w:r>
      <w:r w:rsidRPr="00305639">
        <w:rPr>
          <w:rFonts w:ascii="Times New Roman" w:hAnsi="Times New Roman" w:cs="Times New Roman"/>
          <w:sz w:val="24"/>
        </w:rPr>
        <w:t xml:space="preserve"> the United States, </w:t>
      </w:r>
      <w:r w:rsidR="001F0C3F" w:rsidRPr="001F0C3F">
        <w:rPr>
          <w:rFonts w:ascii="Times New Roman" w:hAnsi="Times New Roman" w:cs="Times New Roman"/>
          <w:sz w:val="24"/>
        </w:rPr>
        <w:t>Italy, Chile, Turkey</w:t>
      </w:r>
      <w:r w:rsidRPr="00305639">
        <w:rPr>
          <w:rFonts w:ascii="Times New Roman" w:hAnsi="Times New Roman" w:cs="Times New Roman"/>
          <w:sz w:val="24"/>
        </w:rPr>
        <w:t xml:space="preserve"> </w:t>
      </w:r>
      <w:r w:rsidR="00E84A09">
        <w:rPr>
          <w:rFonts w:ascii="Times New Roman" w:hAnsi="Times New Roman" w:cs="Times New Roman"/>
          <w:sz w:val="24"/>
        </w:rPr>
        <w:t>–</w:t>
      </w:r>
      <w:r w:rsidRPr="00305639">
        <w:rPr>
          <w:rFonts w:ascii="Times New Roman" w:hAnsi="Times New Roman" w:cs="Times New Roman"/>
          <w:sz w:val="24"/>
        </w:rPr>
        <w:t xml:space="preserve"> were compelled to govern heavily, not because their leaders chose authoritarianism but because their social conditions left no alternative. Coercion was not the cause of distrust; it was its consequence.</w:t>
      </w:r>
    </w:p>
    <w:p w14:paraId="668699B1" w14:textId="1D844052" w:rsidR="00305639" w:rsidRDefault="00305639" w:rsidP="00FE0B4E">
      <w:pPr>
        <w:spacing w:line="480" w:lineRule="auto"/>
        <w:rPr>
          <w:rFonts w:ascii="Times New Roman" w:hAnsi="Times New Roman" w:cs="Times New Roman"/>
          <w:sz w:val="24"/>
        </w:rPr>
      </w:pPr>
      <w:r>
        <w:rPr>
          <w:rFonts w:ascii="Times New Roman" w:hAnsi="Times New Roman" w:cs="Times New Roman"/>
          <w:sz w:val="24"/>
        </w:rPr>
        <w:tab/>
      </w:r>
      <w:r w:rsidRPr="00305639">
        <w:rPr>
          <w:rFonts w:ascii="Times New Roman" w:hAnsi="Times New Roman" w:cs="Times New Roman"/>
          <w:sz w:val="24"/>
        </w:rPr>
        <w:t xml:space="preserve">The implication for future crisis preparedness is sobering. Pandemic planning has overwhelmingly focused on medical infrastructure: surveillance systems, vaccine pipelines, hospital surge capacity, stockpiles of personal protective equipment. Our </w:t>
      </w:r>
      <w:r w:rsidRPr="00305639">
        <w:rPr>
          <w:rFonts w:ascii="Times New Roman" w:hAnsi="Times New Roman" w:cs="Times New Roman"/>
          <w:sz w:val="24"/>
        </w:rPr>
        <w:lastRenderedPageBreak/>
        <w:t xml:space="preserve">findings suggest that the binding constraint on effective democratic crisis response is not medical but social. The countries that navigated the pandemic with the least institutional friction were not those with the best epidemiological preparedness but those with the deepest reserves of mutual trust. Social capital, unlike ventilators, cannot be manufactured in an emergency; it is accumulated slowly, through decades of equitable governance and civic participation, and once depleted is not easily restored. If the next global crisis arrives in a society already fractured by distrust, the same constrained choice will recur </w:t>
      </w:r>
      <w:r w:rsidR="00E84A09">
        <w:rPr>
          <w:rFonts w:ascii="Times New Roman" w:hAnsi="Times New Roman" w:cs="Times New Roman"/>
          <w:sz w:val="24"/>
        </w:rPr>
        <w:t>–</w:t>
      </w:r>
      <w:r w:rsidRPr="00305639">
        <w:rPr>
          <w:rFonts w:ascii="Times New Roman" w:hAnsi="Times New Roman" w:cs="Times New Roman"/>
          <w:sz w:val="24"/>
        </w:rPr>
        <w:t xml:space="preserve"> tolerate the consequences of </w:t>
      </w:r>
      <w:proofErr w:type="gramStart"/>
      <w:r w:rsidRPr="00305639">
        <w:rPr>
          <w:rFonts w:ascii="Times New Roman" w:hAnsi="Times New Roman" w:cs="Times New Roman"/>
          <w:sz w:val="24"/>
        </w:rPr>
        <w:t>non-compliance, or</w:t>
      </w:r>
      <w:proofErr w:type="gramEnd"/>
      <w:r w:rsidRPr="00305639">
        <w:rPr>
          <w:rFonts w:ascii="Times New Roman" w:hAnsi="Times New Roman" w:cs="Times New Roman"/>
          <w:sz w:val="24"/>
        </w:rPr>
        <w:t xml:space="preserve"> impose mandates that confirm and deepen the very alienation they seek to overcome. The pandemic changed nothing, and that is precisely the problem.</w:t>
      </w:r>
    </w:p>
    <w:p w14:paraId="611F5208" w14:textId="77777777" w:rsidR="00305639" w:rsidRDefault="00305639" w:rsidP="00FE0B4E">
      <w:pPr>
        <w:spacing w:line="480" w:lineRule="auto"/>
        <w:rPr>
          <w:rFonts w:ascii="Times New Roman" w:hAnsi="Times New Roman" w:cs="Times New Roman"/>
          <w:sz w:val="24"/>
        </w:rPr>
      </w:pPr>
    </w:p>
    <w:p w14:paraId="4D817F69" w14:textId="77777777" w:rsidR="00453286" w:rsidRPr="00453286" w:rsidRDefault="00453286" w:rsidP="00453286">
      <w:pPr>
        <w:spacing w:line="480" w:lineRule="auto"/>
        <w:rPr>
          <w:rFonts w:ascii="Times New Roman" w:hAnsi="Times New Roman" w:cs="Times New Roman"/>
          <w:b/>
          <w:bCs/>
          <w:sz w:val="24"/>
        </w:rPr>
      </w:pPr>
      <w:r w:rsidRPr="00453286">
        <w:rPr>
          <w:rFonts w:ascii="Times New Roman" w:hAnsi="Times New Roman" w:cs="Times New Roman"/>
          <w:b/>
          <w:bCs/>
          <w:sz w:val="24"/>
        </w:rPr>
        <w:t>Data availability</w:t>
      </w:r>
    </w:p>
    <w:p w14:paraId="69EE8409" w14:textId="3AAA5023" w:rsidR="00453286" w:rsidRPr="00453286" w:rsidRDefault="00453286" w:rsidP="00453286">
      <w:pPr>
        <w:spacing w:line="480" w:lineRule="auto"/>
        <w:rPr>
          <w:rFonts w:ascii="Times New Roman" w:hAnsi="Times New Roman" w:cs="Times New Roman"/>
          <w:sz w:val="24"/>
        </w:rPr>
      </w:pPr>
      <w:r w:rsidRPr="00453286">
        <w:rPr>
          <w:rFonts w:ascii="Times New Roman" w:hAnsi="Times New Roman" w:cs="Times New Roman"/>
          <w:sz w:val="24"/>
        </w:rPr>
        <w:t>The datasets generated and/or analy</w:t>
      </w:r>
      <w:r w:rsidR="00396184">
        <w:rPr>
          <w:rFonts w:ascii="Times New Roman" w:hAnsi="Times New Roman" w:cs="Times New Roman"/>
          <w:sz w:val="24"/>
        </w:rPr>
        <w:t>z</w:t>
      </w:r>
      <w:r w:rsidRPr="00453286">
        <w:rPr>
          <w:rFonts w:ascii="Times New Roman" w:hAnsi="Times New Roman" w:cs="Times New Roman"/>
          <w:sz w:val="24"/>
        </w:rPr>
        <w:t xml:space="preserve">ed during the current study are available in the GitHub repository: </w:t>
      </w:r>
      <w:hyperlink r:id="rId10" w:history="1">
        <w:r w:rsidRPr="00453286">
          <w:rPr>
            <w:rStyle w:val="aa"/>
            <w:rFonts w:ascii="Times New Roman" w:hAnsi="Times New Roman" w:cs="Times New Roman"/>
            <w:sz w:val="24"/>
          </w:rPr>
          <w:t>https://github.com/denovo2021/EIPSA.</w:t>
        </w:r>
      </w:hyperlink>
      <w:r>
        <w:rPr>
          <w:rFonts w:ascii="Times New Roman" w:hAnsi="Times New Roman" w:cs="Times New Roman"/>
          <w:sz w:val="24"/>
        </w:rPr>
        <w:t xml:space="preserve"> </w:t>
      </w:r>
      <w:r w:rsidRPr="00453286">
        <w:rPr>
          <w:rFonts w:ascii="Times New Roman" w:hAnsi="Times New Roman" w:cs="Times New Roman"/>
          <w:sz w:val="24"/>
        </w:rPr>
        <w:t>The raw data supporting the findings of this study are publicly available from the following sources:</w:t>
      </w:r>
    </w:p>
    <w:p w14:paraId="118BDD86" w14:textId="59E784CC"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Varieties of Democracy (V-Dem) Project (v15): </w:t>
      </w:r>
      <w:hyperlink r:id="rId11" w:history="1">
        <w:r w:rsidRPr="00453286">
          <w:rPr>
            <w:rStyle w:val="aa"/>
            <w:rFonts w:ascii="Times New Roman" w:hAnsi="Times New Roman" w:cs="Times New Roman"/>
            <w:sz w:val="24"/>
          </w:rPr>
          <w:t>https://www.v-dem.net/data/the-v-dem-dataset/</w:t>
        </w:r>
      </w:hyperlink>
      <w:r w:rsidRPr="00453286">
        <w:rPr>
          <w:rFonts w:ascii="Times New Roman" w:hAnsi="Times New Roman" w:cs="Times New Roman"/>
          <w:sz w:val="24"/>
        </w:rPr>
        <w:t xml:space="preserve"> </w:t>
      </w:r>
    </w:p>
    <w:p w14:paraId="49A4AA67" w14:textId="5C4CF31A"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Oxford COVID-19 Government Response Tracker (OxCGRT): </w:t>
      </w:r>
      <w:hyperlink r:id="rId12" w:history="1">
        <w:r w:rsidRPr="00453286">
          <w:rPr>
            <w:rStyle w:val="aa"/>
            <w:rFonts w:ascii="Times New Roman" w:hAnsi="Times New Roman" w:cs="Times New Roman"/>
            <w:sz w:val="24"/>
          </w:rPr>
          <w:t>https://github.com/OxCGRT/covid-policy-tracker</w:t>
        </w:r>
      </w:hyperlink>
      <w:r w:rsidRPr="00453286">
        <w:rPr>
          <w:rFonts w:ascii="Times New Roman" w:hAnsi="Times New Roman" w:cs="Times New Roman"/>
          <w:sz w:val="24"/>
        </w:rPr>
        <w:t xml:space="preserve"> </w:t>
      </w:r>
    </w:p>
    <w:p w14:paraId="7B182701" w14:textId="3FCB1F13"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Our World in Data (COVID-19 dataset): </w:t>
      </w:r>
      <w:hyperlink r:id="rId13" w:history="1">
        <w:r w:rsidRPr="00453286">
          <w:rPr>
            <w:rStyle w:val="aa"/>
            <w:rFonts w:ascii="Times New Roman" w:hAnsi="Times New Roman" w:cs="Times New Roman"/>
            <w:sz w:val="24"/>
          </w:rPr>
          <w:t>https://github.com/owid/covid-19-data</w:t>
        </w:r>
      </w:hyperlink>
      <w:r w:rsidRPr="00453286">
        <w:rPr>
          <w:rFonts w:ascii="Times New Roman" w:hAnsi="Times New Roman" w:cs="Times New Roman"/>
          <w:sz w:val="24"/>
        </w:rPr>
        <w:t xml:space="preserve"> </w:t>
      </w:r>
    </w:p>
    <w:p w14:paraId="689D4174" w14:textId="32BA2B0F"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EM-DAT International Disaster Database: </w:t>
      </w:r>
      <w:hyperlink r:id="rId14" w:history="1">
        <w:r w:rsidRPr="00453286">
          <w:rPr>
            <w:rStyle w:val="aa"/>
            <w:rFonts w:ascii="Times New Roman" w:hAnsi="Times New Roman" w:cs="Times New Roman"/>
            <w:sz w:val="24"/>
          </w:rPr>
          <w:t>https://www.emdat.be/</w:t>
        </w:r>
      </w:hyperlink>
      <w:r w:rsidRPr="00453286">
        <w:rPr>
          <w:rFonts w:ascii="Times New Roman" w:hAnsi="Times New Roman" w:cs="Times New Roman"/>
          <w:sz w:val="24"/>
        </w:rPr>
        <w:t xml:space="preserve"> </w:t>
      </w:r>
    </w:p>
    <w:p w14:paraId="73E4F526" w14:textId="77777777" w:rsidR="00453286" w:rsidRPr="00453286" w:rsidRDefault="00453286" w:rsidP="00453286">
      <w:pPr>
        <w:spacing w:line="480" w:lineRule="auto"/>
        <w:rPr>
          <w:rFonts w:ascii="Times New Roman" w:hAnsi="Times New Roman" w:cs="Times New Roman"/>
          <w:sz w:val="24"/>
        </w:rPr>
      </w:pPr>
    </w:p>
    <w:p w14:paraId="319DB63B" w14:textId="77777777" w:rsidR="00453286" w:rsidRPr="00453286" w:rsidRDefault="00453286" w:rsidP="00453286">
      <w:pPr>
        <w:spacing w:line="480" w:lineRule="auto"/>
        <w:rPr>
          <w:rFonts w:ascii="Times New Roman" w:hAnsi="Times New Roman" w:cs="Times New Roman"/>
          <w:b/>
          <w:bCs/>
          <w:sz w:val="24"/>
        </w:rPr>
      </w:pPr>
      <w:r w:rsidRPr="00453286">
        <w:rPr>
          <w:rFonts w:ascii="Times New Roman" w:hAnsi="Times New Roman" w:cs="Times New Roman"/>
          <w:b/>
          <w:bCs/>
          <w:sz w:val="24"/>
        </w:rPr>
        <w:t>Code availability</w:t>
      </w:r>
    </w:p>
    <w:p w14:paraId="0940CAA6" w14:textId="68B6FB69" w:rsidR="00453286" w:rsidRDefault="00453286" w:rsidP="00453286">
      <w:pPr>
        <w:spacing w:line="480" w:lineRule="auto"/>
        <w:rPr>
          <w:rFonts w:ascii="Times New Roman" w:hAnsi="Times New Roman" w:cs="Times New Roman"/>
          <w:sz w:val="24"/>
        </w:rPr>
      </w:pPr>
      <w:r w:rsidRPr="00453286">
        <w:rPr>
          <w:rFonts w:ascii="Times New Roman" w:hAnsi="Times New Roman" w:cs="Times New Roman"/>
          <w:sz w:val="24"/>
        </w:rPr>
        <w:t xml:space="preserve">All computer code used for data cleaning, statistical analysis, and figure generation is available in the GitHub repository: </w:t>
      </w:r>
      <w:hyperlink r:id="rId15" w:history="1">
        <w:r w:rsidRPr="00453286">
          <w:rPr>
            <w:rStyle w:val="aa"/>
            <w:rFonts w:ascii="Times New Roman" w:hAnsi="Times New Roman" w:cs="Times New Roman"/>
            <w:sz w:val="24"/>
          </w:rPr>
          <w:t>https://github.com/denovo2021/EIPSA</w:t>
        </w:r>
      </w:hyperlink>
      <w:r w:rsidRPr="00453286">
        <w:rPr>
          <w:rFonts w:ascii="Times New Roman" w:hAnsi="Times New Roman" w:cs="Times New Roman"/>
          <w:sz w:val="24"/>
        </w:rPr>
        <w:t xml:space="preserve">. </w:t>
      </w:r>
      <w:r w:rsidR="00396184" w:rsidRPr="00396184">
        <w:rPr>
          <w:rFonts w:ascii="Times New Roman" w:hAnsi="Times New Roman" w:cs="Times New Roman"/>
          <w:sz w:val="24"/>
        </w:rPr>
        <w:t xml:space="preserve">The analysis was performed using Python (v3.12) with the </w:t>
      </w:r>
      <w:proofErr w:type="spellStart"/>
      <w:r w:rsidR="00396184" w:rsidRPr="00396184">
        <w:rPr>
          <w:rFonts w:ascii="Times New Roman" w:hAnsi="Times New Roman" w:cs="Times New Roman"/>
          <w:sz w:val="24"/>
        </w:rPr>
        <w:t>PyMC</w:t>
      </w:r>
      <w:proofErr w:type="spellEnd"/>
      <w:r w:rsidR="00396184" w:rsidRPr="00396184">
        <w:rPr>
          <w:rFonts w:ascii="Times New Roman" w:hAnsi="Times New Roman" w:cs="Times New Roman"/>
          <w:sz w:val="24"/>
        </w:rPr>
        <w:t xml:space="preserve"> (v5), </w:t>
      </w:r>
      <w:proofErr w:type="spellStart"/>
      <w:r w:rsidR="00396184" w:rsidRPr="00396184">
        <w:rPr>
          <w:rFonts w:ascii="Times New Roman" w:hAnsi="Times New Roman" w:cs="Times New Roman"/>
          <w:sz w:val="24"/>
        </w:rPr>
        <w:t>ArviZ</w:t>
      </w:r>
      <w:proofErr w:type="spellEnd"/>
      <w:r w:rsidR="00396184" w:rsidRPr="00396184">
        <w:rPr>
          <w:rFonts w:ascii="Times New Roman" w:hAnsi="Times New Roman" w:cs="Times New Roman"/>
          <w:sz w:val="24"/>
        </w:rPr>
        <w:t>, pandas, and NumPy libraries; figures use matplotlib and seaborn.</w:t>
      </w:r>
    </w:p>
    <w:p w14:paraId="2584C5A0" w14:textId="77777777" w:rsidR="00E36F17" w:rsidRDefault="00E36F17" w:rsidP="00453286">
      <w:pPr>
        <w:spacing w:line="480" w:lineRule="auto"/>
        <w:rPr>
          <w:rFonts w:ascii="Times New Roman" w:hAnsi="Times New Roman" w:cs="Times New Roman"/>
          <w:sz w:val="24"/>
        </w:rPr>
      </w:pPr>
    </w:p>
    <w:p w14:paraId="7A6E65D6" w14:textId="025D22BE" w:rsidR="00E36F17" w:rsidRDefault="00E36F17" w:rsidP="00453286">
      <w:pPr>
        <w:spacing w:line="480" w:lineRule="auto"/>
        <w:rPr>
          <w:rFonts w:ascii="Times New Roman" w:hAnsi="Times New Roman" w:cs="Times New Roman"/>
          <w:sz w:val="24"/>
        </w:rPr>
      </w:pPr>
      <w:r w:rsidRPr="00E36F17">
        <w:rPr>
          <w:rFonts w:ascii="Times New Roman" w:hAnsi="Times New Roman" w:cs="Times New Roman"/>
          <w:b/>
          <w:bCs/>
          <w:sz w:val="24"/>
        </w:rPr>
        <w:t>Author contributions:</w:t>
      </w:r>
      <w:r w:rsidRPr="00E36F17">
        <w:rPr>
          <w:rFonts w:ascii="Times New Roman" w:hAnsi="Times New Roman" w:cs="Times New Roman"/>
          <w:sz w:val="24"/>
        </w:rPr>
        <w:t xml:space="preserve"> T.K. and T.F. designed research; T.K. performed research and analyzed data; T.K. and T.F. wrote the paper.</w:t>
      </w:r>
    </w:p>
    <w:p w14:paraId="379227B0" w14:textId="77777777" w:rsidR="00E36F17" w:rsidRDefault="00E36F17" w:rsidP="00453286">
      <w:pPr>
        <w:spacing w:line="480" w:lineRule="auto"/>
        <w:rPr>
          <w:rFonts w:ascii="Times New Roman" w:hAnsi="Times New Roman" w:cs="Times New Roman"/>
          <w:sz w:val="24"/>
        </w:rPr>
      </w:pPr>
    </w:p>
    <w:p w14:paraId="1063B277" w14:textId="1A5B7DB2" w:rsidR="00E36F17" w:rsidRDefault="00E36F17" w:rsidP="00453286">
      <w:pPr>
        <w:spacing w:line="480" w:lineRule="auto"/>
        <w:rPr>
          <w:rFonts w:ascii="Times New Roman" w:hAnsi="Times New Roman" w:cs="Times New Roman"/>
          <w:sz w:val="24"/>
        </w:rPr>
      </w:pPr>
      <w:r w:rsidRPr="00E36F17">
        <w:rPr>
          <w:rFonts w:ascii="Times New Roman" w:hAnsi="Times New Roman" w:cs="Times New Roman"/>
          <w:b/>
          <w:bCs/>
          <w:sz w:val="24"/>
        </w:rPr>
        <w:t>Competing interests:</w:t>
      </w:r>
      <w:r w:rsidRPr="00E36F17">
        <w:rPr>
          <w:rFonts w:ascii="Times New Roman" w:hAnsi="Times New Roman" w:cs="Times New Roman"/>
          <w:sz w:val="24"/>
        </w:rPr>
        <w:t xml:space="preserve"> The authors declare no competing interests.</w:t>
      </w:r>
    </w:p>
    <w:p w14:paraId="2A274065" w14:textId="77777777" w:rsidR="00E36F17" w:rsidRDefault="00E36F17" w:rsidP="00453286">
      <w:pPr>
        <w:spacing w:line="480" w:lineRule="auto"/>
        <w:rPr>
          <w:rFonts w:ascii="Times New Roman" w:hAnsi="Times New Roman" w:cs="Times New Roman"/>
          <w:sz w:val="24"/>
        </w:rPr>
      </w:pPr>
    </w:p>
    <w:p w14:paraId="2E8451D1" w14:textId="18A69027" w:rsidR="00E36F17" w:rsidRDefault="00E36F17" w:rsidP="00453286">
      <w:pPr>
        <w:spacing w:line="480" w:lineRule="auto"/>
        <w:rPr>
          <w:rFonts w:ascii="Times New Roman" w:hAnsi="Times New Roman" w:cs="Times New Roman"/>
          <w:sz w:val="24"/>
        </w:rPr>
      </w:pPr>
      <w:r w:rsidRPr="00E36F17">
        <w:rPr>
          <w:rFonts w:ascii="Times New Roman" w:hAnsi="Times New Roman" w:cs="Times New Roman"/>
          <w:b/>
          <w:bCs/>
          <w:sz w:val="24"/>
        </w:rPr>
        <w:t>Acknowledgments and Funding:</w:t>
      </w:r>
      <w:r>
        <w:rPr>
          <w:rFonts w:ascii="Times New Roman" w:hAnsi="Times New Roman" w:cs="Times New Roman"/>
          <w:sz w:val="24"/>
        </w:rPr>
        <w:t xml:space="preserve"> None</w:t>
      </w:r>
    </w:p>
    <w:p w14:paraId="13E7E9A7" w14:textId="77777777" w:rsidR="00453286" w:rsidRDefault="00453286" w:rsidP="00FE0B4E">
      <w:pPr>
        <w:spacing w:line="480" w:lineRule="auto"/>
        <w:rPr>
          <w:rFonts w:ascii="Times New Roman" w:hAnsi="Times New Roman" w:cs="Times New Roman"/>
          <w:sz w:val="24"/>
        </w:rPr>
      </w:pPr>
    </w:p>
    <w:p w14:paraId="2B05BD2B" w14:textId="10674353" w:rsidR="007903A6" w:rsidRDefault="007903A6" w:rsidP="00FE0B4E">
      <w:pPr>
        <w:spacing w:line="480" w:lineRule="auto"/>
        <w:rPr>
          <w:rFonts w:ascii="Times New Roman" w:hAnsi="Times New Roman" w:cs="Times New Roman"/>
          <w:b/>
          <w:bCs/>
          <w:sz w:val="24"/>
        </w:rPr>
      </w:pPr>
      <w:r w:rsidRPr="00656CB4">
        <w:rPr>
          <w:rFonts w:ascii="Times New Roman" w:hAnsi="Times New Roman" w:cs="Times New Roman"/>
          <w:b/>
          <w:bCs/>
          <w:sz w:val="24"/>
        </w:rPr>
        <w:t>References</w:t>
      </w:r>
    </w:p>
    <w:p w14:paraId="527C645D" w14:textId="77777777" w:rsidR="0099616B" w:rsidRPr="0099616B" w:rsidRDefault="003E020B" w:rsidP="0099616B">
      <w:pPr>
        <w:pStyle w:val="af2"/>
        <w:rPr>
          <w:rFonts w:ascii="Times New Roman" w:hAnsi="Times New Roman" w:cs="Times New Roman"/>
          <w:sz w:val="24"/>
        </w:rPr>
      </w:pPr>
      <w:r>
        <w:rPr>
          <w:b/>
          <w:bCs/>
        </w:rPr>
        <w:lastRenderedPageBreak/>
        <w:fldChar w:fldCharType="begin"/>
      </w:r>
      <w:r w:rsidR="000422DC">
        <w:rPr>
          <w:b/>
          <w:bCs/>
        </w:rPr>
        <w:instrText xml:space="preserve"> ADDIN ZOTERO_BIBL {"uncited":[],"omitted":[],"custom":[]} CSL_BIBLIOGRAPHY </w:instrText>
      </w:r>
      <w:r>
        <w:rPr>
          <w:b/>
          <w:bCs/>
        </w:rPr>
        <w:fldChar w:fldCharType="separate"/>
      </w:r>
      <w:r w:rsidR="0099616B" w:rsidRPr="0099616B">
        <w:rPr>
          <w:rFonts w:ascii="Times New Roman" w:hAnsi="Times New Roman" w:cs="Times New Roman"/>
          <w:sz w:val="24"/>
        </w:rPr>
        <w:t xml:space="preserve">Abril-Pla, O., Andreani, V., Carroll, C., Dong, L., Fonnesbeck, C. J., </w:t>
      </w:r>
      <w:proofErr w:type="spellStart"/>
      <w:r w:rsidR="0099616B" w:rsidRPr="0099616B">
        <w:rPr>
          <w:rFonts w:ascii="Times New Roman" w:hAnsi="Times New Roman" w:cs="Times New Roman"/>
          <w:sz w:val="24"/>
        </w:rPr>
        <w:t>Kochurov</w:t>
      </w:r>
      <w:proofErr w:type="spellEnd"/>
      <w:r w:rsidR="0099616B" w:rsidRPr="0099616B">
        <w:rPr>
          <w:rFonts w:ascii="Times New Roman" w:hAnsi="Times New Roman" w:cs="Times New Roman"/>
          <w:sz w:val="24"/>
        </w:rPr>
        <w:t xml:space="preserve">, M., Kumar, R., Lao, J., Luhmann, C. C., Martin, O. A., </w:t>
      </w:r>
      <w:proofErr w:type="spellStart"/>
      <w:r w:rsidR="0099616B" w:rsidRPr="0099616B">
        <w:rPr>
          <w:rFonts w:ascii="Times New Roman" w:hAnsi="Times New Roman" w:cs="Times New Roman"/>
          <w:sz w:val="24"/>
        </w:rPr>
        <w:t>Osthege</w:t>
      </w:r>
      <w:proofErr w:type="spellEnd"/>
      <w:r w:rsidR="0099616B" w:rsidRPr="0099616B">
        <w:rPr>
          <w:rFonts w:ascii="Times New Roman" w:hAnsi="Times New Roman" w:cs="Times New Roman"/>
          <w:sz w:val="24"/>
        </w:rPr>
        <w:t xml:space="preserve">, M., Vieira, R., </w:t>
      </w:r>
      <w:proofErr w:type="spellStart"/>
      <w:r w:rsidR="0099616B" w:rsidRPr="0099616B">
        <w:rPr>
          <w:rFonts w:ascii="Times New Roman" w:hAnsi="Times New Roman" w:cs="Times New Roman"/>
          <w:sz w:val="24"/>
        </w:rPr>
        <w:t>Wiecki</w:t>
      </w:r>
      <w:proofErr w:type="spellEnd"/>
      <w:r w:rsidR="0099616B" w:rsidRPr="0099616B">
        <w:rPr>
          <w:rFonts w:ascii="Times New Roman" w:hAnsi="Times New Roman" w:cs="Times New Roman"/>
          <w:sz w:val="24"/>
        </w:rPr>
        <w:t xml:space="preserve">, T., &amp; Zinkov, R. (2023). </w:t>
      </w:r>
      <w:proofErr w:type="spellStart"/>
      <w:r w:rsidR="0099616B" w:rsidRPr="0099616B">
        <w:rPr>
          <w:rFonts w:ascii="Times New Roman" w:hAnsi="Times New Roman" w:cs="Times New Roman"/>
          <w:sz w:val="24"/>
        </w:rPr>
        <w:t>PyMC</w:t>
      </w:r>
      <w:proofErr w:type="spellEnd"/>
      <w:r w:rsidR="0099616B" w:rsidRPr="0099616B">
        <w:rPr>
          <w:rFonts w:ascii="Times New Roman" w:hAnsi="Times New Roman" w:cs="Times New Roman"/>
          <w:sz w:val="24"/>
        </w:rPr>
        <w:t xml:space="preserve">: A modern, and comprehensive probabilistic programming framework in Python. </w:t>
      </w:r>
      <w:proofErr w:type="spellStart"/>
      <w:r w:rsidR="0099616B" w:rsidRPr="0099616B">
        <w:rPr>
          <w:rFonts w:ascii="Times New Roman" w:hAnsi="Times New Roman" w:cs="Times New Roman"/>
          <w:i/>
          <w:iCs/>
          <w:sz w:val="24"/>
        </w:rPr>
        <w:t>PeerJ</w:t>
      </w:r>
      <w:proofErr w:type="spellEnd"/>
      <w:r w:rsidR="0099616B" w:rsidRPr="0099616B">
        <w:rPr>
          <w:rFonts w:ascii="Times New Roman" w:hAnsi="Times New Roman" w:cs="Times New Roman"/>
          <w:i/>
          <w:iCs/>
          <w:sz w:val="24"/>
        </w:rPr>
        <w:t xml:space="preserve"> Computer Science</w:t>
      </w:r>
      <w:r w:rsidR="0099616B" w:rsidRPr="0099616B">
        <w:rPr>
          <w:rFonts w:ascii="Times New Roman" w:hAnsi="Times New Roman" w:cs="Times New Roman"/>
          <w:sz w:val="24"/>
        </w:rPr>
        <w:t xml:space="preserve">, </w:t>
      </w:r>
      <w:r w:rsidR="0099616B" w:rsidRPr="0099616B">
        <w:rPr>
          <w:rFonts w:ascii="Times New Roman" w:hAnsi="Times New Roman" w:cs="Times New Roman"/>
          <w:i/>
          <w:iCs/>
          <w:sz w:val="24"/>
        </w:rPr>
        <w:t>9</w:t>
      </w:r>
      <w:r w:rsidR="0099616B" w:rsidRPr="0099616B">
        <w:rPr>
          <w:rFonts w:ascii="Times New Roman" w:hAnsi="Times New Roman" w:cs="Times New Roman"/>
          <w:sz w:val="24"/>
        </w:rPr>
        <w:t>, e1516. https://doi.org/10.7717/peerj-cs.1516</w:t>
      </w:r>
    </w:p>
    <w:p w14:paraId="09232BA4"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Bargain, O., &amp; Aminjonov, U. (2020). Trust and compliance to public health policies in times of COVID-19. </w:t>
      </w:r>
      <w:r w:rsidRPr="0099616B">
        <w:rPr>
          <w:rFonts w:ascii="Times New Roman" w:hAnsi="Times New Roman" w:cs="Times New Roman"/>
          <w:i/>
          <w:iCs/>
          <w:sz w:val="24"/>
        </w:rPr>
        <w:t>Journal of Public Economics</w:t>
      </w:r>
      <w:r w:rsidRPr="0099616B">
        <w:rPr>
          <w:rFonts w:ascii="Times New Roman" w:hAnsi="Times New Roman" w:cs="Times New Roman"/>
          <w:sz w:val="24"/>
        </w:rPr>
        <w:t xml:space="preserve">, </w:t>
      </w:r>
      <w:r w:rsidRPr="0099616B">
        <w:rPr>
          <w:rFonts w:ascii="Times New Roman" w:hAnsi="Times New Roman" w:cs="Times New Roman"/>
          <w:i/>
          <w:iCs/>
          <w:sz w:val="24"/>
        </w:rPr>
        <w:t>192</w:t>
      </w:r>
      <w:r w:rsidRPr="0099616B">
        <w:rPr>
          <w:rFonts w:ascii="Times New Roman" w:hAnsi="Times New Roman" w:cs="Times New Roman"/>
          <w:sz w:val="24"/>
        </w:rPr>
        <w:t>, 104316. https://doi.org/10.1016/j.jpubeco.2020.104316</w:t>
      </w:r>
    </w:p>
    <w:p w14:paraId="254DDC9D"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Bartscher, A. K., Seitz, S., </w:t>
      </w:r>
      <w:proofErr w:type="spellStart"/>
      <w:r w:rsidRPr="0099616B">
        <w:rPr>
          <w:rFonts w:ascii="Times New Roman" w:hAnsi="Times New Roman" w:cs="Times New Roman"/>
          <w:sz w:val="24"/>
        </w:rPr>
        <w:t>Siegloch</w:t>
      </w:r>
      <w:proofErr w:type="spellEnd"/>
      <w:r w:rsidRPr="0099616B">
        <w:rPr>
          <w:rFonts w:ascii="Times New Roman" w:hAnsi="Times New Roman" w:cs="Times New Roman"/>
          <w:sz w:val="24"/>
        </w:rPr>
        <w:t xml:space="preserve">, S., Slotwinski, M., &amp; </w:t>
      </w:r>
      <w:proofErr w:type="spellStart"/>
      <w:r w:rsidRPr="0099616B">
        <w:rPr>
          <w:rFonts w:ascii="Times New Roman" w:hAnsi="Times New Roman" w:cs="Times New Roman"/>
          <w:sz w:val="24"/>
        </w:rPr>
        <w:t>Wehrhöfer</w:t>
      </w:r>
      <w:proofErr w:type="spellEnd"/>
      <w:r w:rsidRPr="0099616B">
        <w:rPr>
          <w:rFonts w:ascii="Times New Roman" w:hAnsi="Times New Roman" w:cs="Times New Roman"/>
          <w:sz w:val="24"/>
        </w:rPr>
        <w:t xml:space="preserve">, N. (2021). Social capital and the spread of covid-19: Insights from </w:t>
      </w:r>
      <w:proofErr w:type="spellStart"/>
      <w:r w:rsidRPr="0099616B">
        <w:rPr>
          <w:rFonts w:ascii="Times New Roman" w:hAnsi="Times New Roman" w:cs="Times New Roman"/>
          <w:sz w:val="24"/>
        </w:rPr>
        <w:t>european</w:t>
      </w:r>
      <w:proofErr w:type="spellEnd"/>
      <w:r w:rsidRPr="0099616B">
        <w:rPr>
          <w:rFonts w:ascii="Times New Roman" w:hAnsi="Times New Roman" w:cs="Times New Roman"/>
          <w:sz w:val="24"/>
        </w:rPr>
        <w:t xml:space="preserve"> countries. </w:t>
      </w:r>
      <w:r w:rsidRPr="0099616B">
        <w:rPr>
          <w:rFonts w:ascii="Times New Roman" w:hAnsi="Times New Roman" w:cs="Times New Roman"/>
          <w:i/>
          <w:iCs/>
          <w:sz w:val="24"/>
        </w:rPr>
        <w:t>Journal of Health Economics</w:t>
      </w:r>
      <w:r w:rsidRPr="0099616B">
        <w:rPr>
          <w:rFonts w:ascii="Times New Roman" w:hAnsi="Times New Roman" w:cs="Times New Roman"/>
          <w:sz w:val="24"/>
        </w:rPr>
        <w:t xml:space="preserve">, </w:t>
      </w:r>
      <w:r w:rsidRPr="0099616B">
        <w:rPr>
          <w:rFonts w:ascii="Times New Roman" w:hAnsi="Times New Roman" w:cs="Times New Roman"/>
          <w:i/>
          <w:iCs/>
          <w:sz w:val="24"/>
        </w:rPr>
        <w:t>80</w:t>
      </w:r>
      <w:r w:rsidRPr="0099616B">
        <w:rPr>
          <w:rFonts w:ascii="Times New Roman" w:hAnsi="Times New Roman" w:cs="Times New Roman"/>
          <w:sz w:val="24"/>
        </w:rPr>
        <w:t>, 102531. https://doi.org/10.1016/j.jhealeco.2021.102531</w:t>
      </w:r>
    </w:p>
    <w:p w14:paraId="3715490E"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Bermeo, N. (2016). On Democratic Backsliding. </w:t>
      </w:r>
      <w:r w:rsidRPr="0099616B">
        <w:rPr>
          <w:rFonts w:ascii="Times New Roman" w:hAnsi="Times New Roman" w:cs="Times New Roman"/>
          <w:i/>
          <w:iCs/>
          <w:sz w:val="24"/>
        </w:rPr>
        <w:t>Journal of Democracy</w:t>
      </w:r>
      <w:r w:rsidRPr="0099616B">
        <w:rPr>
          <w:rFonts w:ascii="Times New Roman" w:hAnsi="Times New Roman" w:cs="Times New Roman"/>
          <w:sz w:val="24"/>
        </w:rPr>
        <w:t xml:space="preserve">, </w:t>
      </w:r>
      <w:r w:rsidRPr="0099616B">
        <w:rPr>
          <w:rFonts w:ascii="Times New Roman" w:hAnsi="Times New Roman" w:cs="Times New Roman"/>
          <w:i/>
          <w:iCs/>
          <w:sz w:val="24"/>
        </w:rPr>
        <w:t>27</w:t>
      </w:r>
      <w:r w:rsidRPr="0099616B">
        <w:rPr>
          <w:rFonts w:ascii="Times New Roman" w:hAnsi="Times New Roman" w:cs="Times New Roman"/>
          <w:sz w:val="24"/>
        </w:rPr>
        <w:t>(1), 5–19. https://doi.org/10.1353/jod.2016.0012</w:t>
      </w:r>
    </w:p>
    <w:p w14:paraId="46A065A4"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Betancourt, M., &amp; Girolami, M. (2015). </w:t>
      </w:r>
      <w:r w:rsidRPr="0099616B">
        <w:rPr>
          <w:rFonts w:ascii="Times New Roman" w:hAnsi="Times New Roman" w:cs="Times New Roman"/>
          <w:i/>
          <w:iCs/>
          <w:sz w:val="24"/>
        </w:rPr>
        <w:t>Hamiltonian Monte Carlo for hierarchical models.</w:t>
      </w:r>
      <w:r w:rsidRPr="0099616B">
        <w:rPr>
          <w:rFonts w:ascii="Times New Roman" w:hAnsi="Times New Roman" w:cs="Times New Roman"/>
          <w:sz w:val="24"/>
        </w:rPr>
        <w:t xml:space="preserve"> (1st Edition). Chapman and Hall/CRC.</w:t>
      </w:r>
    </w:p>
    <w:p w14:paraId="12683054"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Boxell, L., Gentzkow, M., &amp; Shapiro, J. M. (2017). Greater Internet use is not associated with faster growth in political polarization among US demographic groups. </w:t>
      </w:r>
      <w:r w:rsidRPr="0099616B">
        <w:rPr>
          <w:rFonts w:ascii="Times New Roman" w:hAnsi="Times New Roman" w:cs="Times New Roman"/>
          <w:i/>
          <w:iCs/>
          <w:sz w:val="24"/>
        </w:rPr>
        <w:t>Proceedings of the National Academy of Sciences</w:t>
      </w:r>
      <w:r w:rsidRPr="0099616B">
        <w:rPr>
          <w:rFonts w:ascii="Times New Roman" w:hAnsi="Times New Roman" w:cs="Times New Roman"/>
          <w:sz w:val="24"/>
        </w:rPr>
        <w:t xml:space="preserve">, </w:t>
      </w:r>
      <w:r w:rsidRPr="0099616B">
        <w:rPr>
          <w:rFonts w:ascii="Times New Roman" w:hAnsi="Times New Roman" w:cs="Times New Roman"/>
          <w:i/>
          <w:iCs/>
          <w:sz w:val="24"/>
        </w:rPr>
        <w:t>114</w:t>
      </w:r>
      <w:r w:rsidRPr="0099616B">
        <w:rPr>
          <w:rFonts w:ascii="Times New Roman" w:hAnsi="Times New Roman" w:cs="Times New Roman"/>
          <w:sz w:val="24"/>
        </w:rPr>
        <w:t xml:space="preserve">(40), 10612–10617. </w:t>
      </w:r>
      <w:r w:rsidRPr="0099616B">
        <w:rPr>
          <w:rFonts w:ascii="Times New Roman" w:hAnsi="Times New Roman" w:cs="Times New Roman"/>
          <w:sz w:val="24"/>
        </w:rPr>
        <w:lastRenderedPageBreak/>
        <w:t>https://doi.org/10.1073/pnas.1706588114</w:t>
      </w:r>
    </w:p>
    <w:p w14:paraId="4212C1A2"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Boxell, L., Gentzkow, M., &amp; Shapiro, J. M. (2024). Cross-country trends in affective polarization. </w:t>
      </w:r>
      <w:r w:rsidRPr="0099616B">
        <w:rPr>
          <w:rFonts w:ascii="Times New Roman" w:hAnsi="Times New Roman" w:cs="Times New Roman"/>
          <w:i/>
          <w:iCs/>
          <w:sz w:val="24"/>
        </w:rPr>
        <w:t>Review of Economics and Statistics</w:t>
      </w:r>
      <w:r w:rsidRPr="0099616B">
        <w:rPr>
          <w:rFonts w:ascii="Times New Roman" w:hAnsi="Times New Roman" w:cs="Times New Roman"/>
          <w:sz w:val="24"/>
        </w:rPr>
        <w:t xml:space="preserve">, </w:t>
      </w:r>
      <w:r w:rsidRPr="0099616B">
        <w:rPr>
          <w:rFonts w:ascii="Times New Roman" w:hAnsi="Times New Roman" w:cs="Times New Roman"/>
          <w:i/>
          <w:iCs/>
          <w:sz w:val="24"/>
        </w:rPr>
        <w:t>106</w:t>
      </w:r>
      <w:r w:rsidRPr="0099616B">
        <w:rPr>
          <w:rFonts w:ascii="Times New Roman" w:hAnsi="Times New Roman" w:cs="Times New Roman"/>
          <w:sz w:val="24"/>
        </w:rPr>
        <w:t>(2), 557–565. https://doi.org/10.1162/rest_a_01160</w:t>
      </w:r>
    </w:p>
    <w:p w14:paraId="649B49C1"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Coppedge, M., Gerring, J., Knutsen, C. H., Lindberg, S. I., </w:t>
      </w:r>
      <w:proofErr w:type="spellStart"/>
      <w:r w:rsidRPr="0099616B">
        <w:rPr>
          <w:rFonts w:ascii="Times New Roman" w:hAnsi="Times New Roman" w:cs="Times New Roman"/>
          <w:sz w:val="24"/>
        </w:rPr>
        <w:t>Teorell</w:t>
      </w:r>
      <w:proofErr w:type="spellEnd"/>
      <w:r w:rsidRPr="0099616B">
        <w:rPr>
          <w:rFonts w:ascii="Times New Roman" w:hAnsi="Times New Roman" w:cs="Times New Roman"/>
          <w:sz w:val="24"/>
        </w:rPr>
        <w:t xml:space="preserve">, J., Altman, D., Angiolillo, F., Bernhard, M., Cornell, A., Fish, M. S., Fox, L., Gastaldi, L., Gjerløw, H., Glynn, A., God, A. G., Grahn, S., Hicken, A., </w:t>
      </w:r>
      <w:proofErr w:type="spellStart"/>
      <w:r w:rsidRPr="0099616B">
        <w:rPr>
          <w:rFonts w:ascii="Times New Roman" w:hAnsi="Times New Roman" w:cs="Times New Roman"/>
          <w:sz w:val="24"/>
        </w:rPr>
        <w:t>Kinzelbach</w:t>
      </w:r>
      <w:proofErr w:type="spellEnd"/>
      <w:r w:rsidRPr="0099616B">
        <w:rPr>
          <w:rFonts w:ascii="Times New Roman" w:hAnsi="Times New Roman" w:cs="Times New Roman"/>
          <w:sz w:val="24"/>
        </w:rPr>
        <w:t xml:space="preserve">, K., Marquardt, K. L., … Ziblatt, D. (2025). </w:t>
      </w:r>
      <w:r w:rsidRPr="0099616B">
        <w:rPr>
          <w:rFonts w:ascii="Times New Roman" w:hAnsi="Times New Roman" w:cs="Times New Roman"/>
          <w:i/>
          <w:iCs/>
          <w:sz w:val="24"/>
        </w:rPr>
        <w:t>V-Dem [country–year/country–date] dataset</w:t>
      </w:r>
      <w:r w:rsidRPr="0099616B">
        <w:rPr>
          <w:rFonts w:ascii="Times New Roman" w:hAnsi="Times New Roman" w:cs="Times New Roman"/>
          <w:sz w:val="24"/>
        </w:rPr>
        <w:t xml:space="preserve"> [Dataset]. Varieties of Democracy (V-Dem) Institute. https://www.v-dem.net/data/the-v-dem-dataset/country-year-v-dem-fullothers-v15/</w:t>
      </w:r>
    </w:p>
    <w:p w14:paraId="34694C27"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Currie, T. E., &amp; Mace, R. (2012). Analyses do not support the parasite-stress theory of human sociality. </w:t>
      </w:r>
      <w:r w:rsidRPr="0099616B">
        <w:rPr>
          <w:rFonts w:ascii="Times New Roman" w:hAnsi="Times New Roman" w:cs="Times New Roman"/>
          <w:i/>
          <w:iCs/>
          <w:sz w:val="24"/>
        </w:rPr>
        <w:t>Behavioral and Brain Sciences</w:t>
      </w:r>
      <w:r w:rsidRPr="0099616B">
        <w:rPr>
          <w:rFonts w:ascii="Times New Roman" w:hAnsi="Times New Roman" w:cs="Times New Roman"/>
          <w:sz w:val="24"/>
        </w:rPr>
        <w:t xml:space="preserve">, </w:t>
      </w:r>
      <w:r w:rsidRPr="0099616B">
        <w:rPr>
          <w:rFonts w:ascii="Times New Roman" w:hAnsi="Times New Roman" w:cs="Times New Roman"/>
          <w:i/>
          <w:iCs/>
          <w:sz w:val="24"/>
        </w:rPr>
        <w:t>35</w:t>
      </w:r>
      <w:r w:rsidRPr="0099616B">
        <w:rPr>
          <w:rFonts w:ascii="Times New Roman" w:hAnsi="Times New Roman" w:cs="Times New Roman"/>
          <w:sz w:val="24"/>
        </w:rPr>
        <w:t>(2), 83–85. https://doi.org/10.1017/S0140525X11000963</w:t>
      </w:r>
    </w:p>
    <w:p w14:paraId="469B423E"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Durante, R., Guiso, L., &amp; Gulino, G. (2021). Asocial capital: Civic culture and social distancing during COVID-19. </w:t>
      </w:r>
      <w:r w:rsidRPr="0099616B">
        <w:rPr>
          <w:rFonts w:ascii="Times New Roman" w:hAnsi="Times New Roman" w:cs="Times New Roman"/>
          <w:i/>
          <w:iCs/>
          <w:sz w:val="24"/>
        </w:rPr>
        <w:t>Journal of Public Economics</w:t>
      </w:r>
      <w:r w:rsidRPr="0099616B">
        <w:rPr>
          <w:rFonts w:ascii="Times New Roman" w:hAnsi="Times New Roman" w:cs="Times New Roman"/>
          <w:sz w:val="24"/>
        </w:rPr>
        <w:t xml:space="preserve">, </w:t>
      </w:r>
      <w:r w:rsidRPr="0099616B">
        <w:rPr>
          <w:rFonts w:ascii="Times New Roman" w:hAnsi="Times New Roman" w:cs="Times New Roman"/>
          <w:i/>
          <w:iCs/>
          <w:sz w:val="24"/>
        </w:rPr>
        <w:t>194</w:t>
      </w:r>
      <w:r w:rsidRPr="0099616B">
        <w:rPr>
          <w:rFonts w:ascii="Times New Roman" w:hAnsi="Times New Roman" w:cs="Times New Roman"/>
          <w:sz w:val="24"/>
        </w:rPr>
        <w:t>, 104342. https://doi.org/10.1016/j.jpubeco.2020.104342</w:t>
      </w:r>
    </w:p>
    <w:p w14:paraId="4D4928B4"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Edgell, A. B., Grahn, S., Lachapelle, J., </w:t>
      </w:r>
      <w:proofErr w:type="spellStart"/>
      <w:r w:rsidRPr="0099616B">
        <w:rPr>
          <w:rFonts w:ascii="Times New Roman" w:hAnsi="Times New Roman" w:cs="Times New Roman"/>
          <w:sz w:val="24"/>
        </w:rPr>
        <w:t>Lührmann</w:t>
      </w:r>
      <w:proofErr w:type="spellEnd"/>
      <w:r w:rsidRPr="0099616B">
        <w:rPr>
          <w:rFonts w:ascii="Times New Roman" w:hAnsi="Times New Roman" w:cs="Times New Roman"/>
          <w:sz w:val="24"/>
        </w:rPr>
        <w:t xml:space="preserve">, A., &amp; Maerz, S. F. (2021). </w:t>
      </w:r>
      <w:r w:rsidRPr="0099616B">
        <w:rPr>
          <w:rFonts w:ascii="Times New Roman" w:hAnsi="Times New Roman" w:cs="Times New Roman"/>
          <w:i/>
          <w:iCs/>
          <w:sz w:val="24"/>
        </w:rPr>
        <w:t xml:space="preserve">An update on pandemic backsliding: Democracy four months after the beginning of the </w:t>
      </w:r>
      <w:r w:rsidRPr="0099616B">
        <w:rPr>
          <w:rFonts w:ascii="Times New Roman" w:hAnsi="Times New Roman" w:cs="Times New Roman"/>
          <w:i/>
          <w:iCs/>
          <w:sz w:val="24"/>
        </w:rPr>
        <w:lastRenderedPageBreak/>
        <w:t>Covid-19 pandemic</w:t>
      </w:r>
      <w:r w:rsidRPr="0099616B">
        <w:rPr>
          <w:rFonts w:ascii="Times New Roman" w:hAnsi="Times New Roman" w:cs="Times New Roman"/>
          <w:sz w:val="24"/>
        </w:rPr>
        <w:t xml:space="preserve"> [Policy Brief]. V-Dem Institute, University of Gothenburg. https://www.v-dem.net/media/publications/v-dem_policybrief-24_update-pandemic-backsliding_200702.pdf</w:t>
      </w:r>
    </w:p>
    <w:p w14:paraId="0AAB559D"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Fukuyama, F. (1995). </w:t>
      </w:r>
      <w:r w:rsidRPr="0099616B">
        <w:rPr>
          <w:rFonts w:ascii="Times New Roman" w:hAnsi="Times New Roman" w:cs="Times New Roman"/>
          <w:i/>
          <w:iCs/>
          <w:sz w:val="24"/>
        </w:rPr>
        <w:t>Trust: The social virtues and the creation of prosperity.</w:t>
      </w:r>
      <w:r w:rsidRPr="0099616B">
        <w:rPr>
          <w:rFonts w:ascii="Times New Roman" w:hAnsi="Times New Roman" w:cs="Times New Roman"/>
          <w:sz w:val="24"/>
        </w:rPr>
        <w:t xml:space="preserve"> Free Press.</w:t>
      </w:r>
    </w:p>
    <w:p w14:paraId="6A0021CD"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Gelman, A., </w:t>
      </w:r>
      <w:proofErr w:type="spellStart"/>
      <w:r w:rsidRPr="0099616B">
        <w:rPr>
          <w:rFonts w:ascii="Times New Roman" w:hAnsi="Times New Roman" w:cs="Times New Roman"/>
          <w:sz w:val="24"/>
        </w:rPr>
        <w:t>Jakulin</w:t>
      </w:r>
      <w:proofErr w:type="spellEnd"/>
      <w:r w:rsidRPr="0099616B">
        <w:rPr>
          <w:rFonts w:ascii="Times New Roman" w:hAnsi="Times New Roman" w:cs="Times New Roman"/>
          <w:sz w:val="24"/>
        </w:rPr>
        <w:t xml:space="preserve">, A., </w:t>
      </w:r>
      <w:proofErr w:type="spellStart"/>
      <w:r w:rsidRPr="0099616B">
        <w:rPr>
          <w:rFonts w:ascii="Times New Roman" w:hAnsi="Times New Roman" w:cs="Times New Roman"/>
          <w:sz w:val="24"/>
        </w:rPr>
        <w:t>Pittau</w:t>
      </w:r>
      <w:proofErr w:type="spellEnd"/>
      <w:r w:rsidRPr="0099616B">
        <w:rPr>
          <w:rFonts w:ascii="Times New Roman" w:hAnsi="Times New Roman" w:cs="Times New Roman"/>
          <w:sz w:val="24"/>
        </w:rPr>
        <w:t xml:space="preserve">, M. G., &amp; Su, Y.-S. (2008). A weakly informative default prior distribution for logistic and other regression models. </w:t>
      </w:r>
      <w:r w:rsidRPr="0099616B">
        <w:rPr>
          <w:rFonts w:ascii="Times New Roman" w:hAnsi="Times New Roman" w:cs="Times New Roman"/>
          <w:i/>
          <w:iCs/>
          <w:sz w:val="24"/>
        </w:rPr>
        <w:t>The Annals of Applied Statistics</w:t>
      </w:r>
      <w:r w:rsidRPr="0099616B">
        <w:rPr>
          <w:rFonts w:ascii="Times New Roman" w:hAnsi="Times New Roman" w:cs="Times New Roman"/>
          <w:sz w:val="24"/>
        </w:rPr>
        <w:t xml:space="preserve">, </w:t>
      </w:r>
      <w:r w:rsidRPr="0099616B">
        <w:rPr>
          <w:rFonts w:ascii="Times New Roman" w:hAnsi="Times New Roman" w:cs="Times New Roman"/>
          <w:i/>
          <w:iCs/>
          <w:sz w:val="24"/>
        </w:rPr>
        <w:t>2</w:t>
      </w:r>
      <w:r w:rsidRPr="0099616B">
        <w:rPr>
          <w:rFonts w:ascii="Times New Roman" w:hAnsi="Times New Roman" w:cs="Times New Roman"/>
          <w:sz w:val="24"/>
        </w:rPr>
        <w:t>(4). https://doi.org/10.1214/08-AOAS191</w:t>
      </w:r>
    </w:p>
    <w:p w14:paraId="221DB767"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Guha-Sapir, D., Below, R., &amp; </w:t>
      </w:r>
      <w:proofErr w:type="spellStart"/>
      <w:r w:rsidRPr="0099616B">
        <w:rPr>
          <w:rFonts w:ascii="Times New Roman" w:hAnsi="Times New Roman" w:cs="Times New Roman"/>
          <w:sz w:val="24"/>
        </w:rPr>
        <w:t>Hoyois</w:t>
      </w:r>
      <w:proofErr w:type="spellEnd"/>
      <w:r w:rsidRPr="0099616B">
        <w:rPr>
          <w:rFonts w:ascii="Times New Roman" w:hAnsi="Times New Roman" w:cs="Times New Roman"/>
          <w:sz w:val="24"/>
        </w:rPr>
        <w:t xml:space="preserve">, P. (2025). </w:t>
      </w:r>
      <w:r w:rsidRPr="0099616B">
        <w:rPr>
          <w:rFonts w:ascii="Times New Roman" w:hAnsi="Times New Roman" w:cs="Times New Roman"/>
          <w:i/>
          <w:iCs/>
          <w:sz w:val="24"/>
        </w:rPr>
        <w:t>EM-DAT: The CRED/OFDA International Disaster Database</w:t>
      </w:r>
      <w:r w:rsidRPr="0099616B">
        <w:rPr>
          <w:rFonts w:ascii="Times New Roman" w:hAnsi="Times New Roman" w:cs="Times New Roman"/>
          <w:sz w:val="24"/>
        </w:rPr>
        <w:t xml:space="preserve"> [Dataset]. Université Catholique de Louvain. https://www.emdat.be</w:t>
      </w:r>
    </w:p>
    <w:p w14:paraId="69119C8B"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Hale, T., Angrist, N., </w:t>
      </w:r>
      <w:proofErr w:type="spellStart"/>
      <w:r w:rsidRPr="0099616B">
        <w:rPr>
          <w:rFonts w:ascii="Times New Roman" w:hAnsi="Times New Roman" w:cs="Times New Roman"/>
          <w:sz w:val="24"/>
        </w:rPr>
        <w:t>Goldszmidt</w:t>
      </w:r>
      <w:proofErr w:type="spellEnd"/>
      <w:r w:rsidRPr="0099616B">
        <w:rPr>
          <w:rFonts w:ascii="Times New Roman" w:hAnsi="Times New Roman" w:cs="Times New Roman"/>
          <w:sz w:val="24"/>
        </w:rPr>
        <w:t xml:space="preserve">, R., Kira, B., Petherick, A., Phillips, T., Webster, S., Cameron-Blake, E., Hallas, L., Majumdar, S., &amp; Tatlow, H. (2021). A global panel database of pandemic policies (Oxford COVID-19 Government Response Tracker). </w:t>
      </w:r>
      <w:r w:rsidRPr="0099616B">
        <w:rPr>
          <w:rFonts w:ascii="Times New Roman" w:hAnsi="Times New Roman" w:cs="Times New Roman"/>
          <w:i/>
          <w:iCs/>
          <w:sz w:val="24"/>
        </w:rPr>
        <w:t xml:space="preserve">Nature Human </w:t>
      </w:r>
      <w:proofErr w:type="spellStart"/>
      <w:r w:rsidRPr="0099616B">
        <w:rPr>
          <w:rFonts w:ascii="Times New Roman" w:hAnsi="Times New Roman" w:cs="Times New Roman"/>
          <w:i/>
          <w:iCs/>
          <w:sz w:val="24"/>
        </w:rPr>
        <w:t>Behaviour</w:t>
      </w:r>
      <w:proofErr w:type="spellEnd"/>
      <w:r w:rsidRPr="0099616B">
        <w:rPr>
          <w:rFonts w:ascii="Times New Roman" w:hAnsi="Times New Roman" w:cs="Times New Roman"/>
          <w:sz w:val="24"/>
        </w:rPr>
        <w:t xml:space="preserve">, </w:t>
      </w:r>
      <w:r w:rsidRPr="0099616B">
        <w:rPr>
          <w:rFonts w:ascii="Times New Roman" w:hAnsi="Times New Roman" w:cs="Times New Roman"/>
          <w:i/>
          <w:iCs/>
          <w:sz w:val="24"/>
        </w:rPr>
        <w:t>5</w:t>
      </w:r>
      <w:r w:rsidRPr="0099616B">
        <w:rPr>
          <w:rFonts w:ascii="Times New Roman" w:hAnsi="Times New Roman" w:cs="Times New Roman"/>
          <w:sz w:val="24"/>
        </w:rPr>
        <w:t>(4), 529–538. https://doi.org/10.1038/s41562-021-01079-8</w:t>
      </w:r>
    </w:p>
    <w:p w14:paraId="63AF6E30"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Hoffman, M. D., &amp; Gelman, A. (2014). The No-U-Turn sampler: Adaptively setting path lengths in Hamiltonian Monte Carlo. </w:t>
      </w:r>
      <w:r w:rsidRPr="0099616B">
        <w:rPr>
          <w:rFonts w:ascii="Times New Roman" w:hAnsi="Times New Roman" w:cs="Times New Roman"/>
          <w:i/>
          <w:iCs/>
          <w:sz w:val="24"/>
        </w:rPr>
        <w:t>Journal of Machine Learning Research</w:t>
      </w:r>
      <w:r w:rsidRPr="0099616B">
        <w:rPr>
          <w:rFonts w:ascii="Times New Roman" w:hAnsi="Times New Roman" w:cs="Times New Roman"/>
          <w:sz w:val="24"/>
        </w:rPr>
        <w:t xml:space="preserve">, </w:t>
      </w:r>
      <w:r w:rsidRPr="0099616B">
        <w:rPr>
          <w:rFonts w:ascii="Times New Roman" w:hAnsi="Times New Roman" w:cs="Times New Roman"/>
          <w:i/>
          <w:iCs/>
          <w:sz w:val="24"/>
        </w:rPr>
        <w:t>15</w:t>
      </w:r>
      <w:r w:rsidRPr="0099616B">
        <w:rPr>
          <w:rFonts w:ascii="Times New Roman" w:hAnsi="Times New Roman" w:cs="Times New Roman"/>
          <w:sz w:val="24"/>
        </w:rPr>
        <w:t>(47), 1593-1623.</w:t>
      </w:r>
    </w:p>
    <w:p w14:paraId="5C2324A4"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lastRenderedPageBreak/>
        <w:t xml:space="preserve">Iyengar, S., Lelkes, Y., Levendusky, M., Malhotra, N., &amp; Westwood, S. J. (2019). The origins and consequences of affective polarization in the </w:t>
      </w:r>
      <w:proofErr w:type="gramStart"/>
      <w:r w:rsidRPr="0099616B">
        <w:rPr>
          <w:rFonts w:ascii="Times New Roman" w:hAnsi="Times New Roman" w:cs="Times New Roman"/>
          <w:sz w:val="24"/>
        </w:rPr>
        <w:t>united states</w:t>
      </w:r>
      <w:proofErr w:type="gramEnd"/>
      <w:r w:rsidRPr="0099616B">
        <w:rPr>
          <w:rFonts w:ascii="Times New Roman" w:hAnsi="Times New Roman" w:cs="Times New Roman"/>
          <w:sz w:val="24"/>
        </w:rPr>
        <w:t xml:space="preserve">. </w:t>
      </w:r>
      <w:r w:rsidRPr="0099616B">
        <w:rPr>
          <w:rFonts w:ascii="Times New Roman" w:hAnsi="Times New Roman" w:cs="Times New Roman"/>
          <w:i/>
          <w:iCs/>
          <w:sz w:val="24"/>
        </w:rPr>
        <w:t>Annual Review of Political Science</w:t>
      </w:r>
      <w:r w:rsidRPr="0099616B">
        <w:rPr>
          <w:rFonts w:ascii="Times New Roman" w:hAnsi="Times New Roman" w:cs="Times New Roman"/>
          <w:sz w:val="24"/>
        </w:rPr>
        <w:t xml:space="preserve">, </w:t>
      </w:r>
      <w:r w:rsidRPr="0099616B">
        <w:rPr>
          <w:rFonts w:ascii="Times New Roman" w:hAnsi="Times New Roman" w:cs="Times New Roman"/>
          <w:i/>
          <w:iCs/>
          <w:sz w:val="24"/>
        </w:rPr>
        <w:t>22</w:t>
      </w:r>
      <w:r w:rsidRPr="0099616B">
        <w:rPr>
          <w:rFonts w:ascii="Times New Roman" w:hAnsi="Times New Roman" w:cs="Times New Roman"/>
          <w:sz w:val="24"/>
        </w:rPr>
        <w:t>(1), 129–146. https://doi.org/10.1146/annurev-polisci-051117-073034</w:t>
      </w:r>
    </w:p>
    <w:p w14:paraId="4B41956C"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Jankulovski, S. (2025). The challenges of international relations in the post-covid era. </w:t>
      </w:r>
      <w:r w:rsidRPr="0099616B">
        <w:rPr>
          <w:rFonts w:ascii="Times New Roman" w:hAnsi="Times New Roman" w:cs="Times New Roman"/>
          <w:i/>
          <w:iCs/>
          <w:sz w:val="24"/>
        </w:rPr>
        <w:t>International Journal of Economics, Management and Tourism</w:t>
      </w:r>
      <w:r w:rsidRPr="0099616B">
        <w:rPr>
          <w:rFonts w:ascii="Times New Roman" w:hAnsi="Times New Roman" w:cs="Times New Roman"/>
          <w:sz w:val="24"/>
        </w:rPr>
        <w:t xml:space="preserve">, </w:t>
      </w:r>
      <w:r w:rsidRPr="0099616B">
        <w:rPr>
          <w:rFonts w:ascii="Times New Roman" w:hAnsi="Times New Roman" w:cs="Times New Roman"/>
          <w:i/>
          <w:iCs/>
          <w:sz w:val="24"/>
        </w:rPr>
        <w:t>5</w:t>
      </w:r>
      <w:r w:rsidRPr="0099616B">
        <w:rPr>
          <w:rFonts w:ascii="Times New Roman" w:hAnsi="Times New Roman" w:cs="Times New Roman"/>
          <w:sz w:val="24"/>
        </w:rPr>
        <w:t>(1), 117–125. https://doi.org/10.46763/IJEMT2551117j</w:t>
      </w:r>
    </w:p>
    <w:p w14:paraId="2E0E3504"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Kumar, R., Carroll, C., Hartikainen, A., &amp; Martin, O. (2019). </w:t>
      </w:r>
      <w:proofErr w:type="spellStart"/>
      <w:r w:rsidRPr="0099616B">
        <w:rPr>
          <w:rFonts w:ascii="Times New Roman" w:hAnsi="Times New Roman" w:cs="Times New Roman"/>
          <w:sz w:val="24"/>
        </w:rPr>
        <w:t>ArviZ</w:t>
      </w:r>
      <w:proofErr w:type="spellEnd"/>
      <w:r w:rsidRPr="0099616B">
        <w:rPr>
          <w:rFonts w:ascii="Times New Roman" w:hAnsi="Times New Roman" w:cs="Times New Roman"/>
          <w:sz w:val="24"/>
        </w:rPr>
        <w:t xml:space="preserve"> a unified library for exploratory analysis of Bayesian models in Python. </w:t>
      </w:r>
      <w:r w:rsidRPr="0099616B">
        <w:rPr>
          <w:rFonts w:ascii="Times New Roman" w:hAnsi="Times New Roman" w:cs="Times New Roman"/>
          <w:i/>
          <w:iCs/>
          <w:sz w:val="24"/>
        </w:rPr>
        <w:t xml:space="preserve">Journal of </w:t>
      </w:r>
      <w:proofErr w:type="gramStart"/>
      <w:r w:rsidRPr="0099616B">
        <w:rPr>
          <w:rFonts w:ascii="Times New Roman" w:hAnsi="Times New Roman" w:cs="Times New Roman"/>
          <w:i/>
          <w:iCs/>
          <w:sz w:val="24"/>
        </w:rPr>
        <w:t>Open Source</w:t>
      </w:r>
      <w:proofErr w:type="gramEnd"/>
      <w:r w:rsidRPr="0099616B">
        <w:rPr>
          <w:rFonts w:ascii="Times New Roman" w:hAnsi="Times New Roman" w:cs="Times New Roman"/>
          <w:i/>
          <w:iCs/>
          <w:sz w:val="24"/>
        </w:rPr>
        <w:t xml:space="preserve"> Software</w:t>
      </w:r>
      <w:r w:rsidRPr="0099616B">
        <w:rPr>
          <w:rFonts w:ascii="Times New Roman" w:hAnsi="Times New Roman" w:cs="Times New Roman"/>
          <w:sz w:val="24"/>
        </w:rPr>
        <w:t xml:space="preserve">, </w:t>
      </w:r>
      <w:r w:rsidRPr="0099616B">
        <w:rPr>
          <w:rFonts w:ascii="Times New Roman" w:hAnsi="Times New Roman" w:cs="Times New Roman"/>
          <w:i/>
          <w:iCs/>
          <w:sz w:val="24"/>
        </w:rPr>
        <w:t>4</w:t>
      </w:r>
      <w:r w:rsidRPr="0099616B">
        <w:rPr>
          <w:rFonts w:ascii="Times New Roman" w:hAnsi="Times New Roman" w:cs="Times New Roman"/>
          <w:sz w:val="24"/>
        </w:rPr>
        <w:t>(33), 1143. https://doi.org/10.21105/joss.01143</w:t>
      </w:r>
    </w:p>
    <w:p w14:paraId="721499B1"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Levitsky, S., &amp; Ziblatt, D. (2018). </w:t>
      </w:r>
      <w:r w:rsidRPr="0099616B">
        <w:rPr>
          <w:rFonts w:ascii="Times New Roman" w:hAnsi="Times New Roman" w:cs="Times New Roman"/>
          <w:i/>
          <w:iCs/>
          <w:sz w:val="24"/>
        </w:rPr>
        <w:t>How democracies die</w:t>
      </w:r>
      <w:r w:rsidRPr="0099616B">
        <w:rPr>
          <w:rFonts w:ascii="Times New Roman" w:hAnsi="Times New Roman" w:cs="Times New Roman"/>
          <w:sz w:val="24"/>
        </w:rPr>
        <w:t xml:space="preserve"> (1st ed.). Crown.</w:t>
      </w:r>
    </w:p>
    <w:p w14:paraId="1B5900D5"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Lührmann, A., &amp; Lindberg, S. I. (2019). A third wave of </w:t>
      </w:r>
      <w:proofErr w:type="spellStart"/>
      <w:r w:rsidRPr="0099616B">
        <w:rPr>
          <w:rFonts w:ascii="Times New Roman" w:hAnsi="Times New Roman" w:cs="Times New Roman"/>
          <w:sz w:val="24"/>
        </w:rPr>
        <w:t>autocratization</w:t>
      </w:r>
      <w:proofErr w:type="spellEnd"/>
      <w:r w:rsidRPr="0099616B">
        <w:rPr>
          <w:rFonts w:ascii="Times New Roman" w:hAnsi="Times New Roman" w:cs="Times New Roman"/>
          <w:sz w:val="24"/>
        </w:rPr>
        <w:t xml:space="preserve"> is here: What is new about it? </w:t>
      </w:r>
      <w:r w:rsidRPr="0099616B">
        <w:rPr>
          <w:rFonts w:ascii="Times New Roman" w:hAnsi="Times New Roman" w:cs="Times New Roman"/>
          <w:i/>
          <w:iCs/>
          <w:sz w:val="24"/>
        </w:rPr>
        <w:t>Democratization</w:t>
      </w:r>
      <w:r w:rsidRPr="0099616B">
        <w:rPr>
          <w:rFonts w:ascii="Times New Roman" w:hAnsi="Times New Roman" w:cs="Times New Roman"/>
          <w:sz w:val="24"/>
        </w:rPr>
        <w:t xml:space="preserve">, </w:t>
      </w:r>
      <w:r w:rsidRPr="0099616B">
        <w:rPr>
          <w:rFonts w:ascii="Times New Roman" w:hAnsi="Times New Roman" w:cs="Times New Roman"/>
          <w:i/>
          <w:iCs/>
          <w:sz w:val="24"/>
        </w:rPr>
        <w:t>26</w:t>
      </w:r>
      <w:r w:rsidRPr="0099616B">
        <w:rPr>
          <w:rFonts w:ascii="Times New Roman" w:hAnsi="Times New Roman" w:cs="Times New Roman"/>
          <w:sz w:val="24"/>
        </w:rPr>
        <w:t>(7), 1095–1113. https://doi.org/10.1080/13510347.2019.1582029</w:t>
      </w:r>
    </w:p>
    <w:p w14:paraId="4081A3A6"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Maerz, S. F., Lührmann, A., Lachapelle, J., &amp; Edgell, A. B. (2020). </w:t>
      </w:r>
      <w:r w:rsidRPr="0099616B">
        <w:rPr>
          <w:rFonts w:ascii="Times New Roman" w:hAnsi="Times New Roman" w:cs="Times New Roman"/>
          <w:i/>
          <w:iCs/>
          <w:sz w:val="24"/>
        </w:rPr>
        <w:t>Worth the sacrifice? Illiberal and authoritarian practices during Covid-19</w:t>
      </w:r>
      <w:r w:rsidRPr="0099616B">
        <w:rPr>
          <w:rFonts w:ascii="Times New Roman" w:hAnsi="Times New Roman" w:cs="Times New Roman"/>
          <w:sz w:val="24"/>
        </w:rPr>
        <w:t xml:space="preserve"> [V-Dem Working Paper]. Varieties of Democracy Institute.</w:t>
      </w:r>
    </w:p>
    <w:p w14:paraId="487000F4"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Mathieu, E., Ritchie, H., Ortiz-Ospina, E., Roser, M., Hasell, J., Appel, C., Giattino, C., </w:t>
      </w:r>
      <w:r w:rsidRPr="0099616B">
        <w:rPr>
          <w:rFonts w:ascii="Times New Roman" w:hAnsi="Times New Roman" w:cs="Times New Roman"/>
          <w:sz w:val="24"/>
        </w:rPr>
        <w:lastRenderedPageBreak/>
        <w:t xml:space="preserve">&amp; Rodés-Guirao, L. (2021). A global database of COVID-19 vaccinations. </w:t>
      </w:r>
      <w:r w:rsidRPr="0099616B">
        <w:rPr>
          <w:rFonts w:ascii="Times New Roman" w:hAnsi="Times New Roman" w:cs="Times New Roman"/>
          <w:i/>
          <w:iCs/>
          <w:sz w:val="24"/>
        </w:rPr>
        <w:t xml:space="preserve">Nature Human </w:t>
      </w:r>
      <w:proofErr w:type="spellStart"/>
      <w:r w:rsidRPr="0099616B">
        <w:rPr>
          <w:rFonts w:ascii="Times New Roman" w:hAnsi="Times New Roman" w:cs="Times New Roman"/>
          <w:i/>
          <w:iCs/>
          <w:sz w:val="24"/>
        </w:rPr>
        <w:t>Behaviour</w:t>
      </w:r>
      <w:proofErr w:type="spellEnd"/>
      <w:r w:rsidRPr="0099616B">
        <w:rPr>
          <w:rFonts w:ascii="Times New Roman" w:hAnsi="Times New Roman" w:cs="Times New Roman"/>
          <w:sz w:val="24"/>
        </w:rPr>
        <w:t xml:space="preserve">, </w:t>
      </w:r>
      <w:r w:rsidRPr="0099616B">
        <w:rPr>
          <w:rFonts w:ascii="Times New Roman" w:hAnsi="Times New Roman" w:cs="Times New Roman"/>
          <w:i/>
          <w:iCs/>
          <w:sz w:val="24"/>
        </w:rPr>
        <w:t>5</w:t>
      </w:r>
      <w:r w:rsidRPr="0099616B">
        <w:rPr>
          <w:rFonts w:ascii="Times New Roman" w:hAnsi="Times New Roman" w:cs="Times New Roman"/>
          <w:sz w:val="24"/>
        </w:rPr>
        <w:t>(7), 947–953. https://doi.org/10.1038/s41562-021-01122-8</w:t>
      </w:r>
    </w:p>
    <w:p w14:paraId="0BE16ED4"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McCarty, N. M., Poole, K. T., &amp; Rosenthal, H. (2016). </w:t>
      </w:r>
      <w:r w:rsidRPr="0099616B">
        <w:rPr>
          <w:rFonts w:ascii="Times New Roman" w:hAnsi="Times New Roman" w:cs="Times New Roman"/>
          <w:i/>
          <w:iCs/>
          <w:sz w:val="24"/>
        </w:rPr>
        <w:t>Polarized America: The dance of ideology and unequal riches</w:t>
      </w:r>
      <w:r w:rsidRPr="0099616B">
        <w:rPr>
          <w:rFonts w:ascii="Times New Roman" w:hAnsi="Times New Roman" w:cs="Times New Roman"/>
          <w:sz w:val="24"/>
        </w:rPr>
        <w:t xml:space="preserve"> (2nd ed.). MIT Press.</w:t>
      </w:r>
    </w:p>
    <w:p w14:paraId="62657ADA"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Murray, D. R., &amp; Schaller, M. (2010). Historical Prevalence of Infectious Diseases Within 230 Geopolitical Regions: A Tool for Investigating Origins of Culture. </w:t>
      </w:r>
      <w:r w:rsidRPr="0099616B">
        <w:rPr>
          <w:rFonts w:ascii="Times New Roman" w:hAnsi="Times New Roman" w:cs="Times New Roman"/>
          <w:i/>
          <w:iCs/>
          <w:sz w:val="24"/>
        </w:rPr>
        <w:t>Journal of Cross-Cultural Psychology</w:t>
      </w:r>
      <w:r w:rsidRPr="0099616B">
        <w:rPr>
          <w:rFonts w:ascii="Times New Roman" w:hAnsi="Times New Roman" w:cs="Times New Roman"/>
          <w:sz w:val="24"/>
        </w:rPr>
        <w:t xml:space="preserve">, </w:t>
      </w:r>
      <w:r w:rsidRPr="0099616B">
        <w:rPr>
          <w:rFonts w:ascii="Times New Roman" w:hAnsi="Times New Roman" w:cs="Times New Roman"/>
          <w:i/>
          <w:iCs/>
          <w:sz w:val="24"/>
        </w:rPr>
        <w:t>41</w:t>
      </w:r>
      <w:r w:rsidRPr="0099616B">
        <w:rPr>
          <w:rFonts w:ascii="Times New Roman" w:hAnsi="Times New Roman" w:cs="Times New Roman"/>
          <w:sz w:val="24"/>
        </w:rPr>
        <w:t>(1), 99–108. https://doi.org/10.1177/0022022109349510</w:t>
      </w:r>
    </w:p>
    <w:p w14:paraId="6A26F41B"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Nickell, S. (1981). Biases in Dynamic Models with Fixed Effects. </w:t>
      </w:r>
      <w:proofErr w:type="spellStart"/>
      <w:r w:rsidRPr="0099616B">
        <w:rPr>
          <w:rFonts w:ascii="Times New Roman" w:hAnsi="Times New Roman" w:cs="Times New Roman"/>
          <w:i/>
          <w:iCs/>
          <w:sz w:val="24"/>
        </w:rPr>
        <w:t>Econometrica</w:t>
      </w:r>
      <w:proofErr w:type="spellEnd"/>
      <w:r w:rsidRPr="0099616B">
        <w:rPr>
          <w:rFonts w:ascii="Times New Roman" w:hAnsi="Times New Roman" w:cs="Times New Roman"/>
          <w:sz w:val="24"/>
        </w:rPr>
        <w:t xml:space="preserve">, </w:t>
      </w:r>
      <w:r w:rsidRPr="0099616B">
        <w:rPr>
          <w:rFonts w:ascii="Times New Roman" w:hAnsi="Times New Roman" w:cs="Times New Roman"/>
          <w:i/>
          <w:iCs/>
          <w:sz w:val="24"/>
        </w:rPr>
        <w:t>49</w:t>
      </w:r>
      <w:r w:rsidRPr="0099616B">
        <w:rPr>
          <w:rFonts w:ascii="Times New Roman" w:hAnsi="Times New Roman" w:cs="Times New Roman"/>
          <w:sz w:val="24"/>
        </w:rPr>
        <w:t>(6), 1417. https://doi.org/10.2307/1911408</w:t>
      </w:r>
    </w:p>
    <w:p w14:paraId="736F93C3"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Norris, P., &amp; Inglehart, R. (2019). </w:t>
      </w:r>
      <w:r w:rsidRPr="0099616B">
        <w:rPr>
          <w:rFonts w:ascii="Times New Roman" w:hAnsi="Times New Roman" w:cs="Times New Roman"/>
          <w:i/>
          <w:iCs/>
          <w:sz w:val="24"/>
        </w:rPr>
        <w:t>Cultural backlash: Trump, Brexit, and authoritarian populism</w:t>
      </w:r>
      <w:r w:rsidRPr="0099616B">
        <w:rPr>
          <w:rFonts w:ascii="Times New Roman" w:hAnsi="Times New Roman" w:cs="Times New Roman"/>
          <w:sz w:val="24"/>
        </w:rPr>
        <w:t>. Cambridge University Press.</w:t>
      </w:r>
    </w:p>
    <w:p w14:paraId="1A848585"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Pasin, G. L., Eriksson, K., Guido, A., Di Sorrentino, E. P., &amp; Andrighetto, G. (2024). Evidence from 43 countries that disease leaves cultures unchanged in the short-term. </w:t>
      </w:r>
      <w:r w:rsidRPr="0099616B">
        <w:rPr>
          <w:rFonts w:ascii="Times New Roman" w:hAnsi="Times New Roman" w:cs="Times New Roman"/>
          <w:i/>
          <w:iCs/>
          <w:sz w:val="24"/>
        </w:rPr>
        <w:t>Scientific Reports</w:t>
      </w:r>
      <w:r w:rsidRPr="0099616B">
        <w:rPr>
          <w:rFonts w:ascii="Times New Roman" w:hAnsi="Times New Roman" w:cs="Times New Roman"/>
          <w:sz w:val="24"/>
        </w:rPr>
        <w:t xml:space="preserve">, </w:t>
      </w:r>
      <w:r w:rsidRPr="0099616B">
        <w:rPr>
          <w:rFonts w:ascii="Times New Roman" w:hAnsi="Times New Roman" w:cs="Times New Roman"/>
          <w:i/>
          <w:iCs/>
          <w:sz w:val="24"/>
        </w:rPr>
        <w:t>14</w:t>
      </w:r>
      <w:r w:rsidRPr="0099616B">
        <w:rPr>
          <w:rFonts w:ascii="Times New Roman" w:hAnsi="Times New Roman" w:cs="Times New Roman"/>
          <w:sz w:val="24"/>
        </w:rPr>
        <w:t>(1), 6502. https://doi.org/10.1038/s41598-023-33155-6</w:t>
      </w:r>
    </w:p>
    <w:p w14:paraId="69030586"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Pollet, T. V., Tybur, J. M., Frankenhuis, W. E., &amp; Rickard, I. J. (2014). What can cross-cultural correlations teach us about human nature? </w:t>
      </w:r>
      <w:r w:rsidRPr="0099616B">
        <w:rPr>
          <w:rFonts w:ascii="Times New Roman" w:hAnsi="Times New Roman" w:cs="Times New Roman"/>
          <w:i/>
          <w:iCs/>
          <w:sz w:val="24"/>
        </w:rPr>
        <w:t>Human Nature</w:t>
      </w:r>
      <w:r w:rsidRPr="0099616B">
        <w:rPr>
          <w:rFonts w:ascii="Times New Roman" w:hAnsi="Times New Roman" w:cs="Times New Roman"/>
          <w:sz w:val="24"/>
        </w:rPr>
        <w:t xml:space="preserve">, </w:t>
      </w:r>
      <w:r w:rsidRPr="0099616B">
        <w:rPr>
          <w:rFonts w:ascii="Times New Roman" w:hAnsi="Times New Roman" w:cs="Times New Roman"/>
          <w:i/>
          <w:iCs/>
          <w:sz w:val="24"/>
        </w:rPr>
        <w:t>25</w:t>
      </w:r>
      <w:r w:rsidRPr="0099616B">
        <w:rPr>
          <w:rFonts w:ascii="Times New Roman" w:hAnsi="Times New Roman" w:cs="Times New Roman"/>
          <w:sz w:val="24"/>
        </w:rPr>
        <w:t>(3), 410–</w:t>
      </w:r>
      <w:r w:rsidRPr="0099616B">
        <w:rPr>
          <w:rFonts w:ascii="Times New Roman" w:hAnsi="Times New Roman" w:cs="Times New Roman"/>
          <w:sz w:val="24"/>
        </w:rPr>
        <w:lastRenderedPageBreak/>
        <w:t>429. https://doi.org/10.1007/s12110-014-9206-3</w:t>
      </w:r>
    </w:p>
    <w:p w14:paraId="33F7C716"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Repucci, S., &amp; </w:t>
      </w:r>
      <w:proofErr w:type="spellStart"/>
      <w:r w:rsidRPr="0099616B">
        <w:rPr>
          <w:rFonts w:ascii="Times New Roman" w:hAnsi="Times New Roman" w:cs="Times New Roman"/>
          <w:sz w:val="24"/>
        </w:rPr>
        <w:t>Slipowitz</w:t>
      </w:r>
      <w:proofErr w:type="spellEnd"/>
      <w:r w:rsidRPr="0099616B">
        <w:rPr>
          <w:rFonts w:ascii="Times New Roman" w:hAnsi="Times New Roman" w:cs="Times New Roman"/>
          <w:sz w:val="24"/>
        </w:rPr>
        <w:t xml:space="preserve">, A. (2021). </w:t>
      </w:r>
      <w:r w:rsidRPr="0099616B">
        <w:rPr>
          <w:rFonts w:ascii="Times New Roman" w:hAnsi="Times New Roman" w:cs="Times New Roman"/>
          <w:i/>
          <w:iCs/>
          <w:sz w:val="24"/>
        </w:rPr>
        <w:t>Freedom in the world 2021: Democracy under siege</w:t>
      </w:r>
      <w:r w:rsidRPr="0099616B">
        <w:rPr>
          <w:rFonts w:ascii="Times New Roman" w:hAnsi="Times New Roman" w:cs="Times New Roman"/>
          <w:sz w:val="24"/>
        </w:rPr>
        <w:t xml:space="preserve"> [Report]. Freedom House. https://freedomhouse.org/report/freedom-world/2021/democracy-under-siege</w:t>
      </w:r>
    </w:p>
    <w:p w14:paraId="439D75ED"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Stephen, T., &amp; Eric </w:t>
      </w:r>
      <w:proofErr w:type="gramStart"/>
      <w:r w:rsidRPr="0099616B">
        <w:rPr>
          <w:rFonts w:ascii="Times New Roman" w:hAnsi="Times New Roman" w:cs="Times New Roman"/>
          <w:sz w:val="24"/>
        </w:rPr>
        <w:t xml:space="preserve">C,  </w:t>
      </w:r>
      <w:proofErr w:type="spellStart"/>
      <w:r w:rsidRPr="0099616B">
        <w:rPr>
          <w:rFonts w:ascii="Times New Roman" w:hAnsi="Times New Roman" w:cs="Times New Roman"/>
          <w:sz w:val="24"/>
        </w:rPr>
        <w:t>lp</w:t>
      </w:r>
      <w:proofErr w:type="spellEnd"/>
      <w:proofErr w:type="gramEnd"/>
      <w:r w:rsidRPr="0099616B">
        <w:rPr>
          <w:rFonts w:ascii="Times New Roman" w:hAnsi="Times New Roman" w:cs="Times New Roman"/>
          <w:sz w:val="24"/>
        </w:rPr>
        <w:t xml:space="preserve">. (2020). COVID-19 emergency measures and the impending authoritarian pandemic. </w:t>
      </w:r>
      <w:r w:rsidRPr="0099616B">
        <w:rPr>
          <w:rFonts w:ascii="Times New Roman" w:hAnsi="Times New Roman" w:cs="Times New Roman"/>
          <w:i/>
          <w:iCs/>
          <w:sz w:val="24"/>
        </w:rPr>
        <w:t>Journal of Law and the Biosciences</w:t>
      </w:r>
      <w:r w:rsidRPr="0099616B">
        <w:rPr>
          <w:rFonts w:ascii="Times New Roman" w:hAnsi="Times New Roman" w:cs="Times New Roman"/>
          <w:sz w:val="24"/>
        </w:rPr>
        <w:t xml:space="preserve">, </w:t>
      </w:r>
      <w:r w:rsidRPr="0099616B">
        <w:rPr>
          <w:rFonts w:ascii="Times New Roman" w:hAnsi="Times New Roman" w:cs="Times New Roman"/>
          <w:i/>
          <w:iCs/>
          <w:sz w:val="24"/>
        </w:rPr>
        <w:t>7</w:t>
      </w:r>
      <w:r w:rsidRPr="0099616B">
        <w:rPr>
          <w:rFonts w:ascii="Times New Roman" w:hAnsi="Times New Roman" w:cs="Times New Roman"/>
          <w:sz w:val="24"/>
        </w:rPr>
        <w:t>(1), lsaa064. https://doi.org/10.1093/jlb/lsaa064</w:t>
      </w:r>
    </w:p>
    <w:p w14:paraId="0AC1E443"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Thornhill, R., &amp; Fincher, C. L. (2014). </w:t>
      </w:r>
      <w:r w:rsidRPr="0099616B">
        <w:rPr>
          <w:rFonts w:ascii="Times New Roman" w:hAnsi="Times New Roman" w:cs="Times New Roman"/>
          <w:i/>
          <w:iCs/>
          <w:sz w:val="24"/>
        </w:rPr>
        <w:t>The parasite-stress theory of values and sociality: Infectious disease, history and human values worldwide</w:t>
      </w:r>
      <w:r w:rsidRPr="0099616B">
        <w:rPr>
          <w:rFonts w:ascii="Times New Roman" w:hAnsi="Times New Roman" w:cs="Times New Roman"/>
          <w:sz w:val="24"/>
        </w:rPr>
        <w:t>. Springer.</w:t>
      </w:r>
    </w:p>
    <w:p w14:paraId="4B5E85AD" w14:textId="77777777" w:rsidR="0099616B" w:rsidRPr="0099616B" w:rsidRDefault="0099616B" w:rsidP="0099616B">
      <w:pPr>
        <w:pStyle w:val="af2"/>
        <w:rPr>
          <w:rFonts w:ascii="Times New Roman" w:hAnsi="Times New Roman" w:cs="Times New Roman"/>
          <w:sz w:val="24"/>
        </w:rPr>
      </w:pPr>
      <w:proofErr w:type="spellStart"/>
      <w:r w:rsidRPr="0099616B">
        <w:rPr>
          <w:rFonts w:ascii="Times New Roman" w:hAnsi="Times New Roman" w:cs="Times New Roman"/>
          <w:sz w:val="24"/>
        </w:rPr>
        <w:t>Tybur</w:t>
      </w:r>
      <w:proofErr w:type="spellEnd"/>
      <w:r w:rsidRPr="0099616B">
        <w:rPr>
          <w:rFonts w:ascii="Times New Roman" w:hAnsi="Times New Roman" w:cs="Times New Roman"/>
          <w:sz w:val="24"/>
        </w:rPr>
        <w:t xml:space="preserve">, J. M., Inbar, Y., Aarøe, L., Barclay, P., Barlow, F. K., De Barra, M., Becker, D. V., Borovoi, L., Choi, I., Choi, J. A., </w:t>
      </w:r>
      <w:proofErr w:type="spellStart"/>
      <w:r w:rsidRPr="0099616B">
        <w:rPr>
          <w:rFonts w:ascii="Times New Roman" w:hAnsi="Times New Roman" w:cs="Times New Roman"/>
          <w:sz w:val="24"/>
        </w:rPr>
        <w:t>Consedine</w:t>
      </w:r>
      <w:proofErr w:type="spellEnd"/>
      <w:r w:rsidRPr="0099616B">
        <w:rPr>
          <w:rFonts w:ascii="Times New Roman" w:hAnsi="Times New Roman" w:cs="Times New Roman"/>
          <w:sz w:val="24"/>
        </w:rPr>
        <w:t xml:space="preserve">, N. S., Conway, A., Conway, J. R., Conway, P., </w:t>
      </w:r>
      <w:proofErr w:type="spellStart"/>
      <w:r w:rsidRPr="0099616B">
        <w:rPr>
          <w:rFonts w:ascii="Times New Roman" w:hAnsi="Times New Roman" w:cs="Times New Roman"/>
          <w:sz w:val="24"/>
        </w:rPr>
        <w:t>Adoric</w:t>
      </w:r>
      <w:proofErr w:type="spellEnd"/>
      <w:r w:rsidRPr="0099616B">
        <w:rPr>
          <w:rFonts w:ascii="Times New Roman" w:hAnsi="Times New Roman" w:cs="Times New Roman"/>
          <w:sz w:val="24"/>
        </w:rPr>
        <w:t xml:space="preserve">, V. C., Demirci, D. E., Fernández, A. M., Ferreira, D. C. S., Ishii, K., … Žeželj, I. (2016). Parasite stress and pathogen avoidance relate to distinct dimensions of political ideology across 30 nations. </w:t>
      </w:r>
      <w:r w:rsidRPr="0099616B">
        <w:rPr>
          <w:rFonts w:ascii="Times New Roman" w:hAnsi="Times New Roman" w:cs="Times New Roman"/>
          <w:i/>
          <w:iCs/>
          <w:sz w:val="24"/>
        </w:rPr>
        <w:t>Proceedings of the National Academy of Sciences</w:t>
      </w:r>
      <w:r w:rsidRPr="0099616B">
        <w:rPr>
          <w:rFonts w:ascii="Times New Roman" w:hAnsi="Times New Roman" w:cs="Times New Roman"/>
          <w:sz w:val="24"/>
        </w:rPr>
        <w:t xml:space="preserve">, </w:t>
      </w:r>
      <w:r w:rsidRPr="0099616B">
        <w:rPr>
          <w:rFonts w:ascii="Times New Roman" w:hAnsi="Times New Roman" w:cs="Times New Roman"/>
          <w:i/>
          <w:iCs/>
          <w:sz w:val="24"/>
        </w:rPr>
        <w:t>113</w:t>
      </w:r>
      <w:r w:rsidRPr="0099616B">
        <w:rPr>
          <w:rFonts w:ascii="Times New Roman" w:hAnsi="Times New Roman" w:cs="Times New Roman"/>
          <w:sz w:val="24"/>
        </w:rPr>
        <w:t>(44), 12408–12413. https://doi.org/10.1073/pnas.1607398113</w:t>
      </w:r>
    </w:p>
    <w:p w14:paraId="043B258D" w14:textId="77777777" w:rsidR="0099616B" w:rsidRPr="0099616B" w:rsidRDefault="0099616B" w:rsidP="0099616B">
      <w:pPr>
        <w:pStyle w:val="af2"/>
        <w:rPr>
          <w:rFonts w:ascii="Times New Roman" w:hAnsi="Times New Roman" w:cs="Times New Roman"/>
          <w:sz w:val="24"/>
        </w:rPr>
      </w:pPr>
      <w:r w:rsidRPr="0099616B">
        <w:rPr>
          <w:rFonts w:ascii="Times New Roman" w:hAnsi="Times New Roman" w:cs="Times New Roman"/>
          <w:sz w:val="24"/>
        </w:rPr>
        <w:t xml:space="preserve">Van Bavel, J. J., Baicker, K., Boggio, P. S., Capraro, V., Cichocka, A., </w:t>
      </w:r>
      <w:proofErr w:type="spellStart"/>
      <w:r w:rsidRPr="0099616B">
        <w:rPr>
          <w:rFonts w:ascii="Times New Roman" w:hAnsi="Times New Roman" w:cs="Times New Roman"/>
          <w:sz w:val="24"/>
        </w:rPr>
        <w:t>Cikara</w:t>
      </w:r>
      <w:proofErr w:type="spellEnd"/>
      <w:r w:rsidRPr="0099616B">
        <w:rPr>
          <w:rFonts w:ascii="Times New Roman" w:hAnsi="Times New Roman" w:cs="Times New Roman"/>
          <w:sz w:val="24"/>
        </w:rPr>
        <w:t xml:space="preserve">, M., Crockett, M. J., Crum, A. J., Douglas, K. M., Druckman, J. N., Drury, J., Dube, </w:t>
      </w:r>
      <w:r w:rsidRPr="0099616B">
        <w:rPr>
          <w:rFonts w:ascii="Times New Roman" w:hAnsi="Times New Roman" w:cs="Times New Roman"/>
          <w:sz w:val="24"/>
        </w:rPr>
        <w:lastRenderedPageBreak/>
        <w:t xml:space="preserve">O., </w:t>
      </w:r>
      <w:proofErr w:type="spellStart"/>
      <w:r w:rsidRPr="0099616B">
        <w:rPr>
          <w:rFonts w:ascii="Times New Roman" w:hAnsi="Times New Roman" w:cs="Times New Roman"/>
          <w:sz w:val="24"/>
        </w:rPr>
        <w:t>Ellemers</w:t>
      </w:r>
      <w:proofErr w:type="spellEnd"/>
      <w:r w:rsidRPr="0099616B">
        <w:rPr>
          <w:rFonts w:ascii="Times New Roman" w:hAnsi="Times New Roman" w:cs="Times New Roman"/>
          <w:sz w:val="24"/>
        </w:rPr>
        <w:t xml:space="preserve">, N., Finkel, E. J., Fowler, J. H., Gelfand, M., Han, S., Haslam, S. A., Jetten, J., … Willer, R. (2020). Using social and </w:t>
      </w:r>
      <w:proofErr w:type="spellStart"/>
      <w:r w:rsidRPr="0099616B">
        <w:rPr>
          <w:rFonts w:ascii="Times New Roman" w:hAnsi="Times New Roman" w:cs="Times New Roman"/>
          <w:sz w:val="24"/>
        </w:rPr>
        <w:t>behavioural</w:t>
      </w:r>
      <w:proofErr w:type="spellEnd"/>
      <w:r w:rsidRPr="0099616B">
        <w:rPr>
          <w:rFonts w:ascii="Times New Roman" w:hAnsi="Times New Roman" w:cs="Times New Roman"/>
          <w:sz w:val="24"/>
        </w:rPr>
        <w:t xml:space="preserve"> science to support COVID-19 pandemic response. </w:t>
      </w:r>
      <w:r w:rsidRPr="0099616B">
        <w:rPr>
          <w:rFonts w:ascii="Times New Roman" w:hAnsi="Times New Roman" w:cs="Times New Roman"/>
          <w:i/>
          <w:iCs/>
          <w:sz w:val="24"/>
        </w:rPr>
        <w:t xml:space="preserve">Nature Human </w:t>
      </w:r>
      <w:proofErr w:type="spellStart"/>
      <w:r w:rsidRPr="0099616B">
        <w:rPr>
          <w:rFonts w:ascii="Times New Roman" w:hAnsi="Times New Roman" w:cs="Times New Roman"/>
          <w:i/>
          <w:iCs/>
          <w:sz w:val="24"/>
        </w:rPr>
        <w:t>Behaviour</w:t>
      </w:r>
      <w:proofErr w:type="spellEnd"/>
      <w:r w:rsidRPr="0099616B">
        <w:rPr>
          <w:rFonts w:ascii="Times New Roman" w:hAnsi="Times New Roman" w:cs="Times New Roman"/>
          <w:sz w:val="24"/>
        </w:rPr>
        <w:t xml:space="preserve">, </w:t>
      </w:r>
      <w:r w:rsidRPr="0099616B">
        <w:rPr>
          <w:rFonts w:ascii="Times New Roman" w:hAnsi="Times New Roman" w:cs="Times New Roman"/>
          <w:i/>
          <w:iCs/>
          <w:sz w:val="24"/>
        </w:rPr>
        <w:t>4</w:t>
      </w:r>
      <w:r w:rsidRPr="0099616B">
        <w:rPr>
          <w:rFonts w:ascii="Times New Roman" w:hAnsi="Times New Roman" w:cs="Times New Roman"/>
          <w:sz w:val="24"/>
        </w:rPr>
        <w:t>(5), 460–471. https://doi.org/10.1038/s41562-020-0884-z</w:t>
      </w:r>
    </w:p>
    <w:p w14:paraId="6C1C54AF" w14:textId="77777777" w:rsidR="0099616B" w:rsidRPr="0099616B" w:rsidRDefault="0099616B" w:rsidP="0099616B">
      <w:pPr>
        <w:pStyle w:val="af2"/>
        <w:rPr>
          <w:rFonts w:ascii="Times New Roman" w:hAnsi="Times New Roman" w:cs="Times New Roman"/>
          <w:sz w:val="24"/>
        </w:rPr>
      </w:pPr>
      <w:proofErr w:type="spellStart"/>
      <w:r w:rsidRPr="0099616B">
        <w:rPr>
          <w:rFonts w:ascii="Times New Roman" w:hAnsi="Times New Roman" w:cs="Times New Roman"/>
          <w:sz w:val="24"/>
        </w:rPr>
        <w:t>Vehtari</w:t>
      </w:r>
      <w:proofErr w:type="spellEnd"/>
      <w:r w:rsidRPr="0099616B">
        <w:rPr>
          <w:rFonts w:ascii="Times New Roman" w:hAnsi="Times New Roman" w:cs="Times New Roman"/>
          <w:sz w:val="24"/>
        </w:rPr>
        <w:t xml:space="preserve">, A., Gelman, A., Simpson, D., Carpenter, B., &amp; </w:t>
      </w:r>
      <w:proofErr w:type="spellStart"/>
      <w:r w:rsidRPr="0099616B">
        <w:rPr>
          <w:rFonts w:ascii="Times New Roman" w:hAnsi="Times New Roman" w:cs="Times New Roman"/>
          <w:sz w:val="24"/>
        </w:rPr>
        <w:t>Bürkner</w:t>
      </w:r>
      <w:proofErr w:type="spellEnd"/>
      <w:r w:rsidRPr="0099616B">
        <w:rPr>
          <w:rFonts w:ascii="Times New Roman" w:hAnsi="Times New Roman" w:cs="Times New Roman"/>
          <w:sz w:val="24"/>
        </w:rPr>
        <w:t xml:space="preserve">, P.-C. (2021). Rank-normalization, folding, and localization: An improved rˆ for assessing convergence of MCMC (with discussion). </w:t>
      </w:r>
      <w:r w:rsidRPr="0099616B">
        <w:rPr>
          <w:rFonts w:ascii="Times New Roman" w:hAnsi="Times New Roman" w:cs="Times New Roman"/>
          <w:i/>
          <w:iCs/>
          <w:sz w:val="24"/>
        </w:rPr>
        <w:t>Bayesian Analysis</w:t>
      </w:r>
      <w:r w:rsidRPr="0099616B">
        <w:rPr>
          <w:rFonts w:ascii="Times New Roman" w:hAnsi="Times New Roman" w:cs="Times New Roman"/>
          <w:sz w:val="24"/>
        </w:rPr>
        <w:t xml:space="preserve">, </w:t>
      </w:r>
      <w:r w:rsidRPr="0099616B">
        <w:rPr>
          <w:rFonts w:ascii="Times New Roman" w:hAnsi="Times New Roman" w:cs="Times New Roman"/>
          <w:i/>
          <w:iCs/>
          <w:sz w:val="24"/>
        </w:rPr>
        <w:t>16</w:t>
      </w:r>
      <w:r w:rsidRPr="0099616B">
        <w:rPr>
          <w:rFonts w:ascii="Times New Roman" w:hAnsi="Times New Roman" w:cs="Times New Roman"/>
          <w:sz w:val="24"/>
        </w:rPr>
        <w:t>(2). https://doi.org/10.1214/20-BA1221</w:t>
      </w:r>
    </w:p>
    <w:p w14:paraId="508F191B" w14:textId="15E99BD6" w:rsidR="00581EDD" w:rsidRPr="000422DC" w:rsidRDefault="003E020B" w:rsidP="0099616B">
      <w:pPr>
        <w:pStyle w:val="af2"/>
        <w:rPr>
          <w:rFonts w:ascii="Times New Roman" w:hAnsi="Times New Roman" w:cs="Times New Roman"/>
          <w:b/>
          <w:bCs/>
          <w:sz w:val="24"/>
        </w:rPr>
        <w:sectPr w:rsidR="00581EDD" w:rsidRPr="000422DC" w:rsidSect="00765611">
          <w:pgSz w:w="11906" w:h="16838"/>
          <w:pgMar w:top="1985" w:right="1701" w:bottom="1701" w:left="1701" w:header="851" w:footer="992" w:gutter="0"/>
          <w:lnNumType w:countBy="1" w:restart="continuous"/>
          <w:cols w:space="425"/>
          <w:docGrid w:type="lines" w:linePitch="360"/>
        </w:sectPr>
      </w:pPr>
      <w:r>
        <w:rPr>
          <w:rFonts w:ascii="Times New Roman" w:hAnsi="Times New Roman" w:cs="Times New Roman"/>
          <w:b/>
          <w:bCs/>
          <w:sz w:val="24"/>
        </w:rPr>
        <w:fldChar w:fldCharType="end"/>
      </w:r>
    </w:p>
    <w:p w14:paraId="5CB8EC3A" w14:textId="6681C298" w:rsidR="000405E8" w:rsidRDefault="0099517D" w:rsidP="0099517D">
      <w:pPr>
        <w:rPr>
          <w:rFonts w:ascii="Times New Roman" w:hAnsi="Times New Roman" w:cs="Times New Roman"/>
          <w:sz w:val="24"/>
        </w:rPr>
      </w:pPr>
      <w:r w:rsidRPr="00656CB4">
        <w:rPr>
          <w:rFonts w:ascii="Times New Roman" w:hAnsi="Times New Roman" w:cs="Times New Roman"/>
          <w:b/>
          <w:bCs/>
          <w:sz w:val="24"/>
        </w:rPr>
        <w:lastRenderedPageBreak/>
        <w:t>Table 1.</w:t>
      </w:r>
      <w:r w:rsidR="00656CB4">
        <w:rPr>
          <w:rFonts w:ascii="Times New Roman" w:hAnsi="Times New Roman" w:cs="Times New Roman"/>
          <w:sz w:val="24"/>
        </w:rPr>
        <w:t xml:space="preserve"> </w:t>
      </w:r>
      <w:r w:rsidR="003E020B" w:rsidRPr="003E020B">
        <w:rPr>
          <w:rFonts w:ascii="Times New Roman" w:hAnsi="Times New Roman" w:cs="Times New Roman"/>
          <w:sz w:val="24"/>
        </w:rPr>
        <w:t>Posterior summaries of the Hierarchical Bayesian Dynamic Panel Model (Lag-1) predicting social polarization across 3</w:t>
      </w:r>
      <w:r w:rsidR="00066FCC">
        <w:rPr>
          <w:rFonts w:ascii="Times New Roman" w:hAnsi="Times New Roman" w:cs="Times New Roman"/>
          <w:sz w:val="24"/>
        </w:rPr>
        <w:t>7</w:t>
      </w:r>
      <w:r w:rsidR="003E020B" w:rsidRPr="003E020B">
        <w:rPr>
          <w:rFonts w:ascii="Times New Roman" w:hAnsi="Times New Roman" w:cs="Times New Roman"/>
          <w:sz w:val="24"/>
        </w:rPr>
        <w:t xml:space="preserve"> OECD countries, 2019–2024.</w:t>
      </w:r>
    </w:p>
    <w:tbl>
      <w:tblPr>
        <w:tblW w:w="7957" w:type="dxa"/>
        <w:jc w:val="center"/>
        <w:tblCellMar>
          <w:left w:w="99" w:type="dxa"/>
          <w:right w:w="99" w:type="dxa"/>
        </w:tblCellMar>
        <w:tblLook w:val="04A0" w:firstRow="1" w:lastRow="0" w:firstColumn="1" w:lastColumn="0" w:noHBand="0" w:noVBand="1"/>
      </w:tblPr>
      <w:tblGrid>
        <w:gridCol w:w="1457"/>
        <w:gridCol w:w="1300"/>
        <w:gridCol w:w="1300"/>
        <w:gridCol w:w="1300"/>
        <w:gridCol w:w="1300"/>
        <w:gridCol w:w="1300"/>
      </w:tblGrid>
      <w:tr w:rsidR="003E020B" w:rsidRPr="003E020B" w14:paraId="5FB8FD74" w14:textId="77777777" w:rsidTr="003E020B">
        <w:trPr>
          <w:trHeight w:val="320"/>
          <w:jc w:val="center"/>
        </w:trPr>
        <w:tc>
          <w:tcPr>
            <w:tcW w:w="1457" w:type="dxa"/>
            <w:tcBorders>
              <w:top w:val="single" w:sz="4" w:space="0" w:color="auto"/>
              <w:left w:val="nil"/>
              <w:bottom w:val="single" w:sz="4" w:space="0" w:color="auto"/>
              <w:right w:val="nil"/>
            </w:tcBorders>
            <w:noWrap/>
            <w:vAlign w:val="center"/>
            <w:hideMark/>
          </w:tcPr>
          <w:p w14:paraId="3FE32A29" w14:textId="6BFDE426" w:rsidR="003E020B" w:rsidRPr="003E020B" w:rsidRDefault="003E020B" w:rsidP="003E020B">
            <w:pPr>
              <w:widowControl/>
              <w:jc w:val="left"/>
              <w:rPr>
                <w:rFonts w:ascii="TimesNewRomanPSMT" w:eastAsia="ＭＳ Ｐゴシック" w:hAnsi="TimesNewRomanPSMT" w:cs="ＭＳ Ｐゴシック" w:hint="eastAsia"/>
                <w:color w:val="000000"/>
                <w:kern w:val="0"/>
                <w:sz w:val="24"/>
              </w:rPr>
            </w:pPr>
          </w:p>
        </w:tc>
        <w:tc>
          <w:tcPr>
            <w:tcW w:w="1300" w:type="dxa"/>
            <w:tcBorders>
              <w:top w:val="single" w:sz="4" w:space="0" w:color="auto"/>
              <w:left w:val="nil"/>
              <w:bottom w:val="single" w:sz="4" w:space="0" w:color="auto"/>
              <w:right w:val="nil"/>
            </w:tcBorders>
            <w:noWrap/>
            <w:vAlign w:val="center"/>
            <w:hideMark/>
          </w:tcPr>
          <w:p w14:paraId="08D52E9B" w14:textId="77777777" w:rsidR="003E020B" w:rsidRPr="003E020B" w:rsidRDefault="003E020B" w:rsidP="003E020B">
            <w:pPr>
              <w:widowControl/>
              <w:jc w:val="lef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mean</w:t>
            </w:r>
          </w:p>
        </w:tc>
        <w:tc>
          <w:tcPr>
            <w:tcW w:w="1300" w:type="dxa"/>
            <w:tcBorders>
              <w:top w:val="single" w:sz="4" w:space="0" w:color="auto"/>
              <w:left w:val="nil"/>
              <w:bottom w:val="single" w:sz="4" w:space="0" w:color="auto"/>
              <w:right w:val="nil"/>
            </w:tcBorders>
            <w:noWrap/>
            <w:vAlign w:val="center"/>
            <w:hideMark/>
          </w:tcPr>
          <w:p w14:paraId="75699D43" w14:textId="474A4E50" w:rsidR="003E020B" w:rsidRPr="003E020B" w:rsidRDefault="003E020B" w:rsidP="003E020B">
            <w:pPr>
              <w:widowControl/>
              <w:jc w:val="lef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hdi_</w:t>
            </w:r>
            <w:r w:rsidR="002A5781">
              <w:rPr>
                <w:rFonts w:ascii="TimesNewRomanPSMT" w:eastAsia="ＭＳ Ｐゴシック" w:hAnsi="TimesNewRomanPSMT" w:cs="ＭＳ Ｐゴシック"/>
                <w:color w:val="000000"/>
                <w:kern w:val="0"/>
                <w:sz w:val="24"/>
              </w:rPr>
              <w:t>2.5</w:t>
            </w:r>
            <w:r w:rsidRPr="003E020B">
              <w:rPr>
                <w:rFonts w:ascii="TimesNewRomanPSMT" w:eastAsia="ＭＳ Ｐゴシック" w:hAnsi="TimesNewRomanPSMT" w:cs="ＭＳ Ｐゴシック"/>
                <w:color w:val="000000"/>
                <w:kern w:val="0"/>
                <w:sz w:val="24"/>
              </w:rPr>
              <w:t>%</w:t>
            </w:r>
          </w:p>
        </w:tc>
        <w:tc>
          <w:tcPr>
            <w:tcW w:w="1300" w:type="dxa"/>
            <w:tcBorders>
              <w:top w:val="single" w:sz="4" w:space="0" w:color="auto"/>
              <w:left w:val="nil"/>
              <w:bottom w:val="single" w:sz="4" w:space="0" w:color="auto"/>
              <w:right w:val="nil"/>
            </w:tcBorders>
            <w:noWrap/>
            <w:vAlign w:val="center"/>
            <w:hideMark/>
          </w:tcPr>
          <w:p w14:paraId="6FC312F1" w14:textId="40004226" w:rsidR="003E020B" w:rsidRPr="003E020B" w:rsidRDefault="003E020B" w:rsidP="003E020B">
            <w:pPr>
              <w:widowControl/>
              <w:jc w:val="lef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hdi_97</w:t>
            </w:r>
            <w:r w:rsidR="002A5781">
              <w:rPr>
                <w:rFonts w:ascii="TimesNewRomanPSMT" w:eastAsia="ＭＳ Ｐゴシック" w:hAnsi="TimesNewRomanPSMT" w:cs="ＭＳ Ｐゴシック"/>
                <w:color w:val="000000"/>
                <w:kern w:val="0"/>
                <w:sz w:val="24"/>
              </w:rPr>
              <w:t>.5</w:t>
            </w:r>
            <w:r w:rsidRPr="003E020B">
              <w:rPr>
                <w:rFonts w:ascii="TimesNewRomanPSMT" w:eastAsia="ＭＳ Ｐゴシック" w:hAnsi="TimesNewRomanPSMT" w:cs="ＭＳ Ｐゴシック"/>
                <w:color w:val="000000"/>
                <w:kern w:val="0"/>
                <w:sz w:val="24"/>
              </w:rPr>
              <w:t>%</w:t>
            </w:r>
          </w:p>
        </w:tc>
        <w:tc>
          <w:tcPr>
            <w:tcW w:w="1300" w:type="dxa"/>
            <w:tcBorders>
              <w:top w:val="single" w:sz="4" w:space="0" w:color="auto"/>
              <w:left w:val="nil"/>
              <w:bottom w:val="single" w:sz="4" w:space="0" w:color="auto"/>
              <w:right w:val="nil"/>
            </w:tcBorders>
            <w:noWrap/>
            <w:vAlign w:val="center"/>
            <w:hideMark/>
          </w:tcPr>
          <w:p w14:paraId="29BA8E47" w14:textId="77777777" w:rsidR="003E020B" w:rsidRPr="003E020B" w:rsidRDefault="003E020B" w:rsidP="003E020B">
            <w:pPr>
              <w:widowControl/>
              <w:jc w:val="left"/>
              <w:rPr>
                <w:rFonts w:ascii="TimesNewRomanPSMT" w:eastAsia="ＭＳ Ｐゴシック" w:hAnsi="TimesNewRomanPSMT" w:cs="ＭＳ Ｐゴシック" w:hint="eastAsia"/>
                <w:color w:val="000000"/>
                <w:kern w:val="0"/>
                <w:sz w:val="24"/>
              </w:rPr>
            </w:pPr>
            <w:proofErr w:type="spellStart"/>
            <w:r w:rsidRPr="003E020B">
              <w:rPr>
                <w:rFonts w:ascii="TimesNewRomanPSMT" w:eastAsia="ＭＳ Ｐゴシック" w:hAnsi="TimesNewRomanPSMT" w:cs="ＭＳ Ｐゴシック"/>
                <w:color w:val="000000"/>
                <w:kern w:val="0"/>
                <w:sz w:val="24"/>
              </w:rPr>
              <w:t>ess_bulk</w:t>
            </w:r>
            <w:proofErr w:type="spellEnd"/>
          </w:p>
        </w:tc>
        <w:tc>
          <w:tcPr>
            <w:tcW w:w="1300" w:type="dxa"/>
            <w:tcBorders>
              <w:top w:val="single" w:sz="4" w:space="0" w:color="auto"/>
              <w:left w:val="nil"/>
              <w:bottom w:val="single" w:sz="4" w:space="0" w:color="auto"/>
              <w:right w:val="nil"/>
            </w:tcBorders>
            <w:noWrap/>
            <w:vAlign w:val="center"/>
            <w:hideMark/>
          </w:tcPr>
          <w:p w14:paraId="74F114D4" w14:textId="77777777" w:rsidR="003E020B" w:rsidRPr="003E020B" w:rsidRDefault="003E020B" w:rsidP="003E020B">
            <w:pPr>
              <w:widowControl/>
              <w:jc w:val="left"/>
              <w:rPr>
                <w:rFonts w:ascii="TimesNewRomanPSMT" w:eastAsia="ＭＳ Ｐゴシック" w:hAnsi="TimesNewRomanPSMT" w:cs="ＭＳ Ｐゴシック" w:hint="eastAsia"/>
                <w:color w:val="000000"/>
                <w:kern w:val="0"/>
                <w:sz w:val="24"/>
              </w:rPr>
            </w:pPr>
            <w:proofErr w:type="spellStart"/>
            <w:r w:rsidRPr="003E020B">
              <w:rPr>
                <w:rFonts w:ascii="TimesNewRomanPSMT" w:eastAsia="ＭＳ Ｐゴシック" w:hAnsi="TimesNewRomanPSMT" w:cs="ＭＳ Ｐゴシック"/>
                <w:color w:val="000000"/>
                <w:kern w:val="0"/>
                <w:sz w:val="24"/>
              </w:rPr>
              <w:t>r_hat</w:t>
            </w:r>
            <w:proofErr w:type="spellEnd"/>
          </w:p>
        </w:tc>
      </w:tr>
      <w:tr w:rsidR="00233476" w:rsidRPr="003E020B" w14:paraId="4AEBE42A" w14:textId="77777777" w:rsidTr="00286D0F">
        <w:trPr>
          <w:trHeight w:val="320"/>
          <w:jc w:val="center"/>
        </w:trPr>
        <w:tc>
          <w:tcPr>
            <w:tcW w:w="1457" w:type="dxa"/>
            <w:tcBorders>
              <w:top w:val="nil"/>
              <w:left w:val="nil"/>
              <w:bottom w:val="nil"/>
              <w:right w:val="nil"/>
            </w:tcBorders>
            <w:noWrap/>
            <w:vAlign w:val="center"/>
            <w:hideMark/>
          </w:tcPr>
          <w:p w14:paraId="56E02F52" w14:textId="2E433C24"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r>
                  <w:rPr>
                    <w:rFonts w:ascii="Cambria Math" w:hAnsi="Cambria Math" w:cs="Times New Roman"/>
                    <w:sz w:val="24"/>
                  </w:rPr>
                  <m:t>ϕ</m:t>
                </m:r>
              </m:oMath>
            </m:oMathPara>
          </w:p>
        </w:tc>
        <w:tc>
          <w:tcPr>
            <w:tcW w:w="1300" w:type="dxa"/>
            <w:tcBorders>
              <w:top w:val="nil"/>
              <w:left w:val="nil"/>
              <w:bottom w:val="nil"/>
              <w:right w:val="nil"/>
            </w:tcBorders>
            <w:noWrap/>
            <w:vAlign w:val="center"/>
            <w:hideMark/>
          </w:tcPr>
          <w:p w14:paraId="71843101"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1.29 </w:t>
            </w:r>
          </w:p>
        </w:tc>
        <w:tc>
          <w:tcPr>
            <w:tcW w:w="1300" w:type="dxa"/>
            <w:tcBorders>
              <w:top w:val="nil"/>
              <w:left w:val="nil"/>
              <w:bottom w:val="nil"/>
              <w:right w:val="nil"/>
            </w:tcBorders>
            <w:noWrap/>
            <w:hideMark/>
          </w:tcPr>
          <w:p w14:paraId="7758F9DB" w14:textId="18E024E1"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1.20 </w:t>
            </w:r>
          </w:p>
        </w:tc>
        <w:tc>
          <w:tcPr>
            <w:tcW w:w="1300" w:type="dxa"/>
            <w:tcBorders>
              <w:top w:val="nil"/>
              <w:left w:val="nil"/>
              <w:bottom w:val="nil"/>
              <w:right w:val="nil"/>
            </w:tcBorders>
            <w:noWrap/>
            <w:hideMark/>
          </w:tcPr>
          <w:p w14:paraId="2B764890" w14:textId="27C06EDD"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1.38 </w:t>
            </w:r>
          </w:p>
        </w:tc>
        <w:tc>
          <w:tcPr>
            <w:tcW w:w="1300" w:type="dxa"/>
            <w:tcBorders>
              <w:top w:val="nil"/>
              <w:left w:val="nil"/>
              <w:bottom w:val="nil"/>
              <w:right w:val="nil"/>
            </w:tcBorders>
            <w:noWrap/>
            <w:hideMark/>
          </w:tcPr>
          <w:p w14:paraId="73CA757B" w14:textId="73B5411C"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10120.00 </w:t>
            </w:r>
          </w:p>
        </w:tc>
        <w:tc>
          <w:tcPr>
            <w:tcW w:w="1300" w:type="dxa"/>
            <w:tcBorders>
              <w:top w:val="nil"/>
              <w:left w:val="nil"/>
              <w:bottom w:val="nil"/>
              <w:right w:val="nil"/>
            </w:tcBorders>
            <w:noWrap/>
            <w:vAlign w:val="center"/>
            <w:hideMark/>
          </w:tcPr>
          <w:p w14:paraId="3909E03A"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1D0BF855" w14:textId="77777777" w:rsidTr="00286D0F">
        <w:trPr>
          <w:trHeight w:val="320"/>
          <w:jc w:val="center"/>
        </w:trPr>
        <w:tc>
          <w:tcPr>
            <w:tcW w:w="1457" w:type="dxa"/>
            <w:tcBorders>
              <w:top w:val="nil"/>
              <w:left w:val="nil"/>
              <w:bottom w:val="nil"/>
              <w:right w:val="nil"/>
            </w:tcBorders>
            <w:noWrap/>
            <w:vAlign w:val="center"/>
            <w:hideMark/>
          </w:tcPr>
          <w:p w14:paraId="569D09F4" w14:textId="2BB0A299"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m:oMathPara>
          </w:p>
        </w:tc>
        <w:tc>
          <w:tcPr>
            <w:tcW w:w="1300" w:type="dxa"/>
            <w:tcBorders>
              <w:top w:val="nil"/>
              <w:left w:val="nil"/>
              <w:bottom w:val="nil"/>
              <w:right w:val="nil"/>
            </w:tcBorders>
            <w:noWrap/>
            <w:vAlign w:val="center"/>
            <w:hideMark/>
          </w:tcPr>
          <w:p w14:paraId="6193C8A7"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0.05 </w:t>
            </w:r>
          </w:p>
        </w:tc>
        <w:tc>
          <w:tcPr>
            <w:tcW w:w="1300" w:type="dxa"/>
            <w:tcBorders>
              <w:top w:val="nil"/>
              <w:left w:val="nil"/>
              <w:bottom w:val="nil"/>
              <w:right w:val="nil"/>
            </w:tcBorders>
            <w:noWrap/>
            <w:hideMark/>
          </w:tcPr>
          <w:p w14:paraId="7D85A7E6" w14:textId="40F089C9"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-0.04 </w:t>
            </w:r>
          </w:p>
        </w:tc>
        <w:tc>
          <w:tcPr>
            <w:tcW w:w="1300" w:type="dxa"/>
            <w:tcBorders>
              <w:top w:val="nil"/>
              <w:left w:val="nil"/>
              <w:bottom w:val="nil"/>
              <w:right w:val="nil"/>
            </w:tcBorders>
            <w:noWrap/>
            <w:hideMark/>
          </w:tcPr>
          <w:p w14:paraId="0B871EB7" w14:textId="266E1879"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0.13 </w:t>
            </w:r>
          </w:p>
        </w:tc>
        <w:tc>
          <w:tcPr>
            <w:tcW w:w="1300" w:type="dxa"/>
            <w:tcBorders>
              <w:top w:val="nil"/>
              <w:left w:val="nil"/>
              <w:bottom w:val="nil"/>
              <w:right w:val="nil"/>
            </w:tcBorders>
            <w:noWrap/>
            <w:hideMark/>
          </w:tcPr>
          <w:p w14:paraId="59B20535" w14:textId="2475A5AF"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11640.00 </w:t>
            </w:r>
          </w:p>
        </w:tc>
        <w:tc>
          <w:tcPr>
            <w:tcW w:w="1300" w:type="dxa"/>
            <w:tcBorders>
              <w:top w:val="nil"/>
              <w:left w:val="nil"/>
              <w:bottom w:val="nil"/>
              <w:right w:val="nil"/>
            </w:tcBorders>
            <w:noWrap/>
            <w:vAlign w:val="center"/>
            <w:hideMark/>
          </w:tcPr>
          <w:p w14:paraId="1D7E9AF9"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13E68FEC" w14:textId="77777777" w:rsidTr="00286D0F">
        <w:trPr>
          <w:trHeight w:val="320"/>
          <w:jc w:val="center"/>
        </w:trPr>
        <w:tc>
          <w:tcPr>
            <w:tcW w:w="1457" w:type="dxa"/>
            <w:tcBorders>
              <w:top w:val="nil"/>
              <w:left w:val="nil"/>
              <w:bottom w:val="nil"/>
              <w:right w:val="nil"/>
            </w:tcBorders>
            <w:noWrap/>
            <w:vAlign w:val="center"/>
            <w:hideMark/>
          </w:tcPr>
          <w:p w14:paraId="6F429F5B" w14:textId="45769276"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m:oMathPara>
          </w:p>
        </w:tc>
        <w:tc>
          <w:tcPr>
            <w:tcW w:w="1300" w:type="dxa"/>
            <w:tcBorders>
              <w:top w:val="nil"/>
              <w:left w:val="nil"/>
              <w:bottom w:val="nil"/>
              <w:right w:val="nil"/>
            </w:tcBorders>
            <w:noWrap/>
            <w:vAlign w:val="center"/>
            <w:hideMark/>
          </w:tcPr>
          <w:p w14:paraId="69E85506"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0.00 </w:t>
            </w:r>
          </w:p>
        </w:tc>
        <w:tc>
          <w:tcPr>
            <w:tcW w:w="1300" w:type="dxa"/>
            <w:tcBorders>
              <w:top w:val="nil"/>
              <w:left w:val="nil"/>
              <w:bottom w:val="nil"/>
              <w:right w:val="nil"/>
            </w:tcBorders>
            <w:noWrap/>
            <w:hideMark/>
          </w:tcPr>
          <w:p w14:paraId="1112C7D6" w14:textId="23D9AFC0"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-0.06 </w:t>
            </w:r>
          </w:p>
        </w:tc>
        <w:tc>
          <w:tcPr>
            <w:tcW w:w="1300" w:type="dxa"/>
            <w:tcBorders>
              <w:top w:val="nil"/>
              <w:left w:val="nil"/>
              <w:bottom w:val="nil"/>
              <w:right w:val="nil"/>
            </w:tcBorders>
            <w:noWrap/>
            <w:hideMark/>
          </w:tcPr>
          <w:p w14:paraId="18890B80" w14:textId="66BB5A1D"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0.07 </w:t>
            </w:r>
          </w:p>
        </w:tc>
        <w:tc>
          <w:tcPr>
            <w:tcW w:w="1300" w:type="dxa"/>
            <w:tcBorders>
              <w:top w:val="nil"/>
              <w:left w:val="nil"/>
              <w:bottom w:val="nil"/>
              <w:right w:val="nil"/>
            </w:tcBorders>
            <w:noWrap/>
            <w:hideMark/>
          </w:tcPr>
          <w:p w14:paraId="5C8AEE29" w14:textId="55AA493B"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15276.00 </w:t>
            </w:r>
          </w:p>
        </w:tc>
        <w:tc>
          <w:tcPr>
            <w:tcW w:w="1300" w:type="dxa"/>
            <w:tcBorders>
              <w:top w:val="nil"/>
              <w:left w:val="nil"/>
              <w:bottom w:val="nil"/>
              <w:right w:val="nil"/>
            </w:tcBorders>
            <w:noWrap/>
            <w:vAlign w:val="center"/>
            <w:hideMark/>
          </w:tcPr>
          <w:p w14:paraId="58DF91BB"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0ADD327F" w14:textId="77777777" w:rsidTr="00286D0F">
        <w:trPr>
          <w:trHeight w:val="320"/>
          <w:jc w:val="center"/>
        </w:trPr>
        <w:tc>
          <w:tcPr>
            <w:tcW w:w="1457" w:type="dxa"/>
            <w:tcBorders>
              <w:top w:val="nil"/>
              <w:left w:val="nil"/>
              <w:bottom w:val="nil"/>
              <w:right w:val="nil"/>
            </w:tcBorders>
            <w:noWrap/>
            <w:vAlign w:val="center"/>
            <w:hideMark/>
          </w:tcPr>
          <w:p w14:paraId="0F2C142C" w14:textId="5B59BFEA"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pop</m:t>
                    </m:r>
                  </m:sub>
                </m:sSub>
              </m:oMath>
            </m:oMathPara>
          </w:p>
        </w:tc>
        <w:tc>
          <w:tcPr>
            <w:tcW w:w="1300" w:type="dxa"/>
            <w:tcBorders>
              <w:top w:val="nil"/>
              <w:left w:val="nil"/>
              <w:bottom w:val="nil"/>
              <w:right w:val="nil"/>
            </w:tcBorders>
            <w:noWrap/>
            <w:vAlign w:val="center"/>
            <w:hideMark/>
          </w:tcPr>
          <w:p w14:paraId="290EA1BF"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-0.03 </w:t>
            </w:r>
          </w:p>
        </w:tc>
        <w:tc>
          <w:tcPr>
            <w:tcW w:w="1300" w:type="dxa"/>
            <w:tcBorders>
              <w:top w:val="nil"/>
              <w:left w:val="nil"/>
              <w:bottom w:val="nil"/>
              <w:right w:val="nil"/>
            </w:tcBorders>
            <w:noWrap/>
            <w:hideMark/>
          </w:tcPr>
          <w:p w14:paraId="315FD3FC" w14:textId="11D1B55C"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-0.12 </w:t>
            </w:r>
          </w:p>
        </w:tc>
        <w:tc>
          <w:tcPr>
            <w:tcW w:w="1300" w:type="dxa"/>
            <w:tcBorders>
              <w:top w:val="nil"/>
              <w:left w:val="nil"/>
              <w:bottom w:val="nil"/>
              <w:right w:val="nil"/>
            </w:tcBorders>
            <w:noWrap/>
            <w:hideMark/>
          </w:tcPr>
          <w:p w14:paraId="44543BD8" w14:textId="20127460"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0.08 </w:t>
            </w:r>
          </w:p>
        </w:tc>
        <w:tc>
          <w:tcPr>
            <w:tcW w:w="1300" w:type="dxa"/>
            <w:tcBorders>
              <w:top w:val="nil"/>
              <w:left w:val="nil"/>
              <w:bottom w:val="nil"/>
              <w:right w:val="nil"/>
            </w:tcBorders>
            <w:noWrap/>
            <w:hideMark/>
          </w:tcPr>
          <w:p w14:paraId="6E88AA61" w14:textId="1BF68BAE"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9306.00 </w:t>
            </w:r>
          </w:p>
        </w:tc>
        <w:tc>
          <w:tcPr>
            <w:tcW w:w="1300" w:type="dxa"/>
            <w:tcBorders>
              <w:top w:val="nil"/>
              <w:left w:val="nil"/>
              <w:bottom w:val="nil"/>
              <w:right w:val="nil"/>
            </w:tcBorders>
            <w:noWrap/>
            <w:vAlign w:val="center"/>
            <w:hideMark/>
          </w:tcPr>
          <w:p w14:paraId="0BFD2E12"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045DC48F" w14:textId="77777777" w:rsidTr="00286D0F">
        <w:trPr>
          <w:trHeight w:val="320"/>
          <w:jc w:val="center"/>
        </w:trPr>
        <w:tc>
          <w:tcPr>
            <w:tcW w:w="1457" w:type="dxa"/>
            <w:tcBorders>
              <w:top w:val="nil"/>
              <w:left w:val="nil"/>
              <w:bottom w:val="nil"/>
              <w:right w:val="nil"/>
            </w:tcBorders>
            <w:noWrap/>
            <w:vAlign w:val="center"/>
            <w:hideMark/>
          </w:tcPr>
          <w:p w14:paraId="62E6F053" w14:textId="49DCB3C6"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urb</m:t>
                    </m:r>
                  </m:sub>
                </m:sSub>
              </m:oMath>
            </m:oMathPara>
          </w:p>
        </w:tc>
        <w:tc>
          <w:tcPr>
            <w:tcW w:w="1300" w:type="dxa"/>
            <w:tcBorders>
              <w:top w:val="nil"/>
              <w:left w:val="nil"/>
              <w:bottom w:val="nil"/>
              <w:right w:val="nil"/>
            </w:tcBorders>
            <w:noWrap/>
            <w:vAlign w:val="center"/>
            <w:hideMark/>
          </w:tcPr>
          <w:p w14:paraId="509E9736"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0.04 </w:t>
            </w:r>
          </w:p>
        </w:tc>
        <w:tc>
          <w:tcPr>
            <w:tcW w:w="1300" w:type="dxa"/>
            <w:tcBorders>
              <w:top w:val="nil"/>
              <w:left w:val="nil"/>
              <w:bottom w:val="nil"/>
              <w:right w:val="nil"/>
            </w:tcBorders>
            <w:noWrap/>
            <w:hideMark/>
          </w:tcPr>
          <w:p w14:paraId="6F1BE481" w14:textId="4105099E"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-0.04 </w:t>
            </w:r>
          </w:p>
        </w:tc>
        <w:tc>
          <w:tcPr>
            <w:tcW w:w="1300" w:type="dxa"/>
            <w:tcBorders>
              <w:top w:val="nil"/>
              <w:left w:val="nil"/>
              <w:bottom w:val="nil"/>
              <w:right w:val="nil"/>
            </w:tcBorders>
            <w:noWrap/>
            <w:hideMark/>
          </w:tcPr>
          <w:p w14:paraId="1C1A2CAA" w14:textId="54A9911B"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0.13 </w:t>
            </w:r>
          </w:p>
        </w:tc>
        <w:tc>
          <w:tcPr>
            <w:tcW w:w="1300" w:type="dxa"/>
            <w:tcBorders>
              <w:top w:val="nil"/>
              <w:left w:val="nil"/>
              <w:bottom w:val="nil"/>
              <w:right w:val="nil"/>
            </w:tcBorders>
            <w:noWrap/>
            <w:hideMark/>
          </w:tcPr>
          <w:p w14:paraId="33303CB7" w14:textId="6C7678B2"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11234.00 </w:t>
            </w:r>
          </w:p>
        </w:tc>
        <w:tc>
          <w:tcPr>
            <w:tcW w:w="1300" w:type="dxa"/>
            <w:tcBorders>
              <w:top w:val="nil"/>
              <w:left w:val="nil"/>
              <w:bottom w:val="nil"/>
              <w:right w:val="nil"/>
            </w:tcBorders>
            <w:noWrap/>
            <w:vAlign w:val="center"/>
            <w:hideMark/>
          </w:tcPr>
          <w:p w14:paraId="5C9612D8"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3EEDC294" w14:textId="77777777" w:rsidTr="00286D0F">
        <w:trPr>
          <w:trHeight w:val="320"/>
          <w:jc w:val="center"/>
        </w:trPr>
        <w:tc>
          <w:tcPr>
            <w:tcW w:w="1457" w:type="dxa"/>
            <w:tcBorders>
              <w:top w:val="nil"/>
              <w:left w:val="nil"/>
              <w:bottom w:val="nil"/>
              <w:right w:val="nil"/>
            </w:tcBorders>
            <w:noWrap/>
            <w:vAlign w:val="center"/>
            <w:hideMark/>
          </w:tcPr>
          <w:p w14:paraId="1C4A5E7E" w14:textId="7B6FEE5B"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hlth</m:t>
                    </m:r>
                  </m:sub>
                </m:sSub>
              </m:oMath>
            </m:oMathPara>
          </w:p>
        </w:tc>
        <w:tc>
          <w:tcPr>
            <w:tcW w:w="1300" w:type="dxa"/>
            <w:tcBorders>
              <w:top w:val="nil"/>
              <w:left w:val="nil"/>
              <w:bottom w:val="nil"/>
              <w:right w:val="nil"/>
            </w:tcBorders>
            <w:noWrap/>
            <w:vAlign w:val="center"/>
            <w:hideMark/>
          </w:tcPr>
          <w:p w14:paraId="6C17D89E"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0.02 </w:t>
            </w:r>
          </w:p>
        </w:tc>
        <w:tc>
          <w:tcPr>
            <w:tcW w:w="1300" w:type="dxa"/>
            <w:tcBorders>
              <w:top w:val="nil"/>
              <w:left w:val="nil"/>
              <w:bottom w:val="nil"/>
              <w:right w:val="nil"/>
            </w:tcBorders>
            <w:noWrap/>
            <w:hideMark/>
          </w:tcPr>
          <w:p w14:paraId="69DE2539" w14:textId="607980C2"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-0.08 </w:t>
            </w:r>
          </w:p>
        </w:tc>
        <w:tc>
          <w:tcPr>
            <w:tcW w:w="1300" w:type="dxa"/>
            <w:tcBorders>
              <w:top w:val="nil"/>
              <w:left w:val="nil"/>
              <w:bottom w:val="nil"/>
              <w:right w:val="nil"/>
            </w:tcBorders>
            <w:noWrap/>
            <w:hideMark/>
          </w:tcPr>
          <w:p w14:paraId="0A46F744" w14:textId="4C42A749"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0.11 </w:t>
            </w:r>
          </w:p>
        </w:tc>
        <w:tc>
          <w:tcPr>
            <w:tcW w:w="1300" w:type="dxa"/>
            <w:tcBorders>
              <w:top w:val="nil"/>
              <w:left w:val="nil"/>
              <w:bottom w:val="nil"/>
              <w:right w:val="nil"/>
            </w:tcBorders>
            <w:noWrap/>
            <w:hideMark/>
          </w:tcPr>
          <w:p w14:paraId="5F88B355" w14:textId="03C469F0"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10532.00 </w:t>
            </w:r>
          </w:p>
        </w:tc>
        <w:tc>
          <w:tcPr>
            <w:tcW w:w="1300" w:type="dxa"/>
            <w:tcBorders>
              <w:top w:val="nil"/>
              <w:left w:val="nil"/>
              <w:bottom w:val="nil"/>
              <w:right w:val="nil"/>
            </w:tcBorders>
            <w:noWrap/>
            <w:vAlign w:val="center"/>
            <w:hideMark/>
          </w:tcPr>
          <w:p w14:paraId="1A54B699"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17C73A06" w14:textId="77777777" w:rsidTr="00286D0F">
        <w:trPr>
          <w:trHeight w:val="320"/>
          <w:jc w:val="center"/>
        </w:trPr>
        <w:tc>
          <w:tcPr>
            <w:tcW w:w="1457" w:type="dxa"/>
            <w:tcBorders>
              <w:top w:val="nil"/>
              <w:left w:val="nil"/>
              <w:bottom w:val="nil"/>
              <w:right w:val="nil"/>
            </w:tcBorders>
            <w:noWrap/>
            <w:vAlign w:val="center"/>
            <w:hideMark/>
          </w:tcPr>
          <w:p w14:paraId="424E8E0B" w14:textId="75ABB4DC"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eth</m:t>
                    </m:r>
                  </m:sub>
                </m:sSub>
              </m:oMath>
            </m:oMathPara>
          </w:p>
        </w:tc>
        <w:tc>
          <w:tcPr>
            <w:tcW w:w="1300" w:type="dxa"/>
            <w:tcBorders>
              <w:top w:val="nil"/>
              <w:left w:val="nil"/>
              <w:bottom w:val="nil"/>
              <w:right w:val="nil"/>
            </w:tcBorders>
            <w:noWrap/>
            <w:vAlign w:val="center"/>
            <w:hideMark/>
          </w:tcPr>
          <w:p w14:paraId="5AAC1383"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-0.03 </w:t>
            </w:r>
          </w:p>
        </w:tc>
        <w:tc>
          <w:tcPr>
            <w:tcW w:w="1300" w:type="dxa"/>
            <w:tcBorders>
              <w:top w:val="nil"/>
              <w:left w:val="nil"/>
              <w:bottom w:val="nil"/>
              <w:right w:val="nil"/>
            </w:tcBorders>
            <w:noWrap/>
            <w:hideMark/>
          </w:tcPr>
          <w:p w14:paraId="1675686D" w14:textId="29E73B8F"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-0.10 </w:t>
            </w:r>
          </w:p>
        </w:tc>
        <w:tc>
          <w:tcPr>
            <w:tcW w:w="1300" w:type="dxa"/>
            <w:tcBorders>
              <w:top w:val="nil"/>
              <w:left w:val="nil"/>
              <w:bottom w:val="nil"/>
              <w:right w:val="nil"/>
            </w:tcBorders>
            <w:noWrap/>
            <w:hideMark/>
          </w:tcPr>
          <w:p w14:paraId="3133DD4A" w14:textId="2835E949"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0.05 </w:t>
            </w:r>
          </w:p>
        </w:tc>
        <w:tc>
          <w:tcPr>
            <w:tcW w:w="1300" w:type="dxa"/>
            <w:tcBorders>
              <w:top w:val="nil"/>
              <w:left w:val="nil"/>
              <w:bottom w:val="nil"/>
              <w:right w:val="nil"/>
            </w:tcBorders>
            <w:noWrap/>
            <w:hideMark/>
          </w:tcPr>
          <w:p w14:paraId="2DBD227F" w14:textId="00DFF48C"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12146.00 </w:t>
            </w:r>
          </w:p>
        </w:tc>
        <w:tc>
          <w:tcPr>
            <w:tcW w:w="1300" w:type="dxa"/>
            <w:tcBorders>
              <w:top w:val="nil"/>
              <w:left w:val="nil"/>
              <w:bottom w:val="nil"/>
              <w:right w:val="nil"/>
            </w:tcBorders>
            <w:noWrap/>
            <w:vAlign w:val="center"/>
            <w:hideMark/>
          </w:tcPr>
          <w:p w14:paraId="4BE127F8"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6852C0A1" w14:textId="77777777" w:rsidTr="00286D0F">
        <w:trPr>
          <w:trHeight w:val="320"/>
          <w:jc w:val="center"/>
        </w:trPr>
        <w:tc>
          <w:tcPr>
            <w:tcW w:w="1457" w:type="dxa"/>
            <w:tcBorders>
              <w:top w:val="nil"/>
              <w:left w:val="nil"/>
              <w:bottom w:val="nil"/>
              <w:right w:val="nil"/>
            </w:tcBorders>
            <w:noWrap/>
            <w:vAlign w:val="center"/>
            <w:hideMark/>
          </w:tcPr>
          <w:p w14:paraId="5109C55B" w14:textId="02E6B427"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eastAsia="ＭＳ Ｐゴシック" w:hAnsi="Cambria Math" w:cs="ＭＳ Ｐゴシック"/>
                        <w:i/>
                        <w:color w:val="000000"/>
                        <w:kern w:val="0"/>
                        <w:sz w:val="24"/>
                      </w:rPr>
                    </m:ctrlPr>
                  </m:sSubPr>
                  <m:e>
                    <m:r>
                      <w:rPr>
                        <w:rFonts w:ascii="Cambria Math" w:eastAsia="ＭＳ Ｐゴシック" w:hAnsi="Cambria Math" w:cs="ＭＳ Ｐゴシック"/>
                        <w:color w:val="000000"/>
                        <w:kern w:val="0"/>
                        <w:sz w:val="24"/>
                      </w:rPr>
                      <m:t>μ</m:t>
                    </m:r>
                  </m:e>
                  <m:sub>
                    <m:r>
                      <w:rPr>
                        <w:rFonts w:ascii="Cambria Math" w:eastAsia="ＭＳ Ｐゴシック" w:hAnsi="Cambria Math" w:cs="ＭＳ Ｐゴシック"/>
                        <w:color w:val="000000"/>
                        <w:kern w:val="0"/>
                        <w:sz w:val="24"/>
                      </w:rPr>
                      <m:t>α</m:t>
                    </m:r>
                  </m:sub>
                </m:sSub>
              </m:oMath>
            </m:oMathPara>
          </w:p>
        </w:tc>
        <w:tc>
          <w:tcPr>
            <w:tcW w:w="1300" w:type="dxa"/>
            <w:tcBorders>
              <w:top w:val="nil"/>
              <w:left w:val="nil"/>
              <w:bottom w:val="nil"/>
              <w:right w:val="nil"/>
            </w:tcBorders>
            <w:noWrap/>
            <w:vAlign w:val="center"/>
            <w:hideMark/>
          </w:tcPr>
          <w:p w14:paraId="7EE51157"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-0.13 </w:t>
            </w:r>
          </w:p>
        </w:tc>
        <w:tc>
          <w:tcPr>
            <w:tcW w:w="1300" w:type="dxa"/>
            <w:tcBorders>
              <w:top w:val="nil"/>
              <w:left w:val="nil"/>
              <w:bottom w:val="nil"/>
              <w:right w:val="nil"/>
            </w:tcBorders>
            <w:noWrap/>
            <w:hideMark/>
          </w:tcPr>
          <w:p w14:paraId="34D73C47" w14:textId="2C7C5521"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-0.22 </w:t>
            </w:r>
          </w:p>
        </w:tc>
        <w:tc>
          <w:tcPr>
            <w:tcW w:w="1300" w:type="dxa"/>
            <w:tcBorders>
              <w:top w:val="nil"/>
              <w:left w:val="nil"/>
              <w:bottom w:val="nil"/>
              <w:right w:val="nil"/>
            </w:tcBorders>
            <w:noWrap/>
            <w:hideMark/>
          </w:tcPr>
          <w:p w14:paraId="40304B6E" w14:textId="30C371B7"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-0.03 </w:t>
            </w:r>
          </w:p>
        </w:tc>
        <w:tc>
          <w:tcPr>
            <w:tcW w:w="1300" w:type="dxa"/>
            <w:tcBorders>
              <w:top w:val="nil"/>
              <w:left w:val="nil"/>
              <w:bottom w:val="nil"/>
              <w:right w:val="nil"/>
            </w:tcBorders>
            <w:noWrap/>
            <w:hideMark/>
          </w:tcPr>
          <w:p w14:paraId="17CA9A6C" w14:textId="0B328741"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8663.00 </w:t>
            </w:r>
          </w:p>
        </w:tc>
        <w:tc>
          <w:tcPr>
            <w:tcW w:w="1300" w:type="dxa"/>
            <w:tcBorders>
              <w:top w:val="nil"/>
              <w:left w:val="nil"/>
              <w:bottom w:val="nil"/>
              <w:right w:val="nil"/>
            </w:tcBorders>
            <w:noWrap/>
            <w:vAlign w:val="center"/>
            <w:hideMark/>
          </w:tcPr>
          <w:p w14:paraId="5292E472"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39569C6E" w14:textId="77777777" w:rsidTr="00286D0F">
        <w:trPr>
          <w:trHeight w:val="320"/>
          <w:jc w:val="center"/>
        </w:trPr>
        <w:tc>
          <w:tcPr>
            <w:tcW w:w="1457" w:type="dxa"/>
            <w:tcBorders>
              <w:top w:val="nil"/>
              <w:left w:val="nil"/>
              <w:bottom w:val="nil"/>
              <w:right w:val="nil"/>
            </w:tcBorders>
            <w:noWrap/>
            <w:vAlign w:val="center"/>
            <w:hideMark/>
          </w:tcPr>
          <w:p w14:paraId="49B4CAD0" w14:textId="5A25A275"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eastAsia="ＭＳ Ｐゴシック" w:hAnsi="Cambria Math" w:cs="ＭＳ Ｐゴシック"/>
                        <w:i/>
                        <w:color w:val="000000"/>
                        <w:kern w:val="0"/>
                        <w:sz w:val="24"/>
                      </w:rPr>
                    </m:ctrlPr>
                  </m:sSubPr>
                  <m:e>
                    <m:r>
                      <w:rPr>
                        <w:rFonts w:ascii="Cambria Math" w:eastAsia="ＭＳ Ｐゴシック" w:hAnsi="Cambria Math" w:cs="ＭＳ Ｐゴシック"/>
                        <w:color w:val="000000"/>
                        <w:kern w:val="0"/>
                        <w:sz w:val="24"/>
                      </w:rPr>
                      <m:t>σ</m:t>
                    </m:r>
                  </m:e>
                  <m:sub>
                    <m:r>
                      <w:rPr>
                        <w:rFonts w:ascii="Cambria Math" w:eastAsia="ＭＳ Ｐゴシック" w:hAnsi="Cambria Math" w:cs="ＭＳ Ｐゴシック"/>
                        <w:color w:val="000000"/>
                        <w:kern w:val="0"/>
                        <w:sz w:val="24"/>
                      </w:rPr>
                      <m:t>region</m:t>
                    </m:r>
                  </m:sub>
                </m:sSub>
              </m:oMath>
            </m:oMathPara>
          </w:p>
        </w:tc>
        <w:tc>
          <w:tcPr>
            <w:tcW w:w="1300" w:type="dxa"/>
            <w:tcBorders>
              <w:top w:val="nil"/>
              <w:left w:val="nil"/>
              <w:bottom w:val="nil"/>
              <w:right w:val="nil"/>
            </w:tcBorders>
            <w:noWrap/>
            <w:vAlign w:val="center"/>
            <w:hideMark/>
          </w:tcPr>
          <w:p w14:paraId="37D55DBD"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0.07 </w:t>
            </w:r>
          </w:p>
        </w:tc>
        <w:tc>
          <w:tcPr>
            <w:tcW w:w="1300" w:type="dxa"/>
            <w:tcBorders>
              <w:top w:val="nil"/>
              <w:left w:val="nil"/>
              <w:bottom w:val="nil"/>
              <w:right w:val="nil"/>
            </w:tcBorders>
            <w:noWrap/>
            <w:hideMark/>
          </w:tcPr>
          <w:p w14:paraId="0F79DCC7" w14:textId="3602EB43"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0.00 </w:t>
            </w:r>
          </w:p>
        </w:tc>
        <w:tc>
          <w:tcPr>
            <w:tcW w:w="1300" w:type="dxa"/>
            <w:tcBorders>
              <w:top w:val="nil"/>
              <w:left w:val="nil"/>
              <w:bottom w:val="nil"/>
              <w:right w:val="nil"/>
            </w:tcBorders>
            <w:noWrap/>
            <w:hideMark/>
          </w:tcPr>
          <w:p w14:paraId="51176BD9" w14:textId="55F982B8"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0.19 </w:t>
            </w:r>
          </w:p>
        </w:tc>
        <w:tc>
          <w:tcPr>
            <w:tcW w:w="1300" w:type="dxa"/>
            <w:tcBorders>
              <w:top w:val="nil"/>
              <w:left w:val="nil"/>
              <w:bottom w:val="nil"/>
              <w:right w:val="nil"/>
            </w:tcBorders>
            <w:noWrap/>
            <w:hideMark/>
          </w:tcPr>
          <w:p w14:paraId="0A914E75" w14:textId="1633988A"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3536.00 </w:t>
            </w:r>
          </w:p>
        </w:tc>
        <w:tc>
          <w:tcPr>
            <w:tcW w:w="1300" w:type="dxa"/>
            <w:tcBorders>
              <w:top w:val="nil"/>
              <w:left w:val="nil"/>
              <w:bottom w:val="nil"/>
              <w:right w:val="nil"/>
            </w:tcBorders>
            <w:noWrap/>
            <w:vAlign w:val="center"/>
            <w:hideMark/>
          </w:tcPr>
          <w:p w14:paraId="037BA431"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275E9328" w14:textId="77777777" w:rsidTr="00286D0F">
        <w:trPr>
          <w:trHeight w:val="320"/>
          <w:jc w:val="center"/>
        </w:trPr>
        <w:tc>
          <w:tcPr>
            <w:tcW w:w="1457" w:type="dxa"/>
            <w:tcBorders>
              <w:top w:val="nil"/>
              <w:left w:val="nil"/>
              <w:bottom w:val="nil"/>
              <w:right w:val="nil"/>
            </w:tcBorders>
            <w:noWrap/>
            <w:vAlign w:val="center"/>
            <w:hideMark/>
          </w:tcPr>
          <w:p w14:paraId="4ABBFD61" w14:textId="5C1FDC35"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eastAsia="ＭＳ Ｐゴシック" w:hAnsi="Cambria Math" w:cs="ＭＳ Ｐゴシック"/>
                        <w:i/>
                        <w:color w:val="000000"/>
                        <w:kern w:val="0"/>
                        <w:sz w:val="24"/>
                      </w:rPr>
                    </m:ctrlPr>
                  </m:sSubPr>
                  <m:e>
                    <m:r>
                      <w:rPr>
                        <w:rFonts w:ascii="Cambria Math" w:eastAsia="ＭＳ Ｐゴシック" w:hAnsi="Cambria Math" w:cs="ＭＳ Ｐゴシック"/>
                        <w:color w:val="000000"/>
                        <w:kern w:val="0"/>
                        <w:sz w:val="24"/>
                      </w:rPr>
                      <m:t>σ</m:t>
                    </m:r>
                  </m:e>
                  <m:sub>
                    <m:r>
                      <w:rPr>
                        <w:rFonts w:ascii="Cambria Math" w:eastAsia="ＭＳ Ｐゴシック" w:hAnsi="Cambria Math" w:cs="ＭＳ Ｐゴシック"/>
                        <w:color w:val="000000"/>
                        <w:kern w:val="0"/>
                        <w:sz w:val="24"/>
                      </w:rPr>
                      <m:t>country</m:t>
                    </m:r>
                  </m:sub>
                </m:sSub>
              </m:oMath>
            </m:oMathPara>
          </w:p>
        </w:tc>
        <w:tc>
          <w:tcPr>
            <w:tcW w:w="1300" w:type="dxa"/>
            <w:tcBorders>
              <w:top w:val="nil"/>
              <w:left w:val="nil"/>
              <w:bottom w:val="nil"/>
              <w:right w:val="nil"/>
            </w:tcBorders>
            <w:noWrap/>
            <w:vAlign w:val="center"/>
            <w:hideMark/>
          </w:tcPr>
          <w:p w14:paraId="28F44EC7"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0.06 </w:t>
            </w:r>
          </w:p>
        </w:tc>
        <w:tc>
          <w:tcPr>
            <w:tcW w:w="1300" w:type="dxa"/>
            <w:tcBorders>
              <w:top w:val="nil"/>
              <w:left w:val="nil"/>
              <w:bottom w:val="nil"/>
              <w:right w:val="nil"/>
            </w:tcBorders>
            <w:noWrap/>
            <w:hideMark/>
          </w:tcPr>
          <w:p w14:paraId="3F7EE848" w14:textId="3990B537"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0.00 </w:t>
            </w:r>
          </w:p>
        </w:tc>
        <w:tc>
          <w:tcPr>
            <w:tcW w:w="1300" w:type="dxa"/>
            <w:tcBorders>
              <w:top w:val="nil"/>
              <w:left w:val="nil"/>
              <w:bottom w:val="nil"/>
              <w:right w:val="nil"/>
            </w:tcBorders>
            <w:noWrap/>
            <w:hideMark/>
          </w:tcPr>
          <w:p w14:paraId="02A1F0A5" w14:textId="2DEA4BCC"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0.14 </w:t>
            </w:r>
          </w:p>
        </w:tc>
        <w:tc>
          <w:tcPr>
            <w:tcW w:w="1300" w:type="dxa"/>
            <w:tcBorders>
              <w:top w:val="nil"/>
              <w:left w:val="nil"/>
              <w:bottom w:val="nil"/>
              <w:right w:val="nil"/>
            </w:tcBorders>
            <w:noWrap/>
            <w:hideMark/>
          </w:tcPr>
          <w:p w14:paraId="19999F4B" w14:textId="578041A0"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3833.00 </w:t>
            </w:r>
          </w:p>
        </w:tc>
        <w:tc>
          <w:tcPr>
            <w:tcW w:w="1300" w:type="dxa"/>
            <w:tcBorders>
              <w:top w:val="nil"/>
              <w:left w:val="nil"/>
              <w:bottom w:val="nil"/>
              <w:right w:val="nil"/>
            </w:tcBorders>
            <w:noWrap/>
            <w:vAlign w:val="center"/>
            <w:hideMark/>
          </w:tcPr>
          <w:p w14:paraId="3580C050"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r w:rsidR="00233476" w:rsidRPr="003E020B" w14:paraId="1554F6F5" w14:textId="77777777" w:rsidTr="00286D0F">
        <w:trPr>
          <w:trHeight w:val="320"/>
          <w:jc w:val="center"/>
        </w:trPr>
        <w:tc>
          <w:tcPr>
            <w:tcW w:w="1457" w:type="dxa"/>
            <w:tcBorders>
              <w:top w:val="nil"/>
              <w:left w:val="nil"/>
              <w:bottom w:val="single" w:sz="4" w:space="0" w:color="auto"/>
              <w:right w:val="nil"/>
            </w:tcBorders>
            <w:noWrap/>
            <w:vAlign w:val="center"/>
            <w:hideMark/>
          </w:tcPr>
          <w:p w14:paraId="7240340E" w14:textId="5FA19EFF" w:rsidR="00233476" w:rsidRPr="003E020B" w:rsidRDefault="00233476" w:rsidP="00233476">
            <w:pPr>
              <w:widowControl/>
              <w:jc w:val="left"/>
              <w:rPr>
                <w:rFonts w:ascii="TimesNewRomanPSMT" w:eastAsia="ＭＳ Ｐゴシック" w:hAnsi="TimesNewRomanPSMT" w:cs="ＭＳ Ｐゴシック" w:hint="eastAsia"/>
                <w:color w:val="000000"/>
                <w:kern w:val="0"/>
                <w:sz w:val="24"/>
              </w:rPr>
            </w:pPr>
            <m:oMathPara>
              <m:oMath>
                <m:sSub>
                  <m:sSubPr>
                    <m:ctrlPr>
                      <w:rPr>
                        <w:rFonts w:ascii="Cambria Math" w:eastAsia="ＭＳ Ｐゴシック" w:hAnsi="Cambria Math" w:cs="ＭＳ Ｐゴシック"/>
                        <w:i/>
                        <w:color w:val="000000"/>
                        <w:kern w:val="0"/>
                        <w:sz w:val="24"/>
                      </w:rPr>
                    </m:ctrlPr>
                  </m:sSubPr>
                  <m:e>
                    <m:r>
                      <w:rPr>
                        <w:rFonts w:ascii="Cambria Math" w:eastAsia="ＭＳ Ｐゴシック" w:hAnsi="Cambria Math" w:cs="ＭＳ Ｐゴシック"/>
                        <w:color w:val="000000"/>
                        <w:kern w:val="0"/>
                        <w:sz w:val="24"/>
                      </w:rPr>
                      <m:t>σ</m:t>
                    </m:r>
                  </m:e>
                  <m:sub>
                    <m:r>
                      <w:rPr>
                        <w:rFonts w:ascii="Cambria Math" w:eastAsia="ＭＳ Ｐゴシック" w:hAnsi="Cambria Math" w:cs="ＭＳ Ｐゴシック"/>
                        <w:color w:val="000000"/>
                        <w:kern w:val="0"/>
                        <w:sz w:val="24"/>
                      </w:rPr>
                      <m:t>y</m:t>
                    </m:r>
                  </m:sub>
                </m:sSub>
              </m:oMath>
            </m:oMathPara>
          </w:p>
        </w:tc>
        <w:tc>
          <w:tcPr>
            <w:tcW w:w="1300" w:type="dxa"/>
            <w:tcBorders>
              <w:top w:val="nil"/>
              <w:left w:val="nil"/>
              <w:bottom w:val="single" w:sz="4" w:space="0" w:color="auto"/>
              <w:right w:val="nil"/>
            </w:tcBorders>
            <w:noWrap/>
            <w:vAlign w:val="center"/>
            <w:hideMark/>
          </w:tcPr>
          <w:p w14:paraId="2419E4B7"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0.34 </w:t>
            </w:r>
          </w:p>
        </w:tc>
        <w:tc>
          <w:tcPr>
            <w:tcW w:w="1300" w:type="dxa"/>
            <w:tcBorders>
              <w:top w:val="nil"/>
              <w:left w:val="nil"/>
              <w:bottom w:val="single" w:sz="4" w:space="0" w:color="auto"/>
              <w:right w:val="nil"/>
            </w:tcBorders>
            <w:noWrap/>
            <w:hideMark/>
          </w:tcPr>
          <w:p w14:paraId="1067FC0D" w14:textId="26EBFD0C"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0.30 </w:t>
            </w:r>
          </w:p>
        </w:tc>
        <w:tc>
          <w:tcPr>
            <w:tcW w:w="1300" w:type="dxa"/>
            <w:tcBorders>
              <w:top w:val="nil"/>
              <w:left w:val="nil"/>
              <w:bottom w:val="single" w:sz="4" w:space="0" w:color="auto"/>
              <w:right w:val="nil"/>
            </w:tcBorders>
            <w:noWrap/>
            <w:hideMark/>
          </w:tcPr>
          <w:p w14:paraId="003D41B6" w14:textId="661ECA1B"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0.39 </w:t>
            </w:r>
          </w:p>
        </w:tc>
        <w:tc>
          <w:tcPr>
            <w:tcW w:w="1300" w:type="dxa"/>
            <w:tcBorders>
              <w:top w:val="nil"/>
              <w:left w:val="nil"/>
              <w:bottom w:val="single" w:sz="4" w:space="0" w:color="auto"/>
              <w:right w:val="nil"/>
            </w:tcBorders>
            <w:noWrap/>
            <w:hideMark/>
          </w:tcPr>
          <w:p w14:paraId="490EA56E" w14:textId="51BFA376" w:rsidR="00233476" w:rsidRPr="00233476" w:rsidRDefault="00233476" w:rsidP="00233476">
            <w:pPr>
              <w:widowControl/>
              <w:jc w:val="right"/>
              <w:rPr>
                <w:rFonts w:ascii="Times New Roman" w:eastAsia="ＭＳ Ｐゴシック" w:hAnsi="Times New Roman" w:cs="Times New Roman"/>
                <w:color w:val="000000"/>
                <w:kern w:val="0"/>
                <w:sz w:val="24"/>
              </w:rPr>
            </w:pPr>
            <w:r w:rsidRPr="00233476">
              <w:rPr>
                <w:rFonts w:ascii="Times New Roman" w:hAnsi="Times New Roman" w:cs="Times New Roman"/>
                <w:sz w:val="24"/>
              </w:rPr>
              <w:t xml:space="preserve">11903.00 </w:t>
            </w:r>
          </w:p>
        </w:tc>
        <w:tc>
          <w:tcPr>
            <w:tcW w:w="1300" w:type="dxa"/>
            <w:tcBorders>
              <w:top w:val="nil"/>
              <w:left w:val="nil"/>
              <w:bottom w:val="single" w:sz="4" w:space="0" w:color="auto"/>
              <w:right w:val="nil"/>
            </w:tcBorders>
            <w:noWrap/>
            <w:vAlign w:val="center"/>
            <w:hideMark/>
          </w:tcPr>
          <w:p w14:paraId="51ED3D49" w14:textId="77777777" w:rsidR="00233476" w:rsidRPr="003E020B" w:rsidRDefault="00233476" w:rsidP="00233476">
            <w:pPr>
              <w:widowControl/>
              <w:jc w:val="right"/>
              <w:rPr>
                <w:rFonts w:ascii="TimesNewRomanPSMT" w:eastAsia="ＭＳ Ｐゴシック" w:hAnsi="TimesNewRomanPSMT" w:cs="ＭＳ Ｐゴシック" w:hint="eastAsia"/>
                <w:color w:val="000000"/>
                <w:kern w:val="0"/>
                <w:sz w:val="24"/>
              </w:rPr>
            </w:pPr>
            <w:r w:rsidRPr="003E020B">
              <w:rPr>
                <w:rFonts w:ascii="TimesNewRomanPSMT" w:eastAsia="ＭＳ Ｐゴシック" w:hAnsi="TimesNewRomanPSMT" w:cs="ＭＳ Ｐゴシック"/>
                <w:color w:val="000000"/>
                <w:kern w:val="0"/>
                <w:sz w:val="24"/>
              </w:rPr>
              <w:t xml:space="preserve">1.00 </w:t>
            </w:r>
          </w:p>
        </w:tc>
      </w:tr>
    </w:tbl>
    <w:p w14:paraId="35477E28" w14:textId="70600AAE" w:rsidR="0099517D" w:rsidRDefault="003E020B" w:rsidP="0099517D">
      <w:pPr>
        <w:rPr>
          <w:rFonts w:ascii="Times New Roman" w:hAnsi="Times New Roman" w:cs="Times New Roman"/>
          <w:sz w:val="24"/>
        </w:rPr>
        <w:sectPr w:rsidR="0099517D" w:rsidSect="00765611">
          <w:pgSz w:w="11906" w:h="16838"/>
          <w:pgMar w:top="1985" w:right="1701" w:bottom="1701" w:left="1701" w:header="851" w:footer="992" w:gutter="0"/>
          <w:lnNumType w:countBy="1" w:restart="continuous"/>
          <w:cols w:space="425"/>
          <w:docGrid w:type="lines" w:linePitch="360"/>
        </w:sectPr>
      </w:pPr>
      <w:r w:rsidRPr="003E020B">
        <w:rPr>
          <w:rFonts w:ascii="Times New Roman" w:hAnsi="Times New Roman" w:cs="Times New Roman"/>
          <w:sz w:val="24"/>
        </w:rPr>
        <w:t>The outcome is the V-Dem social-cohesion indicator (</w:t>
      </w:r>
      <w:r w:rsidRPr="003E020B">
        <w:rPr>
          <w:rFonts w:ascii="Times New Roman" w:hAnsi="Times New Roman" w:cs="Times New Roman"/>
          <w:i/>
          <w:iCs/>
          <w:sz w:val="24"/>
        </w:rPr>
        <w:t>v2smpolsoc</w:t>
      </w:r>
      <w:r w:rsidRPr="003E020B">
        <w:rPr>
          <w:rFonts w:ascii="Times New Roman" w:hAnsi="Times New Roman" w:cs="Times New Roman"/>
          <w:sz w:val="24"/>
        </w:rPr>
        <w:t>), with higher values denoting greater cohesion and lower values denoting deeper polarization. The model is a Hierarchical Bayesian Dynamic Panel specification with country-level intercepts partially pooled within UN sub-regions through a strictly non-centered, two-level hierarchy that explicitly absorbs spatial non-independence (Galton's problem). All continuous regressors are z-standardized prior to estimation. Reported parameters comprise the autoregressive inertia parameter (</w:t>
      </w:r>
      <m:oMath>
        <m:r>
          <w:rPr>
            <w:rFonts w:ascii="Cambria Math" w:hAnsi="Cambria Math" w:cs="Times New Roman"/>
            <w:sz w:val="24"/>
          </w:rPr>
          <m:t>ϕ</m:t>
        </m:r>
      </m:oMath>
      <w:r w:rsidRPr="003E020B">
        <w:rPr>
          <w:rFonts w:ascii="Times New Roman" w:hAnsi="Times New Roman" w:cs="Times New Roman"/>
          <w:sz w:val="24"/>
        </w:rPr>
        <w:t>) on one-year-lagged social cohesion, the coefficient of association on one-year-lagged log COVID-19 mortality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r w:rsidRPr="003E020B">
        <w:rPr>
          <w:rFonts w:ascii="Times New Roman" w:hAnsi="Times New Roman" w:cs="Times New Roman"/>
          <w:sz w:val="24"/>
        </w:rPr>
        <w:t>; deaths per million, log-transformed), the coefficient of association on one-year-lagged mean Stringency Index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3E020B">
        <w:rPr>
          <w:rFonts w:ascii="Times New Roman" w:hAnsi="Times New Roman" w:cs="Times New Roman"/>
          <w:sz w:val="24"/>
        </w:rPr>
        <w:t>; OxCGRT, 0–100), and the four standardized macro-covariates (log population, urban population [%], health expenditure [% GDP], ethnic fractionalization). For each parameter we report the posterior mean, posterior standard deviation, and the 95% highest-density interval (HDI). Convergence diagnostics (rank-normalized split-</w:t>
      </w:r>
      <m:oMath>
        <m:acc>
          <m:accPr>
            <m:ctrlPr>
              <w:rPr>
                <w:rFonts w:ascii="Cambria Math" w:hAnsi="Cambria Math" w:cs="Times New Roman"/>
                <w:i/>
                <w:sz w:val="24"/>
              </w:rPr>
            </m:ctrlPr>
          </m:accPr>
          <m:e>
            <m:r>
              <w:rPr>
                <w:rFonts w:ascii="Cambria Math" w:hAnsi="Cambria Math" w:cs="Times New Roman"/>
                <w:sz w:val="24"/>
              </w:rPr>
              <m:t>R</m:t>
            </m:r>
          </m:e>
        </m:acc>
      </m:oMath>
      <w:r w:rsidRPr="003E020B">
        <w:rPr>
          <w:rFonts w:ascii="Times New Roman" w:hAnsi="Times New Roman" w:cs="Times New Roman"/>
          <w:sz w:val="24"/>
        </w:rPr>
        <w:t xml:space="preserve"> and bulk effective sample size) are reported in the final two columns; all monitored parameters satisfy </w:t>
      </w:r>
      <m:oMath>
        <m:acc>
          <m:accPr>
            <m:ctrlPr>
              <w:rPr>
                <w:rFonts w:ascii="Cambria Math" w:hAnsi="Cambria Math" w:cs="Times New Roman"/>
                <w:i/>
                <w:sz w:val="24"/>
              </w:rPr>
            </m:ctrlPr>
          </m:accPr>
          <m:e>
            <m:r>
              <w:rPr>
                <w:rFonts w:ascii="Cambria Math" w:hAnsi="Cambria Math" w:cs="Times New Roman"/>
                <w:sz w:val="24"/>
              </w:rPr>
              <m:t>R</m:t>
            </m:r>
          </m:e>
        </m:acc>
        <m:r>
          <w:rPr>
            <w:rFonts w:ascii="Cambria Math" w:hAnsi="Cambria Math" w:cs="Times New Roman"/>
            <w:sz w:val="24"/>
          </w:rPr>
          <m:t>≈</m:t>
        </m:r>
      </m:oMath>
      <w:r w:rsidRPr="003E020B">
        <w:rPr>
          <w:rFonts w:ascii="Times New Roman" w:hAnsi="Times New Roman" w:cs="Times New Roman"/>
          <w:sz w:val="24"/>
        </w:rPr>
        <w:t xml:space="preserve"> 1.00 and bulk ESS well above the pre-specified threshold of 400. A parameter is treated as credibly bounded away from zero only when its 95% HDI excludes zero. Posterior sampling used the No-U-Turn Sampler (4 chains × 2,000 tuning + 2,000 post-warmup draws; target acceptance 0.95) implemented in PyMC v5. Substantively, </w:t>
      </w:r>
      <m:oMath>
        <m:r>
          <w:rPr>
            <w:rFonts w:ascii="Cambria Math" w:hAnsi="Cambria Math" w:cs="Times New Roman"/>
            <w:sz w:val="24"/>
          </w:rPr>
          <m:t>ϕ</m:t>
        </m:r>
      </m:oMath>
      <w:r w:rsidRPr="003E020B">
        <w:rPr>
          <w:rFonts w:ascii="Times New Roman" w:hAnsi="Times New Roman" w:cs="Times New Roman"/>
          <w:sz w:val="24"/>
        </w:rPr>
        <w:t xml:space="preserve"> is large and credibly non-zero, formalizing macro-structural inertia in social polarization, while the 95% HDIs for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r w:rsidRPr="003E020B">
        <w:rPr>
          <w:rFonts w:ascii="Times New Roman" w:hAnsi="Times New Roman" w:cs="Times New Roman"/>
          <w:sz w:val="24"/>
        </w:rPr>
        <w:t xml:space="preserve"> and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3E020B">
        <w:rPr>
          <w:rFonts w:ascii="Times New Roman" w:hAnsi="Times New Roman" w:cs="Times New Roman"/>
          <w:sz w:val="24"/>
        </w:rPr>
        <w:t xml:space="preserve"> firmly cross zero, indicating no credible association between either acute pandemic-shock exposure and the residual, non-inertial component of the outcome.</w:t>
      </w:r>
    </w:p>
    <w:p w14:paraId="1EAF4317" w14:textId="36311EC8"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1.</w:t>
      </w:r>
      <w:r w:rsidR="00307615">
        <w:rPr>
          <w:rFonts w:ascii="Times New Roman" w:hAnsi="Times New Roman" w:cs="Times New Roman"/>
          <w:sz w:val="24"/>
        </w:rPr>
        <w:t xml:space="preserve"> </w:t>
      </w:r>
      <w:r w:rsidR="003E020B" w:rsidRPr="003E020B">
        <w:rPr>
          <w:rFonts w:ascii="Times New Roman" w:hAnsi="Times New Roman" w:cs="Times New Roman"/>
          <w:sz w:val="24"/>
        </w:rPr>
        <w:t xml:space="preserve"> Forest plot of the posterior distributions for the main parameters of association in the Hierarchical Bayesian Dynamic Panel Model (Lag-1).</w:t>
      </w:r>
    </w:p>
    <w:p w14:paraId="14330F69" w14:textId="615A909E" w:rsidR="000405E8" w:rsidRDefault="00FD005D"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6A6AE5D9" wp14:editId="46B0FB3C">
            <wp:extent cx="5400040" cy="2103755"/>
            <wp:effectExtent l="0" t="0" r="0" b="4445"/>
            <wp:docPr id="17191787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78756" name="図 1719178756"/>
                    <pic:cNvPicPr/>
                  </pic:nvPicPr>
                  <pic:blipFill>
                    <a:blip r:embed="rId16"/>
                    <a:stretch>
                      <a:fillRect/>
                    </a:stretch>
                  </pic:blipFill>
                  <pic:spPr>
                    <a:xfrm>
                      <a:off x="0" y="0"/>
                      <a:ext cx="5400040" cy="2103755"/>
                    </a:xfrm>
                    <a:prstGeom prst="rect">
                      <a:avLst/>
                    </a:prstGeom>
                  </pic:spPr>
                </pic:pic>
              </a:graphicData>
            </a:graphic>
          </wp:inline>
        </w:drawing>
      </w:r>
    </w:p>
    <w:p w14:paraId="7F303076" w14:textId="5E11FB2D" w:rsidR="00307615" w:rsidRDefault="003E020B" w:rsidP="00307615">
      <w:pPr>
        <w:jc w:val="left"/>
        <w:rPr>
          <w:rFonts w:ascii="Times New Roman" w:hAnsi="Times New Roman" w:cs="Times New Roman"/>
          <w:sz w:val="24"/>
        </w:rPr>
        <w:sectPr w:rsidR="00307615" w:rsidSect="00765611">
          <w:pgSz w:w="11906" w:h="16838"/>
          <w:pgMar w:top="1985" w:right="1701" w:bottom="1701" w:left="1701" w:header="851" w:footer="992" w:gutter="0"/>
          <w:lnNumType w:countBy="1" w:restart="continuous"/>
          <w:cols w:space="425"/>
          <w:docGrid w:type="lines" w:linePitch="360"/>
        </w:sectPr>
      </w:pPr>
      <w:r w:rsidRPr="003E020B">
        <w:rPr>
          <w:rFonts w:ascii="Times New Roman" w:hAnsi="Times New Roman" w:cs="Times New Roman"/>
          <w:sz w:val="24"/>
        </w:rPr>
        <w:t>The figure displays the posterior distributions of the three substantive parameters of the primary specification: the autoregressive inertia parameter (</w:t>
      </w:r>
      <m:oMath>
        <m:r>
          <w:rPr>
            <w:rFonts w:ascii="Cambria Math" w:hAnsi="Cambria Math" w:cs="Times New Roman"/>
            <w:sz w:val="24"/>
          </w:rPr>
          <m:t>ϕ</m:t>
        </m:r>
      </m:oMath>
      <w:r w:rsidRPr="003E020B">
        <w:rPr>
          <w:rFonts w:ascii="Times New Roman" w:hAnsi="Times New Roman" w:cs="Times New Roman"/>
          <w:sz w:val="24"/>
        </w:rPr>
        <w:t>) on one-year-lagged social cohesion, the coefficient of association on one-year-lagged log COVID-19 mortality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r w:rsidRPr="003E020B">
        <w:rPr>
          <w:rFonts w:ascii="Times New Roman" w:hAnsi="Times New Roman" w:cs="Times New Roman"/>
          <w:sz w:val="24"/>
        </w:rPr>
        <w:t>), and the coefficient of association on one-year-lagged mean lockdown stringency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3E020B">
        <w:rPr>
          <w:rFonts w:ascii="Times New Roman" w:hAnsi="Times New Roman" w:cs="Times New Roman"/>
          <w:sz w:val="24"/>
        </w:rPr>
        <w:t xml:space="preserve">). Each row presents the posterior mean (point) and the 95% highest-density interval (horizontal bar), with the vertical reference line at zero. A 95% HDI that crosses zero indicates that the data provide no posterior-credible evidence of an association in either direction, whereas a 95% HDI that excludes zero indicates a credibly non-null association. The autoregressive parameter φ is large and well separated from zero, with its entire 95% HDI lying above unity, which formalizes strong year-on-year macro-structural inertia: </w:t>
      </w:r>
      <m:oMath>
        <m:r>
          <w:rPr>
            <w:rFonts w:ascii="Cambria Math" w:hAnsi="Cambria Math" w:cs="Times New Roman"/>
            <w:sz w:val="24"/>
          </w:rPr>
          <m:t>ϕ</m:t>
        </m:r>
      </m:oMath>
      <w:r w:rsidRPr="003E020B">
        <w:rPr>
          <w:rFonts w:ascii="Times New Roman" w:hAnsi="Times New Roman" w:cs="Times New Roman"/>
          <w:sz w:val="24"/>
        </w:rPr>
        <w:t xml:space="preserve"> &gt; 1 implies that the dominant predictor of social polarization in any given country-year is the immediately preceding country-year value of the same outcome. By visual contrast, the 95% HDIs for both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oMath>
      <w:r w:rsidRPr="003E020B">
        <w:rPr>
          <w:rFonts w:ascii="Times New Roman" w:hAnsi="Times New Roman" w:cs="Times New Roman"/>
          <w:sz w:val="24"/>
        </w:rPr>
        <w:t xml:space="preserve"> and </w:t>
      </w:r>
      <m:oMath>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s</m:t>
            </m:r>
          </m:sub>
        </m:sSub>
      </m:oMath>
      <w:r w:rsidRPr="003E020B">
        <w:rPr>
          <w:rFonts w:ascii="Times New Roman" w:hAnsi="Times New Roman" w:cs="Times New Roman"/>
          <w:sz w:val="24"/>
        </w:rPr>
        <w:t xml:space="preserve"> are tightly concentrated around zero and cross the reference line, so neither acute pandemic-shock exposure displays a credible association with social polarization once inertia and regional partial pooling are accounted for. The juxtaposition of a credibly non-zero inertia parameter against two credibly null acute-shock parameters is the formal Bayesian expression of the Temporal Fallacy: at the macro-institutional scale of advanced democracies, structural path dependence dominates and absorbs acute pathogen and policy shocks rather than transmitting them into lasting institutional change.</w:t>
      </w:r>
    </w:p>
    <w:p w14:paraId="674470B1" w14:textId="4C8019AC"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2.</w:t>
      </w:r>
      <w:r w:rsidR="00307615">
        <w:rPr>
          <w:rFonts w:ascii="Times New Roman" w:hAnsi="Times New Roman" w:cs="Times New Roman"/>
          <w:sz w:val="24"/>
        </w:rPr>
        <w:t xml:space="preserve"> </w:t>
      </w:r>
      <w:r w:rsidR="003E020B" w:rsidRPr="003E020B">
        <w:rPr>
          <w:rFonts w:ascii="Times New Roman" w:hAnsi="Times New Roman" w:cs="Times New Roman"/>
          <w:sz w:val="24"/>
        </w:rPr>
        <w:t>The selection effect: pre-pandemic social cohesion as a structural determinant of subsequent lockdown stringency across 3</w:t>
      </w:r>
      <w:r w:rsidR="00066FCC">
        <w:rPr>
          <w:rFonts w:ascii="Times New Roman" w:hAnsi="Times New Roman" w:cs="Times New Roman"/>
          <w:sz w:val="24"/>
        </w:rPr>
        <w:t>7</w:t>
      </w:r>
      <w:r w:rsidR="003E020B" w:rsidRPr="003E020B">
        <w:rPr>
          <w:rFonts w:ascii="Times New Roman" w:hAnsi="Times New Roman" w:cs="Times New Roman"/>
          <w:sz w:val="24"/>
        </w:rPr>
        <w:t xml:space="preserve"> OECD countries.</w:t>
      </w:r>
    </w:p>
    <w:p w14:paraId="0829F2A2" w14:textId="7B6F50F0" w:rsidR="000405E8" w:rsidRDefault="00366FDC"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78810763" wp14:editId="5BB74D6E">
            <wp:extent cx="5400040" cy="4304030"/>
            <wp:effectExtent l="0" t="0" r="0" b="1270"/>
            <wp:docPr id="27455829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58292" name="図 274558292"/>
                    <pic:cNvPicPr/>
                  </pic:nvPicPr>
                  <pic:blipFill>
                    <a:blip r:embed="rId17"/>
                    <a:stretch>
                      <a:fillRect/>
                    </a:stretch>
                  </pic:blipFill>
                  <pic:spPr>
                    <a:xfrm>
                      <a:off x="0" y="0"/>
                      <a:ext cx="5400040" cy="4304030"/>
                    </a:xfrm>
                    <a:prstGeom prst="rect">
                      <a:avLst/>
                    </a:prstGeom>
                  </pic:spPr>
                </pic:pic>
              </a:graphicData>
            </a:graphic>
          </wp:inline>
        </w:drawing>
      </w:r>
    </w:p>
    <w:p w14:paraId="7B72D84B" w14:textId="77777777" w:rsidR="0099616B" w:rsidRPr="0099616B" w:rsidRDefault="0099616B" w:rsidP="0099616B">
      <w:pPr>
        <w:jc w:val="left"/>
        <w:rPr>
          <w:rFonts w:ascii="Times New Roman" w:hAnsi="Times New Roman" w:cs="Times New Roman"/>
          <w:sz w:val="24"/>
        </w:rPr>
      </w:pPr>
      <w:r w:rsidRPr="0099616B">
        <w:rPr>
          <w:rFonts w:ascii="Times New Roman" w:hAnsi="Times New Roman" w:cs="Times New Roman"/>
          <w:sz w:val="24"/>
        </w:rPr>
        <w:t xml:space="preserve">Pearson scatter plot of pre-pandemic social cohesion (V-Dem v2smpolsoc, 2019; horizontal axis) against the country-level mean of the OxCGRT Stringency Index over 2020–2021 (vertical axis), with each point representing one OECD country labeled by its ISO-3 code. The red line is the simple linear fit and the shaded band is its 95% confidence interval. The two variables are strongly negatively associated (Pearson </w:t>
      </w:r>
    </w:p>
    <w:p w14:paraId="4365339A" w14:textId="433F34FA" w:rsidR="0099616B" w:rsidRPr="0099616B" w:rsidRDefault="0099616B" w:rsidP="0099616B">
      <w:pPr>
        <w:jc w:val="left"/>
        <w:rPr>
          <w:rFonts w:ascii="Times New Roman" w:hAnsi="Times New Roman" w:cs="Times New Roman"/>
          <w:sz w:val="24"/>
        </w:rPr>
      </w:pPr>
      <w:r w:rsidRPr="0099616B">
        <w:rPr>
          <w:rFonts w:ascii="Times New Roman" w:hAnsi="Times New Roman" w:cs="Times New Roman"/>
          <w:sz w:val="24"/>
        </w:rPr>
        <w:t>r</w:t>
      </w:r>
      <w:r>
        <w:rPr>
          <w:rFonts w:ascii="Times New Roman" w:hAnsi="Times New Roman" w:cs="Times New Roman"/>
          <w:sz w:val="24"/>
        </w:rPr>
        <w:t xml:space="preserve"> </w:t>
      </w:r>
      <w:r w:rsidRPr="0099616B">
        <w:rPr>
          <w:rFonts w:ascii="Times New Roman" w:hAnsi="Times New Roman" w:cs="Times New Roman"/>
          <w:sz w:val="24"/>
        </w:rPr>
        <w:t>=</w:t>
      </w:r>
      <w:r>
        <w:rPr>
          <w:rFonts w:ascii="Times New Roman" w:hAnsi="Times New Roman" w:cs="Times New Roman"/>
          <w:sz w:val="24"/>
        </w:rPr>
        <w:t>-</w:t>
      </w:r>
      <w:r w:rsidRPr="0099616B">
        <w:rPr>
          <w:rFonts w:ascii="Times New Roman" w:hAnsi="Times New Roman" w:cs="Times New Roman"/>
          <w:sz w:val="24"/>
        </w:rPr>
        <w:t>0.51,</w:t>
      </w:r>
      <w:r>
        <w:rPr>
          <w:rFonts w:ascii="Times New Roman" w:hAnsi="Times New Roman" w:cs="Times New Roman"/>
          <w:sz w:val="24"/>
        </w:rPr>
        <w:t xml:space="preserve"> </w:t>
      </w:r>
      <w:r w:rsidRPr="0099616B">
        <w:rPr>
          <w:rFonts w:ascii="Times New Roman" w:hAnsi="Times New Roman" w:cs="Times New Roman"/>
          <w:sz w:val="24"/>
        </w:rPr>
        <w:t>p</w:t>
      </w:r>
      <w:r>
        <w:rPr>
          <w:rFonts w:ascii="Times New Roman" w:hAnsi="Times New Roman" w:cs="Times New Roman"/>
          <w:sz w:val="24"/>
        </w:rPr>
        <w:t xml:space="preserve"> </w:t>
      </w:r>
      <w:r w:rsidRPr="0099616B">
        <w:rPr>
          <w:rFonts w:ascii="Times New Roman" w:hAnsi="Times New Roman" w:cs="Times New Roman"/>
          <w:sz w:val="24"/>
        </w:rPr>
        <w:t xml:space="preserve">=0.001): countries that entered the pandemic with greater pre-existing social cohesion subsequently adopted markedly less stringent containment regimes, while countries that entered with deeper polarization adopted substantially more coercive mandates. The bottom-right region of the plot (high cohesion, low stringency) groups the "voluntary compliance" archetype </w:t>
      </w:r>
      <w:r>
        <w:rPr>
          <w:rFonts w:ascii="Times New Roman" w:hAnsi="Times New Roman" w:cs="Times New Roman"/>
          <w:sz w:val="24"/>
        </w:rPr>
        <w:t>–</w:t>
      </w:r>
      <w:r w:rsidRPr="0099616B">
        <w:rPr>
          <w:rFonts w:ascii="Times New Roman" w:hAnsi="Times New Roman" w:cs="Times New Roman"/>
          <w:sz w:val="24"/>
        </w:rPr>
        <w:t xml:space="preserve"> Japan, Finland, Denmark, Iceland, New Zealand, Norway, Sweden </w:t>
      </w:r>
      <w:r>
        <w:rPr>
          <w:rFonts w:ascii="Times New Roman" w:hAnsi="Times New Roman" w:cs="Times New Roman"/>
          <w:sz w:val="24"/>
        </w:rPr>
        <w:t>–</w:t>
      </w:r>
      <w:r w:rsidRPr="0099616B">
        <w:rPr>
          <w:rFonts w:ascii="Times New Roman" w:hAnsi="Times New Roman" w:cs="Times New Roman"/>
          <w:sz w:val="24"/>
        </w:rPr>
        <w:t xml:space="preserve"> in which population-level behavioral coordination was achievable through shared norms without recourse to formal coercion. The upper-left region (low cohesion, high stringency) groups the "coercive response" archetype </w:t>
      </w:r>
      <w:r>
        <w:rPr>
          <w:rFonts w:ascii="Times New Roman" w:hAnsi="Times New Roman" w:cs="Times New Roman"/>
          <w:sz w:val="24"/>
        </w:rPr>
        <w:t>–</w:t>
      </w:r>
      <w:r w:rsidRPr="0099616B">
        <w:rPr>
          <w:rFonts w:ascii="Times New Roman" w:hAnsi="Times New Roman" w:cs="Times New Roman"/>
          <w:sz w:val="24"/>
        </w:rPr>
        <w:t xml:space="preserve"> Chile, Italy, Greece, Colombia, the United Kingdom, the United States, Spain, Turkey </w:t>
      </w:r>
      <w:r>
        <w:rPr>
          <w:rFonts w:ascii="Times New Roman" w:hAnsi="Times New Roman" w:cs="Times New Roman"/>
          <w:sz w:val="24"/>
        </w:rPr>
        <w:t>–</w:t>
      </w:r>
      <w:r w:rsidRPr="0099616B">
        <w:rPr>
          <w:rFonts w:ascii="Times New Roman" w:hAnsi="Times New Roman" w:cs="Times New Roman"/>
          <w:sz w:val="24"/>
        </w:rPr>
        <w:t xml:space="preserve"> in which depleted social trust foreclosed voluntary compliance and structurally </w:t>
      </w:r>
      <w:r w:rsidRPr="0099616B">
        <w:rPr>
          <w:rFonts w:ascii="Times New Roman" w:hAnsi="Times New Roman" w:cs="Times New Roman"/>
          <w:sz w:val="24"/>
        </w:rPr>
        <w:lastRenderedPageBreak/>
        <w:t>compelled the substitution of formal mandates for absent informal norms. Off-diagonal cases (e.g., Canada, Australia, Ireland in the high-cohesion / high-stringency region; Hungary and Poland in the low-cohesion / low-stringency region; South Korea on a distinct technological-surveillance pathway) are consistent with the same logic operating under additional country-specific constraints. Read in conjunction with the null acute-shock parameters of Table 1 and Figure 1, this raw bivariate pattern documents a selection effect in which structural social conditions were associated with the subsequent policy regime, rather than the policy regime reshaping social conditions.</w:t>
      </w:r>
    </w:p>
    <w:p w14:paraId="2F238987" w14:textId="7CBA8FAF" w:rsidR="00307615" w:rsidRPr="0099616B" w:rsidRDefault="00307615" w:rsidP="00307615">
      <w:pPr>
        <w:jc w:val="left"/>
        <w:rPr>
          <w:rFonts w:ascii="Times New Roman" w:hAnsi="Times New Roman" w:cs="Times New Roman"/>
          <w:sz w:val="24"/>
        </w:rPr>
      </w:pPr>
    </w:p>
    <w:sectPr w:rsidR="00307615" w:rsidRPr="0099616B" w:rsidSect="00765611">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FA90E" w14:textId="77777777" w:rsidR="00FB42C9" w:rsidRDefault="00FB42C9" w:rsidP="00765611">
      <w:r>
        <w:separator/>
      </w:r>
    </w:p>
  </w:endnote>
  <w:endnote w:type="continuationSeparator" w:id="0">
    <w:p w14:paraId="1FAD4E30" w14:textId="77777777" w:rsidR="00FB42C9" w:rsidRDefault="00FB42C9" w:rsidP="00765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pitch w:val="default"/>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289356856"/>
      <w:docPartObj>
        <w:docPartGallery w:val="Page Numbers (Bottom of Page)"/>
        <w:docPartUnique/>
      </w:docPartObj>
    </w:sdtPr>
    <w:sdtContent>
      <w:p w14:paraId="617CA761" w14:textId="33CCF9AD" w:rsidR="00765611" w:rsidRDefault="00765611" w:rsidP="00BD3D00">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5DECD38D" w14:textId="77777777" w:rsidR="00765611" w:rsidRDefault="00765611" w:rsidP="00765611">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921210365"/>
      <w:docPartObj>
        <w:docPartGallery w:val="Page Numbers (Bottom of Page)"/>
        <w:docPartUnique/>
      </w:docPartObj>
    </w:sdtPr>
    <w:sdtContent>
      <w:p w14:paraId="38883E34" w14:textId="6A9CC858" w:rsidR="00765611" w:rsidRDefault="00765611" w:rsidP="00BD3D00">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09BD26DA" w14:textId="77777777" w:rsidR="00765611" w:rsidRDefault="00765611" w:rsidP="00765611">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985C0" w14:textId="77777777" w:rsidR="00FB42C9" w:rsidRDefault="00FB42C9" w:rsidP="00765611">
      <w:r>
        <w:separator/>
      </w:r>
    </w:p>
  </w:footnote>
  <w:footnote w:type="continuationSeparator" w:id="0">
    <w:p w14:paraId="1425781D" w14:textId="77777777" w:rsidR="00FB42C9" w:rsidRDefault="00FB42C9" w:rsidP="007656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NAS&lt;/Style&gt;&lt;LeftDelim&gt;{&lt;/LeftDelim&gt;&lt;RightDelim&gt;}&lt;/RightDelim&gt;&lt;FontName&gt;游明朝&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5x9axpzsz5twaew5s0500tr90zzfepxexte&quot;&gt;My EndNote Library&lt;record-ids&gt;&lt;item&gt;1095&lt;/item&gt;&lt;/record-ids&gt;&lt;/item&gt;&lt;/Libraries&gt;"/>
  </w:docVars>
  <w:rsids>
    <w:rsidRoot w:val="00C52775"/>
    <w:rsid w:val="00010F11"/>
    <w:rsid w:val="00023F68"/>
    <w:rsid w:val="000405E8"/>
    <w:rsid w:val="00041C98"/>
    <w:rsid w:val="000422DC"/>
    <w:rsid w:val="00046A74"/>
    <w:rsid w:val="000621D5"/>
    <w:rsid w:val="0006358E"/>
    <w:rsid w:val="00066FCC"/>
    <w:rsid w:val="000722BC"/>
    <w:rsid w:val="00075BA6"/>
    <w:rsid w:val="000815B7"/>
    <w:rsid w:val="00093C4D"/>
    <w:rsid w:val="00094559"/>
    <w:rsid w:val="000B7741"/>
    <w:rsid w:val="000D574A"/>
    <w:rsid w:val="000E74FF"/>
    <w:rsid w:val="000F2192"/>
    <w:rsid w:val="001059BC"/>
    <w:rsid w:val="001111D2"/>
    <w:rsid w:val="0011319E"/>
    <w:rsid w:val="001146D4"/>
    <w:rsid w:val="00116CF0"/>
    <w:rsid w:val="00117D2F"/>
    <w:rsid w:val="00121CE2"/>
    <w:rsid w:val="00127954"/>
    <w:rsid w:val="00137D71"/>
    <w:rsid w:val="0015039B"/>
    <w:rsid w:val="00152416"/>
    <w:rsid w:val="0015521E"/>
    <w:rsid w:val="00160AC5"/>
    <w:rsid w:val="001700F6"/>
    <w:rsid w:val="001920EE"/>
    <w:rsid w:val="001976E3"/>
    <w:rsid w:val="001A2CA6"/>
    <w:rsid w:val="001A6880"/>
    <w:rsid w:val="001C7E7D"/>
    <w:rsid w:val="001D0AB9"/>
    <w:rsid w:val="001D6035"/>
    <w:rsid w:val="001E1E5A"/>
    <w:rsid w:val="001F0186"/>
    <w:rsid w:val="001F0C3F"/>
    <w:rsid w:val="0021029F"/>
    <w:rsid w:val="0021280C"/>
    <w:rsid w:val="00231B98"/>
    <w:rsid w:val="00231E4F"/>
    <w:rsid w:val="00233476"/>
    <w:rsid w:val="00263326"/>
    <w:rsid w:val="00277180"/>
    <w:rsid w:val="0028627E"/>
    <w:rsid w:val="00287D59"/>
    <w:rsid w:val="00294CA2"/>
    <w:rsid w:val="002A4756"/>
    <w:rsid w:val="002A5781"/>
    <w:rsid w:val="002B3226"/>
    <w:rsid w:val="002C2F30"/>
    <w:rsid w:val="002D05EA"/>
    <w:rsid w:val="002F32CF"/>
    <w:rsid w:val="003025AA"/>
    <w:rsid w:val="00305639"/>
    <w:rsid w:val="00307615"/>
    <w:rsid w:val="003379E6"/>
    <w:rsid w:val="0034721C"/>
    <w:rsid w:val="00353A14"/>
    <w:rsid w:val="00361045"/>
    <w:rsid w:val="00365E19"/>
    <w:rsid w:val="00366FDC"/>
    <w:rsid w:val="00367D4E"/>
    <w:rsid w:val="00373093"/>
    <w:rsid w:val="00381D27"/>
    <w:rsid w:val="00384831"/>
    <w:rsid w:val="00390758"/>
    <w:rsid w:val="00394367"/>
    <w:rsid w:val="00396184"/>
    <w:rsid w:val="003A3D33"/>
    <w:rsid w:val="003B5926"/>
    <w:rsid w:val="003C6667"/>
    <w:rsid w:val="003D5C21"/>
    <w:rsid w:val="003E020B"/>
    <w:rsid w:val="003F037C"/>
    <w:rsid w:val="003F2A3D"/>
    <w:rsid w:val="004024FC"/>
    <w:rsid w:val="00417268"/>
    <w:rsid w:val="00425D59"/>
    <w:rsid w:val="00432ACC"/>
    <w:rsid w:val="00437F03"/>
    <w:rsid w:val="00441094"/>
    <w:rsid w:val="00444295"/>
    <w:rsid w:val="00452E8A"/>
    <w:rsid w:val="00453286"/>
    <w:rsid w:val="0046613D"/>
    <w:rsid w:val="0047738E"/>
    <w:rsid w:val="00480315"/>
    <w:rsid w:val="004846D6"/>
    <w:rsid w:val="004A30FB"/>
    <w:rsid w:val="004B4D0D"/>
    <w:rsid w:val="004D15B4"/>
    <w:rsid w:val="005066A3"/>
    <w:rsid w:val="00513535"/>
    <w:rsid w:val="00513CF2"/>
    <w:rsid w:val="00516426"/>
    <w:rsid w:val="00541C3C"/>
    <w:rsid w:val="005437F9"/>
    <w:rsid w:val="00547DC1"/>
    <w:rsid w:val="00562751"/>
    <w:rsid w:val="005758DA"/>
    <w:rsid w:val="00581EDD"/>
    <w:rsid w:val="00585B2B"/>
    <w:rsid w:val="00592D69"/>
    <w:rsid w:val="005A17C6"/>
    <w:rsid w:val="005C52BA"/>
    <w:rsid w:val="005C61C4"/>
    <w:rsid w:val="005E2E42"/>
    <w:rsid w:val="005E3172"/>
    <w:rsid w:val="005E37E7"/>
    <w:rsid w:val="005F188F"/>
    <w:rsid w:val="005F64A9"/>
    <w:rsid w:val="00610459"/>
    <w:rsid w:val="0061376C"/>
    <w:rsid w:val="00615E71"/>
    <w:rsid w:val="00617ABB"/>
    <w:rsid w:val="00622FED"/>
    <w:rsid w:val="006251FE"/>
    <w:rsid w:val="00637B47"/>
    <w:rsid w:val="006546B4"/>
    <w:rsid w:val="00656CB4"/>
    <w:rsid w:val="00660EB9"/>
    <w:rsid w:val="00662329"/>
    <w:rsid w:val="00664F1A"/>
    <w:rsid w:val="00680DE6"/>
    <w:rsid w:val="00682D53"/>
    <w:rsid w:val="00696A17"/>
    <w:rsid w:val="006B2679"/>
    <w:rsid w:val="006B59D0"/>
    <w:rsid w:val="006C52CC"/>
    <w:rsid w:val="006D4935"/>
    <w:rsid w:val="006E2B26"/>
    <w:rsid w:val="006E5444"/>
    <w:rsid w:val="006F049A"/>
    <w:rsid w:val="00705778"/>
    <w:rsid w:val="007278E2"/>
    <w:rsid w:val="00753CFD"/>
    <w:rsid w:val="00755F8A"/>
    <w:rsid w:val="00765611"/>
    <w:rsid w:val="00770C86"/>
    <w:rsid w:val="00775DA7"/>
    <w:rsid w:val="00776354"/>
    <w:rsid w:val="007769D2"/>
    <w:rsid w:val="007903A6"/>
    <w:rsid w:val="0079567C"/>
    <w:rsid w:val="00796C9F"/>
    <w:rsid w:val="007B099F"/>
    <w:rsid w:val="007B5E68"/>
    <w:rsid w:val="007B677B"/>
    <w:rsid w:val="007E564B"/>
    <w:rsid w:val="007F0CF3"/>
    <w:rsid w:val="007F159A"/>
    <w:rsid w:val="0080104E"/>
    <w:rsid w:val="008020E3"/>
    <w:rsid w:val="008212D0"/>
    <w:rsid w:val="00822AE0"/>
    <w:rsid w:val="00835538"/>
    <w:rsid w:val="00835F5E"/>
    <w:rsid w:val="00837407"/>
    <w:rsid w:val="00845A1D"/>
    <w:rsid w:val="008641D3"/>
    <w:rsid w:val="00871D72"/>
    <w:rsid w:val="0088035A"/>
    <w:rsid w:val="00897B66"/>
    <w:rsid w:val="008A1075"/>
    <w:rsid w:val="008A53A0"/>
    <w:rsid w:val="008B2469"/>
    <w:rsid w:val="008B3655"/>
    <w:rsid w:val="008C5A01"/>
    <w:rsid w:val="008D6E44"/>
    <w:rsid w:val="008E14F2"/>
    <w:rsid w:val="008E1E7F"/>
    <w:rsid w:val="008E58D7"/>
    <w:rsid w:val="008E6B8B"/>
    <w:rsid w:val="008E6C34"/>
    <w:rsid w:val="008E7BF9"/>
    <w:rsid w:val="0090791C"/>
    <w:rsid w:val="00911AFB"/>
    <w:rsid w:val="009156F2"/>
    <w:rsid w:val="00916AD0"/>
    <w:rsid w:val="009345ED"/>
    <w:rsid w:val="00935E68"/>
    <w:rsid w:val="009440B5"/>
    <w:rsid w:val="00961E61"/>
    <w:rsid w:val="00962F1C"/>
    <w:rsid w:val="00964EF4"/>
    <w:rsid w:val="0098118C"/>
    <w:rsid w:val="00983B06"/>
    <w:rsid w:val="00986A0A"/>
    <w:rsid w:val="00991336"/>
    <w:rsid w:val="0099517D"/>
    <w:rsid w:val="0099616B"/>
    <w:rsid w:val="009D092E"/>
    <w:rsid w:val="009F7452"/>
    <w:rsid w:val="00A3664E"/>
    <w:rsid w:val="00A475E0"/>
    <w:rsid w:val="00A62377"/>
    <w:rsid w:val="00A633BA"/>
    <w:rsid w:val="00A64F3D"/>
    <w:rsid w:val="00A65A86"/>
    <w:rsid w:val="00A7435B"/>
    <w:rsid w:val="00A8218F"/>
    <w:rsid w:val="00A9183A"/>
    <w:rsid w:val="00A91C86"/>
    <w:rsid w:val="00A94154"/>
    <w:rsid w:val="00AA6897"/>
    <w:rsid w:val="00AB0F6B"/>
    <w:rsid w:val="00AC5CA7"/>
    <w:rsid w:val="00AD3159"/>
    <w:rsid w:val="00AF2726"/>
    <w:rsid w:val="00AF7969"/>
    <w:rsid w:val="00B1191D"/>
    <w:rsid w:val="00B2597C"/>
    <w:rsid w:val="00B543E4"/>
    <w:rsid w:val="00B60CD6"/>
    <w:rsid w:val="00B6638D"/>
    <w:rsid w:val="00B67302"/>
    <w:rsid w:val="00B752EA"/>
    <w:rsid w:val="00B87BCE"/>
    <w:rsid w:val="00BA4179"/>
    <w:rsid w:val="00BA6036"/>
    <w:rsid w:val="00BA603E"/>
    <w:rsid w:val="00BA6696"/>
    <w:rsid w:val="00BC28AF"/>
    <w:rsid w:val="00BF7780"/>
    <w:rsid w:val="00C02759"/>
    <w:rsid w:val="00C23526"/>
    <w:rsid w:val="00C24AB8"/>
    <w:rsid w:val="00C2607D"/>
    <w:rsid w:val="00C31821"/>
    <w:rsid w:val="00C35FB2"/>
    <w:rsid w:val="00C428E0"/>
    <w:rsid w:val="00C52775"/>
    <w:rsid w:val="00C5338E"/>
    <w:rsid w:val="00C54355"/>
    <w:rsid w:val="00C61B02"/>
    <w:rsid w:val="00C737DA"/>
    <w:rsid w:val="00C8001A"/>
    <w:rsid w:val="00C931E6"/>
    <w:rsid w:val="00CB4A1C"/>
    <w:rsid w:val="00CC49BF"/>
    <w:rsid w:val="00CE3917"/>
    <w:rsid w:val="00CE5D61"/>
    <w:rsid w:val="00CE6DBA"/>
    <w:rsid w:val="00CF1160"/>
    <w:rsid w:val="00CF516B"/>
    <w:rsid w:val="00D0213C"/>
    <w:rsid w:val="00D0644C"/>
    <w:rsid w:val="00D37887"/>
    <w:rsid w:val="00D6099A"/>
    <w:rsid w:val="00D7424E"/>
    <w:rsid w:val="00D84458"/>
    <w:rsid w:val="00DA264A"/>
    <w:rsid w:val="00DB067B"/>
    <w:rsid w:val="00DB3FA0"/>
    <w:rsid w:val="00DB4A8B"/>
    <w:rsid w:val="00DC0150"/>
    <w:rsid w:val="00DC45DC"/>
    <w:rsid w:val="00DD3824"/>
    <w:rsid w:val="00DD5DE0"/>
    <w:rsid w:val="00DE0F6B"/>
    <w:rsid w:val="00DE1B97"/>
    <w:rsid w:val="00DE3C57"/>
    <w:rsid w:val="00DE693E"/>
    <w:rsid w:val="00DE7588"/>
    <w:rsid w:val="00E077B2"/>
    <w:rsid w:val="00E203F1"/>
    <w:rsid w:val="00E34178"/>
    <w:rsid w:val="00E35562"/>
    <w:rsid w:val="00E36F17"/>
    <w:rsid w:val="00E55B76"/>
    <w:rsid w:val="00E77022"/>
    <w:rsid w:val="00E80E61"/>
    <w:rsid w:val="00E84A09"/>
    <w:rsid w:val="00EA111B"/>
    <w:rsid w:val="00EB617A"/>
    <w:rsid w:val="00EB6335"/>
    <w:rsid w:val="00EC01FD"/>
    <w:rsid w:val="00ED1F6D"/>
    <w:rsid w:val="00EE29CC"/>
    <w:rsid w:val="00EF2745"/>
    <w:rsid w:val="00F113BB"/>
    <w:rsid w:val="00F13580"/>
    <w:rsid w:val="00F202F5"/>
    <w:rsid w:val="00F21D42"/>
    <w:rsid w:val="00F4399F"/>
    <w:rsid w:val="00F44841"/>
    <w:rsid w:val="00F61335"/>
    <w:rsid w:val="00F66B99"/>
    <w:rsid w:val="00F77F75"/>
    <w:rsid w:val="00F94E62"/>
    <w:rsid w:val="00FB42C9"/>
    <w:rsid w:val="00FC32C7"/>
    <w:rsid w:val="00FD005D"/>
    <w:rsid w:val="00FD013E"/>
    <w:rsid w:val="00FD5B9C"/>
    <w:rsid w:val="00FE0B4E"/>
    <w:rsid w:val="00FE4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3C8E33"/>
  <w15:chartTrackingRefBased/>
  <w15:docId w15:val="{ECFD3A69-DFDD-CD41-BBBB-4B34879C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24E"/>
    <w:pPr>
      <w:widowControl w:val="0"/>
      <w:jc w:val="both"/>
    </w:pPr>
  </w:style>
  <w:style w:type="paragraph" w:styleId="1">
    <w:name w:val="heading 1"/>
    <w:basedOn w:val="a"/>
    <w:next w:val="a"/>
    <w:link w:val="10"/>
    <w:uiPriority w:val="9"/>
    <w:qFormat/>
    <w:rsid w:val="00C527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527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C527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527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527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527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527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527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527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5277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5277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C5277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5277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5277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5277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5277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5277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5277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527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52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7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527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775"/>
    <w:pPr>
      <w:spacing w:before="160" w:after="160"/>
      <w:jc w:val="center"/>
    </w:pPr>
    <w:rPr>
      <w:i/>
      <w:iCs/>
      <w:color w:val="404040" w:themeColor="text1" w:themeTint="BF"/>
    </w:rPr>
  </w:style>
  <w:style w:type="character" w:customStyle="1" w:styleId="a8">
    <w:name w:val="引用文 (文字)"/>
    <w:basedOn w:val="a0"/>
    <w:link w:val="a7"/>
    <w:uiPriority w:val="29"/>
    <w:rsid w:val="00C52775"/>
    <w:rPr>
      <w:i/>
      <w:iCs/>
      <w:color w:val="404040" w:themeColor="text1" w:themeTint="BF"/>
    </w:rPr>
  </w:style>
  <w:style w:type="paragraph" w:styleId="a9">
    <w:name w:val="List Paragraph"/>
    <w:basedOn w:val="a"/>
    <w:uiPriority w:val="34"/>
    <w:qFormat/>
    <w:rsid w:val="00C52775"/>
    <w:pPr>
      <w:ind w:left="720"/>
      <w:contextualSpacing/>
    </w:pPr>
  </w:style>
  <w:style w:type="character" w:styleId="21">
    <w:name w:val="Intense Emphasis"/>
    <w:basedOn w:val="a0"/>
    <w:uiPriority w:val="21"/>
    <w:qFormat/>
    <w:rsid w:val="00C52775"/>
    <w:rPr>
      <w:i/>
      <w:iCs/>
      <w:color w:val="0F4761" w:themeColor="accent1" w:themeShade="BF"/>
    </w:rPr>
  </w:style>
  <w:style w:type="paragraph" w:styleId="22">
    <w:name w:val="Intense Quote"/>
    <w:basedOn w:val="a"/>
    <w:next w:val="a"/>
    <w:link w:val="23"/>
    <w:uiPriority w:val="30"/>
    <w:qFormat/>
    <w:rsid w:val="00C52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52775"/>
    <w:rPr>
      <w:i/>
      <w:iCs/>
      <w:color w:val="0F4761" w:themeColor="accent1" w:themeShade="BF"/>
    </w:rPr>
  </w:style>
  <w:style w:type="character" w:styleId="24">
    <w:name w:val="Intense Reference"/>
    <w:basedOn w:val="a0"/>
    <w:uiPriority w:val="32"/>
    <w:qFormat/>
    <w:rsid w:val="00C52775"/>
    <w:rPr>
      <w:b/>
      <w:bCs/>
      <w:smallCaps/>
      <w:color w:val="0F4761" w:themeColor="accent1" w:themeShade="BF"/>
      <w:spacing w:val="5"/>
    </w:rPr>
  </w:style>
  <w:style w:type="character" w:styleId="aa">
    <w:name w:val="Hyperlink"/>
    <w:basedOn w:val="a0"/>
    <w:uiPriority w:val="99"/>
    <w:unhideWhenUsed/>
    <w:rsid w:val="00F44841"/>
    <w:rPr>
      <w:color w:val="467886" w:themeColor="hyperlink"/>
      <w:u w:val="single"/>
    </w:rPr>
  </w:style>
  <w:style w:type="character" w:styleId="ab">
    <w:name w:val="FollowedHyperlink"/>
    <w:basedOn w:val="a0"/>
    <w:uiPriority w:val="99"/>
    <w:semiHidden/>
    <w:unhideWhenUsed/>
    <w:rsid w:val="00F44841"/>
    <w:rPr>
      <w:color w:val="96607D" w:themeColor="followedHyperlink"/>
      <w:u w:val="single"/>
    </w:rPr>
  </w:style>
  <w:style w:type="character" w:styleId="ac">
    <w:name w:val="Placeholder Text"/>
    <w:basedOn w:val="a0"/>
    <w:uiPriority w:val="99"/>
    <w:semiHidden/>
    <w:rsid w:val="002F32CF"/>
    <w:rPr>
      <w:color w:val="666666"/>
    </w:rPr>
  </w:style>
  <w:style w:type="paragraph" w:customStyle="1" w:styleId="EndNoteBibliographyTitle">
    <w:name w:val="EndNote Bibliography Title"/>
    <w:basedOn w:val="a"/>
    <w:link w:val="EndNoteBibliographyTitle0"/>
    <w:rsid w:val="00581EDD"/>
    <w:pPr>
      <w:jc w:val="center"/>
    </w:pPr>
    <w:rPr>
      <w:rFonts w:ascii="游明朝" w:eastAsia="游明朝" w:hAnsi="游明朝"/>
      <w:sz w:val="20"/>
    </w:rPr>
  </w:style>
  <w:style w:type="character" w:customStyle="1" w:styleId="EndNoteBibliographyTitle0">
    <w:name w:val="EndNote Bibliography Title (文字)"/>
    <w:basedOn w:val="a0"/>
    <w:link w:val="EndNoteBibliographyTitle"/>
    <w:rsid w:val="00581EDD"/>
    <w:rPr>
      <w:rFonts w:ascii="游明朝" w:eastAsia="游明朝" w:hAnsi="游明朝"/>
      <w:sz w:val="20"/>
    </w:rPr>
  </w:style>
  <w:style w:type="paragraph" w:customStyle="1" w:styleId="EndNoteBibliography">
    <w:name w:val="EndNote Bibliography"/>
    <w:basedOn w:val="a"/>
    <w:link w:val="EndNoteBibliography0"/>
    <w:rsid w:val="00581EDD"/>
    <w:pPr>
      <w:jc w:val="left"/>
    </w:pPr>
    <w:rPr>
      <w:rFonts w:ascii="游明朝" w:eastAsia="游明朝" w:hAnsi="游明朝"/>
      <w:sz w:val="20"/>
    </w:rPr>
  </w:style>
  <w:style w:type="character" w:customStyle="1" w:styleId="EndNoteBibliography0">
    <w:name w:val="EndNote Bibliography (文字)"/>
    <w:basedOn w:val="a0"/>
    <w:link w:val="EndNoteBibliography"/>
    <w:rsid w:val="00581EDD"/>
    <w:rPr>
      <w:rFonts w:ascii="游明朝" w:eastAsia="游明朝" w:hAnsi="游明朝"/>
      <w:sz w:val="20"/>
    </w:rPr>
  </w:style>
  <w:style w:type="character" w:styleId="ad">
    <w:name w:val="Unresolved Mention"/>
    <w:basedOn w:val="a0"/>
    <w:uiPriority w:val="99"/>
    <w:semiHidden/>
    <w:unhideWhenUsed/>
    <w:rsid w:val="00581EDD"/>
    <w:rPr>
      <w:color w:val="605E5C"/>
      <w:shd w:val="clear" w:color="auto" w:fill="E1DFDD"/>
    </w:rPr>
  </w:style>
  <w:style w:type="paragraph" w:styleId="ae">
    <w:name w:val="footer"/>
    <w:basedOn w:val="a"/>
    <w:link w:val="af"/>
    <w:uiPriority w:val="99"/>
    <w:unhideWhenUsed/>
    <w:rsid w:val="00765611"/>
    <w:pPr>
      <w:tabs>
        <w:tab w:val="center" w:pos="4252"/>
        <w:tab w:val="right" w:pos="8504"/>
      </w:tabs>
      <w:snapToGrid w:val="0"/>
    </w:pPr>
  </w:style>
  <w:style w:type="character" w:customStyle="1" w:styleId="af">
    <w:name w:val="フッター (文字)"/>
    <w:basedOn w:val="a0"/>
    <w:link w:val="ae"/>
    <w:uiPriority w:val="99"/>
    <w:rsid w:val="00765611"/>
  </w:style>
  <w:style w:type="character" w:styleId="af0">
    <w:name w:val="page number"/>
    <w:basedOn w:val="a0"/>
    <w:uiPriority w:val="99"/>
    <w:semiHidden/>
    <w:unhideWhenUsed/>
    <w:rsid w:val="00765611"/>
  </w:style>
  <w:style w:type="character" w:styleId="af1">
    <w:name w:val="line number"/>
    <w:basedOn w:val="a0"/>
    <w:uiPriority w:val="99"/>
    <w:semiHidden/>
    <w:unhideWhenUsed/>
    <w:rsid w:val="00765611"/>
  </w:style>
  <w:style w:type="paragraph" w:styleId="af2">
    <w:name w:val="Bibliography"/>
    <w:basedOn w:val="a"/>
    <w:next w:val="a"/>
    <w:uiPriority w:val="37"/>
    <w:unhideWhenUsed/>
    <w:rsid w:val="003E020B"/>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wahara.hlth@tmd.ac.jp" TargetMode="External"/><Relationship Id="rId13" Type="http://schemas.openxmlformats.org/officeDocument/2006/relationships/hyperlink" Target="https://github.com/owid/covid-19-data"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hyperlink" Target="https://github.com/OxCGRT/covid-policy-tracker" TargetMode="External"/><Relationship Id="rId17" Type="http://schemas.openxmlformats.org/officeDocument/2006/relationships/image" Target="media/image2.emf"/><Relationship Id="rId2" Type="http://schemas.openxmlformats.org/officeDocument/2006/relationships/settings" Target="settings.xml"/><Relationship Id="rId16" Type="http://schemas.openxmlformats.org/officeDocument/2006/relationships/image" Target="media/image1.emf"/><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s://www.v-dem.net/data/the-v-dem-dataset/" TargetMode="External"/><Relationship Id="rId5" Type="http://schemas.openxmlformats.org/officeDocument/2006/relationships/endnotes" Target="endnotes.xml"/><Relationship Id="rId15" Type="http://schemas.openxmlformats.org/officeDocument/2006/relationships/hyperlink" Target="https://github.com/denovo2021/EIPSA" TargetMode="External"/><Relationship Id="rId10" Type="http://schemas.openxmlformats.org/officeDocument/2006/relationships/hyperlink" Target="https://github.com/denovo2021/EIPSA."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ithub.com/denovo2021/EIPSA" TargetMode="External"/><Relationship Id="rId14" Type="http://schemas.openxmlformats.org/officeDocument/2006/relationships/hyperlink" Target="https://www.emdat.b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43</Pages>
  <Words>19328</Words>
  <Characters>110173</Characters>
  <Application>Microsoft Office Word</Application>
  <DocSecurity>0</DocSecurity>
  <Lines>918</Lines>
  <Paragraphs>258</Paragraphs>
  <ScaleCrop>false</ScaleCrop>
  <Company/>
  <LinksUpToDate>false</LinksUpToDate>
  <CharactersWithSpaces>129243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dc:creator>
  <cp:keywords/>
  <dc:description/>
  <cp:lastModifiedBy>河原　智樹</cp:lastModifiedBy>
  <cp:revision>109</cp:revision>
  <cp:lastPrinted>2026-05-03T01:33:00Z</cp:lastPrinted>
  <dcterms:created xsi:type="dcterms:W3CDTF">2026-02-14T09:07:00Z</dcterms:created>
  <dcterms:modified xsi:type="dcterms:W3CDTF">2026-05-03T07:41:00Z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id="N0LCjfXp"/&gt;&lt;style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