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C478" w14:textId="7B7B4639" w:rsidR="00660EB9" w:rsidRDefault="00231B98" w:rsidP="00231B98">
      <w:pPr>
        <w:spacing w:line="480" w:lineRule="auto"/>
        <w:jc w:val="center"/>
        <w:rPr>
          <w:rFonts w:ascii="Times New Roman" w:hAnsi="Times New Roman" w:cs="Times New Roman"/>
          <w:b/>
          <w:bCs/>
          <w:sz w:val="24"/>
        </w:rPr>
      </w:pPr>
      <w:r w:rsidRPr="00231B98">
        <w:rPr>
          <w:rFonts w:ascii="Times New Roman" w:hAnsi="Times New Roman" w:cs="Times New Roman"/>
          <w:b/>
          <w:bCs/>
          <w:sz w:val="24"/>
        </w:rPr>
        <w:t>The Stress Test That Changed Nothing: Pre-pandemic Social Cohesion Determined</w:t>
      </w:r>
      <w:r>
        <w:rPr>
          <w:rFonts w:ascii="Times New Roman" w:hAnsi="Times New Roman" w:cs="Times New Roman"/>
          <w:b/>
          <w:bCs/>
          <w:sz w:val="24"/>
        </w:rPr>
        <w:t xml:space="preserve"> </w:t>
      </w:r>
      <w:r w:rsidRPr="00231B98">
        <w:rPr>
          <w:rFonts w:ascii="Times New Roman" w:hAnsi="Times New Roman" w:cs="Times New Roman"/>
          <w:b/>
          <w:bCs/>
          <w:sz w:val="24"/>
        </w:rPr>
        <w:t>Lockdown Strategy but Neither the Virus nor the Response Drove Polarization in</w:t>
      </w:r>
      <w:r>
        <w:rPr>
          <w:rFonts w:ascii="Times New Roman" w:hAnsi="Times New Roman" w:cs="Times New Roman"/>
          <w:b/>
          <w:bCs/>
          <w:sz w:val="24"/>
        </w:rPr>
        <w:t xml:space="preserve"> </w:t>
      </w:r>
      <w:r w:rsidRPr="00231B98">
        <w:rPr>
          <w:rFonts w:ascii="Times New Roman" w:hAnsi="Times New Roman" w:cs="Times New Roman"/>
          <w:b/>
          <w:bCs/>
          <w:sz w:val="24"/>
        </w:rPr>
        <w:t>OECD Nations</w:t>
      </w:r>
    </w:p>
    <w:p w14:paraId="431C72AA" w14:textId="55D6A8BB" w:rsidR="00F44841" w:rsidRPr="00972DD0" w:rsidRDefault="00F44841" w:rsidP="00F44841">
      <w:pPr>
        <w:spacing w:line="480" w:lineRule="auto"/>
        <w:jc w:val="center"/>
        <w:rPr>
          <w:rFonts w:ascii="Times New Roman" w:hAnsi="Times New Roman" w:cs="Times New Roman"/>
          <w:sz w:val="24"/>
        </w:rPr>
      </w:pPr>
      <w:r w:rsidRPr="00972DD0">
        <w:rPr>
          <w:rFonts w:ascii="Times New Roman" w:hAnsi="Times New Roman" w:cs="Times New Roman" w:hint="eastAsia"/>
          <w:sz w:val="24"/>
        </w:rPr>
        <w:t>T</w:t>
      </w:r>
      <w:r w:rsidRPr="00972DD0">
        <w:rPr>
          <w:rFonts w:ascii="Times New Roman" w:hAnsi="Times New Roman" w:cs="Times New Roman"/>
          <w:sz w:val="24"/>
        </w:rPr>
        <w:t>omoki Kawahara</w:t>
      </w:r>
      <w:r w:rsidRPr="0099231C">
        <w:rPr>
          <w:rFonts w:ascii="Times New Roman" w:hAnsi="Times New Roman" w:cs="Times New Roman"/>
          <w:sz w:val="24"/>
          <w:vertAlign w:val="superscript"/>
        </w:rPr>
        <w:t>1</w:t>
      </w:r>
      <w:r w:rsidR="003379E6">
        <w:rPr>
          <w:rFonts w:ascii="Times New Roman" w:hAnsi="Times New Roman" w:cs="Times New Roman"/>
          <w:sz w:val="24"/>
          <w:vertAlign w:val="superscript"/>
        </w:rPr>
        <w:t>, 2</w:t>
      </w:r>
      <w:r w:rsidRPr="00972DD0">
        <w:rPr>
          <w:rFonts w:ascii="Times New Roman" w:hAnsi="Times New Roman" w:cs="Times New Roman"/>
          <w:sz w:val="24"/>
        </w:rPr>
        <w:t xml:space="preserve">, </w:t>
      </w:r>
      <w:r>
        <w:rPr>
          <w:rFonts w:ascii="Times New Roman" w:hAnsi="Times New Roman" w:cs="Times New Roman"/>
          <w:sz w:val="24"/>
        </w:rPr>
        <w:t>MD, PhD</w:t>
      </w:r>
    </w:p>
    <w:p w14:paraId="3567BCA0" w14:textId="77777777" w:rsidR="00F44841" w:rsidRDefault="00F44841" w:rsidP="00F44841">
      <w:pPr>
        <w:spacing w:line="480" w:lineRule="auto"/>
        <w:rPr>
          <w:rFonts w:ascii="Times New Roman" w:eastAsia="Times New Roman" w:hAnsi="Times New Roman" w:cs="Times New Roman"/>
          <w:sz w:val="24"/>
        </w:rPr>
      </w:pPr>
    </w:p>
    <w:p w14:paraId="33D5FE6D" w14:textId="42F4E04E" w:rsidR="00F44841" w:rsidRDefault="00F44841" w:rsidP="00F44841">
      <w:pPr>
        <w:spacing w:line="480" w:lineRule="auto"/>
        <w:rPr>
          <w:rFonts w:ascii="Times New Roman" w:hAnsi="Times New Roman" w:cs="Times New Roman"/>
          <w:sz w:val="24"/>
        </w:rPr>
      </w:pPr>
      <w:r w:rsidRPr="00972DD0">
        <w:rPr>
          <w:rFonts w:ascii="Times New Roman" w:hAnsi="Times New Roman" w:cs="Times New Roman" w:hint="eastAsia"/>
          <w:b/>
          <w:bCs/>
          <w:sz w:val="24"/>
        </w:rPr>
        <w:t>A</w:t>
      </w:r>
      <w:r w:rsidRPr="00972DD0">
        <w:rPr>
          <w:rFonts w:ascii="Times New Roman" w:hAnsi="Times New Roman" w:cs="Times New Roman"/>
          <w:b/>
          <w:bCs/>
          <w:sz w:val="24"/>
        </w:rPr>
        <w:t>ffiliations:</w:t>
      </w:r>
      <w:r w:rsidRPr="00972DD0">
        <w:rPr>
          <w:rFonts w:ascii="Times New Roman" w:hAnsi="Times New Roman" w:cs="Times New Roman"/>
          <w:sz w:val="24"/>
        </w:rPr>
        <w:t xml:space="preserve"> </w:t>
      </w:r>
      <w:r>
        <w:rPr>
          <w:rFonts w:ascii="Times New Roman" w:hAnsi="Times New Roman" w:cs="Times New Roman"/>
          <w:sz w:val="24"/>
        </w:rPr>
        <w:t xml:space="preserve">1: </w:t>
      </w:r>
      <w:r w:rsidRPr="00972DD0">
        <w:rPr>
          <w:rFonts w:ascii="Times New Roman" w:hAnsi="Times New Roman" w:cs="Times New Roman"/>
          <w:sz w:val="24"/>
        </w:rPr>
        <w:t xml:space="preserve">Department of </w:t>
      </w:r>
      <w:r>
        <w:rPr>
          <w:rFonts w:ascii="Times New Roman" w:hAnsi="Times New Roman" w:cs="Times New Roman"/>
          <w:sz w:val="24"/>
        </w:rPr>
        <w:t>Clinical Information Applied Sciences</w:t>
      </w:r>
      <w:r w:rsidRPr="00972DD0">
        <w:rPr>
          <w:rFonts w:ascii="Times New Roman" w:hAnsi="Times New Roman" w:cs="Times New Roman"/>
          <w:sz w:val="24"/>
        </w:rPr>
        <w:t xml:space="preserve">, </w:t>
      </w:r>
      <w:r>
        <w:rPr>
          <w:rFonts w:ascii="Times New Roman" w:hAnsi="Times New Roman" w:cs="Times New Roman"/>
          <w:sz w:val="24"/>
        </w:rPr>
        <w:t>Institute of Science Tokyo</w:t>
      </w:r>
      <w:r w:rsidRPr="00972DD0">
        <w:rPr>
          <w:rFonts w:ascii="Times New Roman" w:hAnsi="Times New Roman" w:cs="Times New Roman"/>
          <w:sz w:val="24"/>
        </w:rPr>
        <w:t>, Tokyo, Japan</w:t>
      </w:r>
      <w:r>
        <w:rPr>
          <w:rFonts w:ascii="Times New Roman" w:hAnsi="Times New Roman" w:cs="Times New Roman"/>
          <w:sz w:val="24"/>
        </w:rPr>
        <w:t xml:space="preserve">. 2: </w:t>
      </w:r>
      <w:r w:rsidRPr="00972DD0">
        <w:rPr>
          <w:rFonts w:ascii="Times New Roman" w:hAnsi="Times New Roman" w:cs="Times New Roman"/>
          <w:sz w:val="24"/>
        </w:rPr>
        <w:t xml:space="preserve">Department of </w:t>
      </w:r>
      <w:r>
        <w:rPr>
          <w:rFonts w:ascii="Times New Roman" w:hAnsi="Times New Roman" w:cs="Times New Roman"/>
          <w:sz w:val="24"/>
        </w:rPr>
        <w:t>Public</w:t>
      </w:r>
      <w:r w:rsidRPr="00972DD0">
        <w:rPr>
          <w:rFonts w:ascii="Times New Roman" w:hAnsi="Times New Roman" w:cs="Times New Roman"/>
          <w:sz w:val="24"/>
        </w:rPr>
        <w:t xml:space="preserve"> Health, </w:t>
      </w:r>
      <w:r>
        <w:rPr>
          <w:rFonts w:ascii="Times New Roman" w:hAnsi="Times New Roman" w:cs="Times New Roman"/>
          <w:sz w:val="24"/>
        </w:rPr>
        <w:t>Institute of Science Tokyo</w:t>
      </w:r>
      <w:r w:rsidRPr="00972DD0">
        <w:rPr>
          <w:rFonts w:ascii="Times New Roman" w:hAnsi="Times New Roman" w:cs="Times New Roman"/>
          <w:sz w:val="24"/>
        </w:rPr>
        <w:t>, Tokyo, Japan</w:t>
      </w:r>
      <w:r>
        <w:rPr>
          <w:rFonts w:ascii="Times New Roman" w:hAnsi="Times New Roman" w:cs="Times New Roman"/>
          <w:sz w:val="24"/>
        </w:rPr>
        <w:t>.</w:t>
      </w:r>
    </w:p>
    <w:p w14:paraId="112F2844" w14:textId="77777777" w:rsidR="00F44841" w:rsidRDefault="00F44841" w:rsidP="00F44841">
      <w:pPr>
        <w:spacing w:line="480" w:lineRule="auto"/>
        <w:rPr>
          <w:rFonts w:ascii="Times New Roman" w:hAnsi="Times New Roman" w:cs="Times New Roman"/>
          <w:sz w:val="24"/>
        </w:rPr>
      </w:pPr>
    </w:p>
    <w:p w14:paraId="58AF590A" w14:textId="1FFB1B1D" w:rsidR="00F44841" w:rsidRDefault="00F44841" w:rsidP="005C61C4">
      <w:pPr>
        <w:spacing w:line="480" w:lineRule="auto"/>
        <w:rPr>
          <w:rFonts w:ascii="Times New Roman" w:hAnsi="Times New Roman" w:cs="Times New Roman" w:hint="eastAsia"/>
          <w:b/>
          <w:bCs/>
          <w:sz w:val="24"/>
        </w:rPr>
        <w:sectPr w:rsidR="00F44841" w:rsidSect="00765611">
          <w:footerReference w:type="even" r:id="rId6"/>
          <w:footerReference w:type="default" r:id="rId7"/>
          <w:pgSz w:w="11906" w:h="16838"/>
          <w:pgMar w:top="1985" w:right="1701" w:bottom="1701" w:left="1701" w:header="851" w:footer="992" w:gutter="0"/>
          <w:lnNumType w:countBy="1" w:restart="continuous"/>
          <w:cols w:space="425"/>
          <w:docGrid w:type="lines" w:linePitch="360"/>
        </w:sectPr>
      </w:pPr>
      <w:r w:rsidRPr="00972DD0">
        <w:rPr>
          <w:rFonts w:ascii="Times New Roman" w:eastAsia="Times New Roman" w:hAnsi="Times New Roman" w:cs="Times New Roman"/>
          <w:b/>
          <w:sz w:val="24"/>
        </w:rPr>
        <w:t>Address Correspondence to:</w:t>
      </w:r>
      <w:r w:rsidRPr="00972DD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Tomoki Kawahara, Assistant Professor, Department of Public Health, Institute of Science Tokyo, </w:t>
      </w:r>
      <w:r w:rsidRPr="00E41ACB">
        <w:rPr>
          <w:rFonts w:ascii="Times New Roman" w:eastAsia="Times New Roman" w:hAnsi="Times New Roman" w:cs="Times New Roman"/>
          <w:sz w:val="24"/>
        </w:rPr>
        <w:t xml:space="preserve">1-5-45 </w:t>
      </w:r>
      <w:proofErr w:type="spellStart"/>
      <w:r w:rsidRPr="00E41ACB">
        <w:rPr>
          <w:rFonts w:ascii="Times New Roman" w:eastAsia="Times New Roman" w:hAnsi="Times New Roman" w:cs="Times New Roman"/>
          <w:sz w:val="24"/>
        </w:rPr>
        <w:t>Yushima</w:t>
      </w:r>
      <w:proofErr w:type="spellEnd"/>
      <w:r w:rsidRPr="00E41ACB">
        <w:rPr>
          <w:rFonts w:ascii="Times New Roman" w:eastAsia="Times New Roman" w:hAnsi="Times New Roman" w:cs="Times New Roman"/>
          <w:sz w:val="24"/>
        </w:rPr>
        <w:t>, Bunkyo-</w:t>
      </w:r>
      <w:proofErr w:type="spellStart"/>
      <w:r w:rsidRPr="00E41ACB">
        <w:rPr>
          <w:rFonts w:ascii="Times New Roman" w:eastAsia="Times New Roman" w:hAnsi="Times New Roman" w:cs="Times New Roman"/>
          <w:sz w:val="24"/>
        </w:rPr>
        <w:t>ku</w:t>
      </w:r>
      <w:proofErr w:type="spellEnd"/>
      <w:r w:rsidRPr="00E41ACB">
        <w:rPr>
          <w:rFonts w:ascii="Times New Roman" w:eastAsia="Times New Roman" w:hAnsi="Times New Roman" w:cs="Times New Roman"/>
          <w:sz w:val="24"/>
        </w:rPr>
        <w:t xml:space="preserve">, Tokyo, 113-8510, Japan. Tel. +81-3-5803-5187, Fax. +81-3-5803-5190, Email: </w:t>
      </w:r>
      <w:hyperlink r:id="rId8" w:history="1">
        <w:r>
          <w:rPr>
            <w:rStyle w:val="aa"/>
            <w:rFonts w:ascii="Times New Roman" w:eastAsia="Times New Roman" w:hAnsi="Times New Roman" w:cs="Times New Roman"/>
            <w:sz w:val="24"/>
          </w:rPr>
          <w:t>aaagcuugggcu</w:t>
        </w:r>
        <w:r w:rsidRPr="0099231C">
          <w:rPr>
            <w:rStyle w:val="aa"/>
            <w:rFonts w:ascii="Times New Roman" w:eastAsia="Times New Roman" w:hAnsi="Times New Roman" w:cs="Times New Roman"/>
            <w:sz w:val="24"/>
          </w:rPr>
          <w:t>@</w:t>
        </w:r>
        <w:r>
          <w:rPr>
            <w:rStyle w:val="aa"/>
            <w:rFonts w:ascii="Times New Roman" w:eastAsia="Times New Roman" w:hAnsi="Times New Roman" w:cs="Times New Roman"/>
            <w:sz w:val="24"/>
          </w:rPr>
          <w:t>gmail.com</w:t>
        </w:r>
      </w:hyperlink>
    </w:p>
    <w:p w14:paraId="21650EDD" w14:textId="77777777" w:rsidR="00660EB9" w:rsidRPr="00660EB9" w:rsidRDefault="00660EB9" w:rsidP="005C61C4">
      <w:pPr>
        <w:spacing w:line="480" w:lineRule="auto"/>
        <w:rPr>
          <w:rFonts w:ascii="Times New Roman" w:hAnsi="Times New Roman" w:cs="Times New Roman"/>
          <w:b/>
          <w:bCs/>
          <w:sz w:val="24"/>
        </w:rPr>
      </w:pPr>
      <w:r w:rsidRPr="00660EB9">
        <w:rPr>
          <w:rFonts w:ascii="Times New Roman" w:hAnsi="Times New Roman" w:cs="Times New Roman"/>
          <w:b/>
          <w:bCs/>
          <w:sz w:val="24"/>
        </w:rPr>
        <w:lastRenderedPageBreak/>
        <w:t>Abstract</w:t>
      </w:r>
    </w:p>
    <w:p w14:paraId="119C746C" w14:textId="3CC18DE6" w:rsidR="00660EB9" w:rsidRDefault="00660EB9" w:rsidP="00231B98">
      <w:pPr>
        <w:spacing w:line="480" w:lineRule="auto"/>
        <w:rPr>
          <w:rFonts w:ascii="Times New Roman" w:hAnsi="Times New Roman" w:cs="Times New Roman"/>
          <w:sz w:val="24"/>
        </w:rPr>
      </w:pPr>
      <w:r w:rsidRPr="00660EB9">
        <w:rPr>
          <w:rFonts w:ascii="Times New Roman" w:hAnsi="Times New Roman" w:cs="Times New Roman"/>
          <w:b/>
          <w:bCs/>
          <w:sz w:val="24"/>
        </w:rPr>
        <w:t>Background:</w:t>
      </w:r>
      <w:r w:rsidRPr="00660EB9">
        <w:rPr>
          <w:rFonts w:ascii="Times New Roman" w:hAnsi="Times New Roman" w:cs="Times New Roman"/>
          <w:sz w:val="24"/>
        </w:rPr>
        <w:t xml:space="preserve"> </w:t>
      </w:r>
      <w:r w:rsidR="00AC5CA7" w:rsidRPr="00AC5CA7">
        <w:rPr>
          <w:rFonts w:ascii="Times New Roman" w:hAnsi="Times New Roman" w:cs="Times New Roman"/>
          <w:sz w:val="24"/>
        </w:rPr>
        <w:t>The Parasite-Stress Theory of Values predicts that infectious disease threats drive societies toward authoritarianism and social division. The COVID-19 pandemic offered an unprecedented test of this hypothesis across developed democracies, yet it remains unclear whether the political disruptions observed during the pandemic were caused by the biological threat, the policy response, or neither — merely surfacing pre-existing structural conditions.</w:t>
      </w:r>
    </w:p>
    <w:p w14:paraId="589C3B59" w14:textId="77777777" w:rsidR="00AC5CA7" w:rsidRDefault="00660EB9" w:rsidP="00231B98">
      <w:pPr>
        <w:spacing w:line="480" w:lineRule="auto"/>
        <w:rPr>
          <w:rFonts w:ascii="Times New Roman" w:hAnsi="Times New Roman" w:cs="Times New Roman"/>
          <w:sz w:val="24"/>
        </w:rPr>
      </w:pPr>
      <w:r w:rsidRPr="00660EB9">
        <w:rPr>
          <w:rFonts w:ascii="Times New Roman" w:hAnsi="Times New Roman" w:cs="Times New Roman"/>
          <w:b/>
          <w:bCs/>
          <w:sz w:val="24"/>
        </w:rPr>
        <w:t>Methods:</w:t>
      </w:r>
      <w:r w:rsidRPr="00660EB9">
        <w:rPr>
          <w:rFonts w:ascii="Times New Roman" w:hAnsi="Times New Roman" w:cs="Times New Roman"/>
          <w:sz w:val="24"/>
        </w:rPr>
        <w:t xml:space="preserve"> </w:t>
      </w:r>
      <w:r w:rsidR="00AC5CA7" w:rsidRPr="00AC5CA7">
        <w:rPr>
          <w:rFonts w:ascii="Times New Roman" w:hAnsi="Times New Roman" w:cs="Times New Roman"/>
          <w:sz w:val="24"/>
        </w:rPr>
        <w:t>We conducted a panel data analysis of 38 OECD countries (2019–2024) integrating three datasets: the Varieties of Democracy Project (V-Dem v15) for social polarization indicators, the EM-DAT International Disaster Database for historical epidemic exposure, and the Oxford COVID-19 Government Response Tracker (</w:t>
      </w:r>
      <w:proofErr w:type="spellStart"/>
      <w:r w:rsidR="00AC5CA7" w:rsidRPr="00AC5CA7">
        <w:rPr>
          <w:rFonts w:ascii="Times New Roman" w:hAnsi="Times New Roman" w:cs="Times New Roman"/>
          <w:sz w:val="24"/>
        </w:rPr>
        <w:t>OxCGRT</w:t>
      </w:r>
      <w:proofErr w:type="spellEnd"/>
      <w:r w:rsidR="00AC5CA7" w:rsidRPr="00AC5CA7">
        <w:rPr>
          <w:rFonts w:ascii="Times New Roman" w:hAnsi="Times New Roman" w:cs="Times New Roman"/>
          <w:sz w:val="24"/>
        </w:rPr>
        <w:t>) via Our World in Data for mortality and lockdown stringency measures. We employed two-way fixed-effects models with first-differenced outcomes and clustered standard errors, supplemented by cross-sectional analyses with robust inference.</w:t>
      </w:r>
    </w:p>
    <w:p w14:paraId="43EE4CA8" w14:textId="78CD8838" w:rsidR="00660EB9" w:rsidRDefault="00660EB9" w:rsidP="00231B98">
      <w:pPr>
        <w:spacing w:line="480" w:lineRule="auto"/>
        <w:rPr>
          <w:rFonts w:ascii="Times New Roman" w:hAnsi="Times New Roman" w:cs="Times New Roman"/>
          <w:sz w:val="24"/>
        </w:rPr>
      </w:pPr>
      <w:r w:rsidRPr="00660EB9">
        <w:rPr>
          <w:rFonts w:ascii="Times New Roman" w:hAnsi="Times New Roman" w:cs="Times New Roman"/>
          <w:b/>
          <w:bCs/>
          <w:sz w:val="24"/>
        </w:rPr>
        <w:t>Results:</w:t>
      </w:r>
      <w:r w:rsidRPr="00660EB9">
        <w:rPr>
          <w:rFonts w:ascii="Times New Roman" w:hAnsi="Times New Roman" w:cs="Times New Roman"/>
          <w:sz w:val="24"/>
        </w:rPr>
        <w:t xml:space="preserve"> </w:t>
      </w:r>
      <w:r w:rsidR="00AC5CA7" w:rsidRPr="00AC5CA7">
        <w:rPr>
          <w:rFonts w:ascii="Times New Roman" w:hAnsi="Times New Roman" w:cs="Times New Roman"/>
          <w:sz w:val="24"/>
        </w:rPr>
        <w:t xml:space="preserve">We report a double null finding. First, COVID-19 mortality did not predict changes in social polarization across OECD nations (p = 0.25). Second, lockdown stringency did not predict increased polarization either; the coefficient was negative and non-significant (p = 0.13), suggesting, if anything, regression to the mean rather than a </w:t>
      </w:r>
      <w:r w:rsidR="00AC5CA7" w:rsidRPr="00AC5CA7">
        <w:rPr>
          <w:rFonts w:ascii="Times New Roman" w:hAnsi="Times New Roman" w:cs="Times New Roman"/>
          <w:sz w:val="24"/>
        </w:rPr>
        <w:lastRenderedPageBreak/>
        <w:t>polarizing effect of coercion. Social cohesion across the OECD has been declining steadily since at least 2010, and the pandemic did not detectably accelerate this trajectory. The primary finding is instead a selection effect: pre-pandemic social cohesion was strongly negatively correlated with subsequent lockdown stringency (r = −0.51, p = 0.001). Cohesive societies — notably Japan and the Nordic countries — achieved compliance voluntarily and adopted lighter restrictions. Polarized societies — including the United States, Italy, and Chile — lacked the social infrastructure for voluntary compliance and resorted to stringent mandates.</w:t>
      </w:r>
    </w:p>
    <w:p w14:paraId="6A280809" w14:textId="175D1087" w:rsidR="00660EB9" w:rsidRDefault="00660EB9" w:rsidP="005C61C4">
      <w:pPr>
        <w:spacing w:line="480" w:lineRule="auto"/>
        <w:rPr>
          <w:rFonts w:ascii="Times New Roman" w:hAnsi="Times New Roman" w:cs="Times New Roman"/>
          <w:b/>
          <w:bCs/>
          <w:sz w:val="24"/>
        </w:rPr>
        <w:sectPr w:rsidR="00660EB9" w:rsidSect="00765611">
          <w:pgSz w:w="11906" w:h="16838"/>
          <w:pgMar w:top="1985" w:right="1701" w:bottom="1701" w:left="1701" w:header="851" w:footer="992" w:gutter="0"/>
          <w:lnNumType w:countBy="1" w:restart="continuous"/>
          <w:cols w:space="425"/>
          <w:docGrid w:type="lines" w:linePitch="360"/>
        </w:sectPr>
      </w:pPr>
      <w:r w:rsidRPr="00660EB9">
        <w:rPr>
          <w:rFonts w:ascii="Times New Roman" w:hAnsi="Times New Roman" w:cs="Times New Roman"/>
          <w:b/>
          <w:bCs/>
          <w:sz w:val="24"/>
        </w:rPr>
        <w:t>Conclusion:</w:t>
      </w:r>
      <w:r w:rsidRPr="00660EB9">
        <w:rPr>
          <w:rFonts w:ascii="Times New Roman" w:hAnsi="Times New Roman" w:cs="Times New Roman"/>
          <w:sz w:val="24"/>
        </w:rPr>
        <w:t xml:space="preserve"> </w:t>
      </w:r>
      <w:r w:rsidR="00AC5CA7" w:rsidRPr="00AC5CA7">
        <w:rPr>
          <w:rFonts w:ascii="Times New Roman" w:hAnsi="Times New Roman" w:cs="Times New Roman"/>
          <w:sz w:val="24"/>
        </w:rPr>
        <w:t>The pandemic served as a stress test that revealed, rather than created, the fractures in OECD democracies. Neither the virus nor the lockdowns drove social polarization; the decline in cohesion is structural and pre-dates COVID-19 by at least a decade. The critical policy variable — lockdown stringency — was itself a product of pre-existing social conditions, not an independent cause of political change. Pandemic preparedness in democracies is ultimately a function of social capital accumulated long before a crisis arrives.</w:t>
      </w:r>
    </w:p>
    <w:p w14:paraId="1A886110" w14:textId="156E52CF" w:rsidR="005C61C4" w:rsidRPr="005C61C4" w:rsidRDefault="005C61C4" w:rsidP="005C61C4">
      <w:pPr>
        <w:spacing w:line="480" w:lineRule="auto"/>
        <w:rPr>
          <w:rFonts w:ascii="Times New Roman" w:hAnsi="Times New Roman" w:cs="Times New Roman"/>
          <w:b/>
          <w:bCs/>
          <w:sz w:val="24"/>
        </w:rPr>
      </w:pPr>
      <w:r w:rsidRPr="005C61C4">
        <w:rPr>
          <w:rFonts w:ascii="Times New Roman" w:hAnsi="Times New Roman" w:cs="Times New Roman"/>
          <w:b/>
          <w:bCs/>
          <w:sz w:val="24"/>
        </w:rPr>
        <w:lastRenderedPageBreak/>
        <w:t>Introduction</w:t>
      </w:r>
    </w:p>
    <w:p w14:paraId="39D539A3" w14:textId="27EC5182" w:rsidR="00AC5CA7" w:rsidRPr="00AC5CA7" w:rsidRDefault="00AC5CA7" w:rsidP="00AC5CA7">
      <w:pPr>
        <w:spacing w:line="480" w:lineRule="auto"/>
        <w:rPr>
          <w:rFonts w:ascii="Times New Roman" w:hAnsi="Times New Roman" w:cs="Times New Roman"/>
          <w:sz w:val="24"/>
        </w:rPr>
      </w:pPr>
      <w:r w:rsidRPr="00AC5CA7">
        <w:rPr>
          <w:rFonts w:ascii="Times New Roman" w:hAnsi="Times New Roman" w:cs="Times New Roman"/>
          <w:sz w:val="24"/>
        </w:rPr>
        <w:t>The relationship between infectious disease and political authoritarianism is among the most provocative hypotheses in evolutionary political psychology. The Parasite-Stress Theory of Values, advanced by Thornhill and Fincher (2014)</w:t>
      </w:r>
      <w:r w:rsidR="00C2607D">
        <w:rPr>
          <w:rFonts w:ascii="Times New Roman" w:hAnsi="Times New Roman" w:cs="Times New Roman"/>
          <w:sz w:val="24"/>
        </w:rPr>
        <w:t xml:space="preserve">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&lt;EndNote&gt;&lt;Cite&gt;&lt;Author&gt;Thornhill&lt;/Author&gt;&lt;Year&gt;2014&lt;/Year&gt;&lt;RecNum&gt;1087&lt;/RecNum&gt;&lt;DisplayText&gt;(1)&lt;/DisplayText&gt;&lt;record&gt;&lt;rec-number&gt;1087&lt;/rec-number&gt;&lt;foreign-keys&gt;&lt;key app="EN" db-id="05x9axpzsz5twaew5s0500tr90zzfepxexte" timestamp="1771127831"&gt;1087&lt;/key&gt;&lt;/foreign-keys&gt;&lt;ref-type name="Book"&gt;6&lt;/ref-type&gt;&lt;contributors&gt;&lt;authors&gt;&lt;author&gt;Thornhill, Randy&lt;/author&gt;&lt;author&gt;Fincher, Corey L.&lt;/author&gt;&lt;/authors&gt;&lt;/contributors&gt;&lt;titles&gt;&lt;title&gt;The Parasite-Stress Theory of Values and Sociality&lt;/title&gt;&lt;/titles&gt;&lt;dates&gt;&lt;year&gt;2014&lt;/year&gt;&lt;/dates&gt;&lt;isbn&gt;978-3-319-08039-0&amp;#xD;978-3-319-08040-6&lt;/isbn&gt;&lt;urls&gt;&lt;/urls&gt;&lt;electronic-resource-num&gt;10.1007/978-3-319-08040-6&lt;/electronic-resource-num&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w:t>
      </w:r>
      <w:r w:rsidR="00E35562">
        <w:rPr>
          <w:rFonts w:ascii="Times New Roman" w:hAnsi="Times New Roman" w:cs="Times New Roman"/>
          <w:sz w:val="24"/>
        </w:rPr>
        <w:fldChar w:fldCharType="end"/>
      </w:r>
      <w:r w:rsidRPr="00AC5CA7">
        <w:rPr>
          <w:rFonts w:ascii="Times New Roman" w:hAnsi="Times New Roman" w:cs="Times New Roman"/>
          <w:sz w:val="24"/>
        </w:rPr>
        <w:t>, posits that societies historically exposed to high pathogen prevalence develop stronger in-group conformity, reduced openness to outsiders, and greater deference to authority — behavioral adaptations that limit contagion at the cost of individual liberty. Cross-national evidence has been cited in support of this framework: regions with higher parasite stress tend to exhibit more authoritarian governance, greater ethnocentrism, and reduced interpersonal trust</w:t>
      </w:r>
      <w:r w:rsidR="00C2607D">
        <w:rPr>
          <w:rFonts w:ascii="Times New Roman" w:hAnsi="Times New Roman" w:cs="Times New Roman"/>
          <w:sz w:val="24"/>
        </w:rPr>
        <w:t xml:space="preserve">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&lt;EndNote&gt;&lt;Cite&gt;&lt;Author&gt;Murray&lt;/Author&gt;&lt;Year&gt;2009&lt;/Year&gt;&lt;RecNum&gt;1119&lt;/RecNum&gt;&lt;DisplayText&gt;(1, 2)&lt;/DisplayText&gt;&lt;record&gt;&lt;rec-number&gt;1119&lt;/rec-number&gt;&lt;foreign-keys&gt;&lt;key app="EN" db-id="05x9axpzsz5twaew5s0500tr90zzfepxexte" timestamp="1771209737"&gt;1119&lt;/key&gt;&lt;/foreign-keys&gt;&lt;ref-type name="Journal Article"&gt;17&lt;/ref-type&gt;&lt;contributors&gt;&lt;authors&gt;&lt;author&gt;Murray, Damian R.&lt;/author&gt;&lt;author&gt;Schaller, Mark&lt;/author&gt;&lt;/authors&gt;&lt;/contributors&gt;&lt;titles&gt;&lt;title&gt;Historical Prevalence of Infectious Diseases Within 230 Geopolitical Regions: A Tool for Investigating Origins of Culture&lt;/title&gt;&lt;secondary-title&gt;Journal of Cross-Cultural Psychology&lt;/secondary-title&gt;&lt;/titles&gt;&lt;periodical&gt;&lt;full-title&gt;Journal of Cross-Cultural Psychology&lt;/full-title&gt;&lt;/periodical&gt;&lt;pages&gt;99-108&lt;/pages&gt;&lt;volume&gt;41&lt;/volume&gt;&lt;number&gt;1&lt;/number&gt;&lt;section&gt;99&lt;/section&gt;&lt;dates&gt;&lt;year&gt;2009&lt;/year&gt;&lt;/dates&gt;&lt;isbn&gt;0022-0221&amp;#xD;1552-5422&lt;/isbn&gt;&lt;urls&gt;&lt;/urls&gt;&lt;electronic-resource-num&gt;10.1177/0022022109349510&lt;/electronic-resource-num&gt;&lt;/record&gt;&lt;/Cite&gt;&lt;Cite&gt;&lt;Author&gt;Thornhill&lt;/Author&gt;&lt;Year&gt;2014&lt;/Year&gt;&lt;RecNum&gt;1087&lt;/RecNum&gt;&lt;record&gt;&lt;rec-number&gt;1087&lt;/rec-number&gt;&lt;foreign-keys&gt;&lt;key app="EN" db-id="05x9axpzsz5twaew5s0500tr90zzfepxexte" timestamp="1771127831"&gt;1087&lt;/key&gt;&lt;/foreign-keys&gt;&lt;ref-type name="Book"&gt;6&lt;/ref-type&gt;&lt;contributors&gt;&lt;authors&gt;&lt;author&gt;Thornhill, Randy&lt;/author&gt;&lt;author&gt;Fincher, Corey L.&lt;/author&gt;&lt;/authors&gt;&lt;/contributors&gt;&lt;titles&gt;&lt;title&gt;The Parasite-Stress Theory of Values and Sociality&lt;/title&gt;&lt;/titles&gt;&lt;dates&gt;&lt;year&gt;2014&lt;/year&gt;&lt;/dates&gt;&lt;isbn&gt;978-3-319-08039-0&amp;#xD;978-3-319-08040-6&lt;/isbn&gt;&lt;urls&gt;&lt;/urls&gt;&lt;electronic-resource-num&gt;10.1007/978-3-319-08040-6&lt;/electronic-resource-num&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(1, 2)</w:t>
      </w:r>
      <w:r w:rsidR="00E35562">
        <w:rPr>
          <w:rFonts w:ascii="Times New Roman" w:hAnsi="Times New Roman" w:cs="Times New Roman"/>
          <w:sz w:val="24"/>
        </w:rPr>
        <w:fldChar w:fldCharType="end"/>
      </w:r>
      <w:r w:rsidRPr="00AC5CA7">
        <w:rPr>
          <w:rFonts w:ascii="Times New Roman" w:hAnsi="Times New Roman" w:cs="Times New Roman"/>
          <w:sz w:val="24"/>
        </w:rPr>
        <w:t xml:space="preserve">. However, the theory has faced sustained methodological challenge. Hackman and Hruschka (2013)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&lt;EndNote&gt;&lt;Cite&gt;&lt;Author&gt;Currie&lt;/Author&gt;&lt;Year&gt;2012&lt;/Year&gt;&lt;RecNum&gt;1099&lt;/RecNum&gt;&lt;DisplayText&gt;(3)&lt;/DisplayText&gt;&lt;record&gt;&lt;rec-number&gt;1099&lt;/rec-number&gt;&lt;foreign-keys&gt;&lt;key app="EN" db-id="05x9axpzsz5twaew5s0500tr90zzfepxexte" timestamp="1771140112"&gt;1099&lt;/key&gt;&lt;/foreign-keys&gt;&lt;ref-type name="Journal Article"&gt;17&lt;/ref-type&gt;&lt;contributors&gt;&lt;authors&gt;&lt;author&gt;Currie, T. E.&lt;/author&gt;&lt;author&gt;Mace, R.&lt;/author&gt;&lt;/authors&gt;&lt;/contributors&gt;&lt;auth-address&gt;Human Evolutionary Ecology Group, Department of Anthropology, University College London, London WC1H 0BW, United Kingdom. t.currie@ucl.ac.uk&lt;/auth-address&gt;&lt;titles&gt;&lt;title&gt;Analyses do not support the parasite-stress theory of human sociality&lt;/title&gt;&lt;secondary-title&gt;Behav Brain Sci&lt;/secondary-title&gt;&lt;/titles&gt;&lt;periodical&gt;&lt;full-title&gt;Behav Brain Sci&lt;/full-title&gt;&lt;/periodical&gt;&lt;pages&gt;83-5&lt;/pages&gt;&lt;volume&gt;35&lt;/volume&gt;&lt;number&gt;2&lt;/number&gt;&lt;edition&gt;20120131&lt;/edition&gt;&lt;keywords&gt;&lt;keyword&gt;Communicable Diseases/*psychology&lt;/keyword&gt;&lt;keyword&gt;*Family Relations&lt;/keyword&gt;&lt;keyword&gt;Humans&lt;/keyword&gt;&lt;keyword&gt;Parasitic Diseases/*psychology&lt;/keyword&gt;&lt;keyword&gt;*Religion and Psychology&lt;/keyword&gt;&lt;keyword&gt;*Social Behavior&lt;/keyword&gt;&lt;keyword&gt;*Stress, Psychological&lt;/keyword&gt;&lt;/keywords&gt;&lt;dates&gt;&lt;year&gt;2012&lt;/year&gt;&lt;pub-dates&gt;&lt;date&gt;Apr&lt;/date&gt;&lt;/pub-dates&gt;&lt;/dates&gt;&lt;isbn&gt;1469-1825 (Electronic)&amp;#xD;0140-525X (Linking)&lt;/isbn&gt;&lt;accession-num&gt;22289294&lt;/accession-num&gt;&lt;urls&gt;&lt;related-urls&gt;&lt;url&gt;https://www.ncbi.nlm.nih.gov/pubmed/22289294&lt;/url&gt;&lt;/related-urls&gt;&lt;/urls&gt;&lt;electronic-resource-num&gt;10.1017/S0140525X11000963&lt;/electronic-resource-num&gt;&lt;remote-database-name&gt;Medline&lt;/remote-database-name&gt;&lt;remote-database-provider&gt;NLM&lt;/remote-database-provider&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(3)</w:t>
      </w:r>
      <w:r w:rsidR="00E35562">
        <w:rPr>
          <w:rFonts w:ascii="Times New Roman" w:hAnsi="Times New Roman" w:cs="Times New Roman"/>
          <w:sz w:val="24"/>
        </w:rPr>
        <w:fldChar w:fldCharType="end"/>
      </w:r>
      <w:r w:rsidR="00C2607D">
        <w:rPr>
          <w:rFonts w:ascii="Times New Roman" w:hAnsi="Times New Roman" w:cs="Times New Roman"/>
          <w:sz w:val="24"/>
        </w:rPr>
        <w:t xml:space="preserve"> </w:t>
      </w:r>
      <w:r w:rsidRPr="00AC5CA7">
        <w:rPr>
          <w:rFonts w:ascii="Times New Roman" w:hAnsi="Times New Roman" w:cs="Times New Roman"/>
          <w:sz w:val="24"/>
        </w:rPr>
        <w:t xml:space="preserve">demonstrated that the original statistical analyses do not withstand scrutiny when issues of non-independence and confounding are addressed. Pollet, </w:t>
      </w:r>
      <w:proofErr w:type="spellStart"/>
      <w:r w:rsidRPr="00AC5CA7">
        <w:rPr>
          <w:rFonts w:ascii="Times New Roman" w:hAnsi="Times New Roman" w:cs="Times New Roman"/>
          <w:sz w:val="24"/>
        </w:rPr>
        <w:t>Tybur</w:t>
      </w:r>
      <w:proofErr w:type="spellEnd"/>
      <w:r w:rsidRPr="00AC5CA7">
        <w:rPr>
          <w:rFonts w:ascii="Times New Roman" w:hAnsi="Times New Roman" w:cs="Times New Roman"/>
          <w:sz w:val="24"/>
        </w:rPr>
        <w:t xml:space="preserve">, Frankenhuis, and Rickard (2014)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&lt;EndNote&gt;&lt;Cite&gt;&lt;Author&gt;Pollet&lt;/Author&gt;&lt;Year&gt;2014&lt;/Year&gt;&lt;RecNum&gt;1100&lt;/RecNum&gt;&lt;DisplayText&gt;(4)&lt;/DisplayText&gt;&lt;record&gt;&lt;rec-number&gt;1100&lt;/rec-number&gt;&lt;foreign-keys&gt;&lt;key app="EN" db-id="05x9axpzsz5twaew5s0500tr90zzfepxexte" timestamp="1771140158"&gt;1100&lt;/key&gt;&lt;/foreign-keys&gt;&lt;ref-type name="Journal Article"&gt;17&lt;/ref-type&gt;&lt;contributors&gt;&lt;authors&gt;&lt;author&gt;Pollet, Thomas V.&lt;/author&gt;&lt;author&gt;Tybur, Joshua M.&lt;/author&gt;&lt;author&gt;Frankenhuis, Willem E.&lt;/author&gt;&lt;author&gt;Rickard, Ian J.&lt;/author&gt;&lt;/authors&gt;&lt;/contributors&gt;&lt;titles&gt;&lt;title&gt;What Can Cross-Cultural Correlations Teach Us about Human Nature?&lt;/title&gt;&lt;secondary-title&gt;Human Nature&lt;/secondary-title&gt;&lt;/titles&gt;&lt;periodical&gt;&lt;full-title&gt;Human Nature&lt;/full-title&gt;&lt;/periodical&gt;&lt;pages&gt;410-429&lt;/pages&gt;&lt;volume&gt;25&lt;/volume&gt;&lt;number&gt;3&lt;/number&gt;&lt;section&gt;410&lt;/section&gt;&lt;dates&gt;&lt;year&gt;2014&lt;/year&gt;&lt;/dates&gt;&lt;isbn&gt;1045-6767&amp;#xD;1936-4776&lt;/isbn&gt;&lt;urls&gt;&lt;/urls&gt;&lt;electronic-resource-num&gt;10.1007/s12110-014-9206-3&lt;/electronic-resource-num&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(4)</w:t>
      </w:r>
      <w:r w:rsidR="00E35562">
        <w:rPr>
          <w:rFonts w:ascii="Times New Roman" w:hAnsi="Times New Roman" w:cs="Times New Roman"/>
          <w:sz w:val="24"/>
        </w:rPr>
        <w:fldChar w:fldCharType="end"/>
      </w:r>
      <w:r w:rsidR="00C2607D">
        <w:rPr>
          <w:rFonts w:ascii="Times New Roman" w:hAnsi="Times New Roman" w:cs="Times New Roman"/>
          <w:sz w:val="24"/>
        </w:rPr>
        <w:t xml:space="preserve"> </w:t>
      </w:r>
      <w:r w:rsidRPr="00AC5CA7">
        <w:rPr>
          <w:rFonts w:ascii="Times New Roman" w:hAnsi="Times New Roman" w:cs="Times New Roman"/>
          <w:sz w:val="24"/>
        </w:rPr>
        <w:t xml:space="preserve">warned that country-level correlations between pathogen prevalence and cultural values suffer from the ecological fallacy, with individual-level effects far weaker than aggregate patterns suggest. And </w:t>
      </w:r>
      <w:proofErr w:type="spellStart"/>
      <w:r w:rsidRPr="00AC5CA7">
        <w:rPr>
          <w:rFonts w:ascii="Times New Roman" w:hAnsi="Times New Roman" w:cs="Times New Roman"/>
          <w:sz w:val="24"/>
        </w:rPr>
        <w:t>Tybur</w:t>
      </w:r>
      <w:proofErr w:type="spellEnd"/>
      <w:r w:rsidRPr="00AC5CA7">
        <w:rPr>
          <w:rFonts w:ascii="Times New Roman" w:hAnsi="Times New Roman" w:cs="Times New Roman"/>
          <w:sz w:val="24"/>
        </w:rPr>
        <w:t xml:space="preserve"> et al. (2016)</w:t>
      </w:r>
      <w:r w:rsidR="00C2607D">
        <w:rPr>
          <w:rFonts w:ascii="Times New Roman" w:hAnsi="Times New Roman" w:cs="Times New Roman"/>
          <w:sz w:val="24"/>
        </w:rPr>
        <w:t xml:space="preserve"> </w:t>
      </w:r>
      <w:r w:rsidR="00E35562">
        <w:rPr>
          <w:rFonts w:ascii="Times New Roman" w:hAnsi="Times New Roman" w:cs="Times New Roman"/>
          <w:sz w:val="24"/>
        </w:rPr>
        <w:fldChar w:fldCharType="begin">
          <w:fldData xml:space="preserve">PEVuZE5vdGU+PENpdGU+PEF1dGhvcj5UeWJ1cjwvQXV0aG9yPjxZZWFyPjIwMTY8L1llYXI+PFJl
Y051bT4xMTAxPC9SZWNOdW0+PERpc3BsYXlUZXh0Pig1KTwvRGlzcGxheVRleHQ+PHJlY29yZD48
cmVjLW51bWJlcj4xMTAxPC9yZWMtbnVtYmVyPjxmb3JlaWduLWtleXM+PGtleSBhcHA9IkVOIiBk
Yi1pZD0iMDV4OWF4cHpzejV0d2FldzVzMDUwMHRyOTB6emZlcHhleHRlIiB0aW1lc3RhbXA9IjE3
NzExNDAxOTkiPjExMDE8L2tleT48L2ZvcmVpZ24ta2V5cz48cmVmLXR5cGUgbmFtZT0iSm91cm5h
bCBBcnRpY2xlIj4xNzwvcmVmLXR5cGU+PGNvbnRyaWJ1dG9ycz48YXV0aG9ycz48YXV0aG9yPlR5
YnVyLCBKb3NodWEgTS48L2F1dGhvcj48YXV0aG9yPkluYmFyLCBZb2VsPC9hdXRob3I+PGF1dGhv
cj5BYXLDuGUsIExlbmU8L2F1dGhvcj48YXV0aG9yPkJhcmNsYXksIFBhdDwvYXV0aG9yPjxhdXRo
b3I+QmFybG93LCBGaW9uYSBLYXRlPC9hdXRob3I+PGF1dGhvcj5kZSBCYXJyYSwgTcOtY2hlw6Fs
PC9hdXRob3I+PGF1dGhvcj5CZWNrZXIsIEQuIFZhdWdobjwvYXV0aG9yPjxhdXRob3I+Qm9yb3Zv
aSwgTGVhaDwvYXV0aG9yPjxhdXRob3I+Q2hvaSwgSW5jaGVvbDwvYXV0aG9yPjxhdXRob3I+Q2hv
aSwgSm9uZyBBbjwvYXV0aG9yPjxhdXRob3I+Q29uc2VkaW5lLCBOYXRoYW4gUy48L2F1dGhvcj48
YXV0aG9yPkNvbndheSwgQWxhbjwvYXV0aG9yPjxhdXRob3I+Q29ud2F5LCBKYW5lIFJlYmVjY2E8
L2F1dGhvcj48YXV0aG9yPkNvbndheSwgUGF1bDwvYXV0aG9yPjxhdXRob3I+QWRvcmljLCBWZXJh
IEN1YmVsYTwvYXV0aG9yPjxhdXRob3I+RGVtaXJjaSwgRGlsYXJhIEVraW48L2F1dGhvcj48YXV0
aG9yPkZlcm7DoW5kZXosIEFuYSBNYXLDrWE8L2F1dGhvcj48YXV0aG9yPkZlcnJlaXJhLCBEaW9n
byBDb25xdWUgU2VjbzwvYXV0aG9yPjxhdXRob3I+SXNoaWksIEtlaWtvPC9hdXRob3I+PGF1dGhv
cj5KYWvFoWnEhywgSXZhbmE8L2F1dGhvcj48YXV0aG9yPkppLCBUaW5ndGluZzwvYXV0aG9yPjxh
dXRob3I+dmFuIExlZXV3ZW4sIEZsb3JpYW48L2F1dGhvcj48YXV0aG9yPkxld2lzLCBEYXZpZCBN
LiBHLjwvYXV0aG9yPjxhdXRob3I+TGksIE5vcm1hbiBQLjwvYXV0aG9yPjxhdXRob3I+TWNJbnR5
cmUsIEphc29uIEMuPC9hdXRob3I+PGF1dGhvcj5NdWtoZXJqZWUsIFN1bWl0YXZhPC9hdXRob3I+
PGF1dGhvcj5QYXJrLCBKdXN0aW4gSC48L2F1dGhvcj48YXV0aG9yPlBhd2xvd3NraSwgQm9ndXNs
YXc8L2F1dGhvcj48YXV0aG9yPlBldGVyc2VuLCBNaWNoYWVsIEJhbmc8L2F1dGhvcj48YXV0aG9y
PlBpemFycm8sIERhdmlkPC9hdXRob3I+PGF1dGhvcj5Qcm9kcm9taXRpcywgR2VyYXNpbW9zPC9h
dXRob3I+PGF1dGhvcj5Qcm9rb3AsIFBhdm9sPC9hdXRob3I+PGF1dGhvcj5SYW50YWxhLCBNYXJr
dXMgSi48L2F1dGhvcj48YXV0aG9yPlJleW5vbGRzLCBMaXNhIE0uPC9hdXRob3I+PGF1dGhvcj5T
YW5kaW4sIEJvbmlmYWNpbzwvYXV0aG9yPjxhdXRob3I+U2V2aSwgQmFyacWfPC9hdXRob3I+PGF1
dGhvcj5EZSBTbWV0LCBEZWxwaGluZTwvYXV0aG9yPjxhdXRob3I+U3Jpbml2YXNhbiwgTmFyYXlh
bmFuPC9hdXRob3I+PGF1dGhvcj5UZXdhcmksIFNocnV0aTwvYXV0aG9yPjxhdXRob3I+V2lsc29u
LCBDYW1lcm9uPC9hdXRob3I+PGF1dGhvcj5Zb25nLCBKb3NlIEMuPC9hdXRob3I+PGF1dGhvcj7F
vWXFvmVsaiwgSXJpczwvYXV0aG9yPjwvYXV0aG9ycz48L2NvbnRyaWJ1dG9ycz48dGl0bGVzPjx0
aXRsZT5QYXJhc2l0ZSBzdHJlc3MgYW5kIHBhdGhvZ2VuIGF2b2lkYW5jZSByZWxhdGUgdG8gZGlz
dGluY3QgZGltZW5zaW9ucyBvZiBwb2xpdGljYWwgaWRlb2xvZ3kgYWNyb3NzIDMwIG5hdGlvbnM8
L3RpdGxlPjxzZWNvbmRhcnktdGl0bGU+UHJvY2VlZGluZ3Mgb2YgdGhlIE5hdGlvbmFsIEFjYWRl
bXkgb2YgU2NpZW5jZXM8L3NlY29uZGFyeS10aXRsZT48L3RpdGxlcz48cGVyaW9kaWNhbD48ZnVs
bC10aXRsZT5Qcm9jZWVkaW5ncyBvZiB0aGUgTmF0aW9uYWwgQWNhZGVteSBvZiBTY2llbmNlczwv
ZnVsbC10aXRsZT48L3BlcmlvZGljYWw+PHBhZ2VzPjEyNDA4LTEyNDEzPC9wYWdlcz48dm9sdW1l
PjExMzwvdm9sdW1lPjxudW1iZXI+NDQ8L251bWJlcj48c2VjdGlvbj4xMjQwODwvc2VjdGlvbj48
ZGF0ZXM+PHllYXI+MjAxNjwveWVhcj48L2RhdGVzPjxpc2JuPjAwMjctODQyNCYjeEQ7MTA5MS02
NDkwPC9pc2JuPjx1cmxzPjwvdXJscz48ZWxlY3Ryb25pYy1yZXNvdXJjZS1udW0+MTAuMTA3My9w
bmFzLjE2MDczOTgxMTM8L2VsZWN0cm9uaWMtcmVzb3VyY2UtbnVtPjwvcmVjb3JkPjwvQ2l0ZT48
L0VuZE5vdGU+
</w:fldData>
        </w:fldChar>
      </w:r>
      <w:r w:rsidR="00E35562">
        <w:rPr>
          <w:rFonts w:ascii="Times New Roman" w:hAnsi="Times New Roman" w:cs="Times New Roman"/>
          <w:sz w:val="24"/>
        </w:rPr>
        <w:instrText xml:space="preserve"> ADDIN EN.CITE </w:instrText>
      </w:r>
      <w:r w:rsidR="00E35562">
        <w:rPr>
          <w:rFonts w:ascii="Times New Roman" w:hAnsi="Times New Roman" w:cs="Times New Roman"/>
          <w:sz w:val="24"/>
        </w:rPr>
        <w:fldChar w:fldCharType="begin">
          <w:fldData xml:space="preserve">PEVuZE5vdGU+PENpdGU+PEF1dGhvcj5UeWJ1cjwvQXV0aG9yPjxZZWFyPjIwMTY8L1llYXI+PFJl
Y051bT4xMTAxPC9SZWNOdW0+PERpc3BsYXlUZXh0Pig1KTwvRGlzcGxheVRleHQ+PHJlY29yZD48
cmVjLW51bWJlcj4xMTAxPC9yZWMtbnVtYmVyPjxmb3JlaWduLWtleXM+PGtleSBhcHA9IkVOIiBk
Yi1pZD0iMDV4OWF4cHpzejV0d2FldzVzMDUwMHRyOTB6emZlcHhleHRlIiB0aW1lc3RhbXA9IjE3
NzExNDAxOTkiPjExMDE8L2tleT48L2ZvcmVpZ24ta2V5cz48cmVmLXR5cGUgbmFtZT0iSm91cm5h
bCBBcnRpY2xlIj4xNzwvcmVmLXR5cGU+PGNvbnRyaWJ1dG9ycz48YXV0aG9ycz48YXV0aG9yPlR5
YnVyLCBKb3NodWEgTS48L2F1dGhvcj48YXV0aG9yPkluYmFyLCBZb2VsPC9hdXRob3I+PGF1dGhv
cj5BYXLDuGUsIExlbmU8L2F1dGhvcj48YXV0aG9yPkJhcmNsYXksIFBhdDwvYXV0aG9yPjxhdXRo
b3I+QmFybG93LCBGaW9uYSBLYXRlPC9hdXRob3I+PGF1dGhvcj5kZSBCYXJyYSwgTcOtY2hlw6Fs
PC9hdXRob3I+PGF1dGhvcj5CZWNrZXIsIEQuIFZhdWdobjwvYXV0aG9yPjxhdXRob3I+Qm9yb3Zv
aSwgTGVhaDwvYXV0aG9yPjxhdXRob3I+Q2hvaSwgSW5jaGVvbDwvYXV0aG9yPjxhdXRob3I+Q2hv
aSwgSm9uZyBBbjwvYXV0aG9yPjxhdXRob3I+Q29uc2VkaW5lLCBOYXRoYW4gUy48L2F1dGhvcj48
YXV0aG9yPkNvbndheSwgQWxhbjwvYXV0aG9yPjxhdXRob3I+Q29ud2F5LCBKYW5lIFJlYmVjY2E8
L2F1dGhvcj48YXV0aG9yPkNvbndheSwgUGF1bDwvYXV0aG9yPjxhdXRob3I+QWRvcmljLCBWZXJh
IEN1YmVsYTwvYXV0aG9yPjxhdXRob3I+RGVtaXJjaSwgRGlsYXJhIEVraW48L2F1dGhvcj48YXV0
aG9yPkZlcm7DoW5kZXosIEFuYSBNYXLDrWE8L2F1dGhvcj48YXV0aG9yPkZlcnJlaXJhLCBEaW9n
byBDb25xdWUgU2VjbzwvYXV0aG9yPjxhdXRob3I+SXNoaWksIEtlaWtvPC9hdXRob3I+PGF1dGhv
cj5KYWvFoWnEhywgSXZhbmE8L2F1dGhvcj48YXV0aG9yPkppLCBUaW5ndGluZzwvYXV0aG9yPjxh
dXRob3I+dmFuIExlZXV3ZW4sIEZsb3JpYW48L2F1dGhvcj48YXV0aG9yPkxld2lzLCBEYXZpZCBN
LiBHLjwvYXV0aG9yPjxhdXRob3I+TGksIE5vcm1hbiBQLjwvYXV0aG9yPjxhdXRob3I+TWNJbnR5
cmUsIEphc29uIEMuPC9hdXRob3I+PGF1dGhvcj5NdWtoZXJqZWUsIFN1bWl0YXZhPC9hdXRob3I+
PGF1dGhvcj5QYXJrLCBKdXN0aW4gSC48L2F1dGhvcj48YXV0aG9yPlBhd2xvd3NraSwgQm9ndXNs
YXc8L2F1dGhvcj48YXV0aG9yPlBldGVyc2VuLCBNaWNoYWVsIEJhbmc8L2F1dGhvcj48YXV0aG9y
PlBpemFycm8sIERhdmlkPC9hdXRob3I+PGF1dGhvcj5Qcm9kcm9taXRpcywgR2VyYXNpbW9zPC9h
dXRob3I+PGF1dGhvcj5Qcm9rb3AsIFBhdm9sPC9hdXRob3I+PGF1dGhvcj5SYW50YWxhLCBNYXJr
dXMgSi48L2F1dGhvcj48YXV0aG9yPlJleW5vbGRzLCBMaXNhIE0uPC9hdXRob3I+PGF1dGhvcj5T
YW5kaW4sIEJvbmlmYWNpbzwvYXV0aG9yPjxhdXRob3I+U2V2aSwgQmFyacWfPC9hdXRob3I+PGF1
dGhvcj5EZSBTbWV0LCBEZWxwaGluZTwvYXV0aG9yPjxhdXRob3I+U3Jpbml2YXNhbiwgTmFyYXlh
bmFuPC9hdXRob3I+PGF1dGhvcj5UZXdhcmksIFNocnV0aTwvYXV0aG9yPjxhdXRob3I+V2lsc29u
LCBDYW1lcm9uPC9hdXRob3I+PGF1dGhvcj5Zb25nLCBKb3NlIEMuPC9hdXRob3I+PGF1dGhvcj7F
vWXFvmVsaiwgSXJpczwvYXV0aG9yPjwvYXV0aG9ycz48L2NvbnRyaWJ1dG9ycz48dGl0bGVzPjx0
aXRsZT5QYXJhc2l0ZSBzdHJlc3MgYW5kIHBhdGhvZ2VuIGF2b2lkYW5jZSByZWxhdGUgdG8gZGlz
dGluY3QgZGltZW5zaW9ucyBvZiBwb2xpdGljYWwgaWRlb2xvZ3kgYWNyb3NzIDMwIG5hdGlvbnM8
L3RpdGxlPjxzZWNvbmRhcnktdGl0bGU+UHJvY2VlZGluZ3Mgb2YgdGhlIE5hdGlvbmFsIEFjYWRl
bXkgb2YgU2NpZW5jZXM8L3NlY29uZGFyeS10aXRsZT48L3RpdGxlcz48cGVyaW9kaWNhbD48ZnVs
bC10aXRsZT5Qcm9jZWVkaW5ncyBvZiB0aGUgTmF0aW9uYWwgQWNhZGVteSBvZiBTY2llbmNlczwv
ZnVsbC10aXRsZT48L3BlcmlvZGljYWw+PHBhZ2VzPjEyNDA4LTEyNDEzPC9wYWdlcz48dm9sdW1l
PjExMzwvdm9sdW1lPjxudW1iZXI+NDQ8L251bWJlcj48c2VjdGlvbj4xMjQwODwvc2VjdGlvbj48
ZGF0ZXM+PHllYXI+MjAxNjwveWVhcj48L2RhdGVzPjxpc2JuPjAwMjctODQyNCYjeEQ7MTA5MS02
NDkwPC9pc2JuPjx1cmxzPjwvdXJscz48ZWxlY3Ryb25pYy1yZXNvdXJjZS1udW0+MTAuMTA3My9w
bmFzLjE2MDczOTgxMTM8L2VsZWN0cm9uaWMtcmVzb3VyY2UtbnVtPjwvcmVjb3JkPjwvQ2l0ZT48
L0VuZE5vdGU+
</w:fldData>
        </w:fldChar>
      </w:r>
      <w:r w:rsidR="00E35562">
        <w:rPr>
          <w:rFonts w:ascii="Times New Roman" w:hAnsi="Times New Roman" w:cs="Times New Roman"/>
          <w:sz w:val="24"/>
        </w:rPr>
        <w:instrText xml:space="preserve"> ADDIN EN.CITE.DATA </w:instrText>
      </w:r>
      <w:r w:rsidR="00E35562">
        <w:rPr>
          <w:rFonts w:ascii="Times New Roman" w:hAnsi="Times New Roman" w:cs="Times New Roman"/>
          <w:sz w:val="24"/>
        </w:rPr>
      </w:r>
      <w:r w:rsidR="00E35562">
        <w:rPr>
          <w:rFonts w:ascii="Times New Roman" w:hAnsi="Times New Roman" w:cs="Times New Roman"/>
          <w:sz w:val="24"/>
        </w:rPr>
        <w:fldChar w:fldCharType="end"/>
      </w:r>
      <w:r w:rsidR="00E35562">
        <w:rPr>
          <w:rFonts w:ascii="Times New Roman" w:hAnsi="Times New Roman" w:cs="Times New Roman"/>
          <w:sz w:val="24"/>
        </w:rPr>
      </w:r>
      <w:r w:rsidR="00E35562">
        <w:rPr>
          <w:rFonts w:ascii="Times New Roman" w:hAnsi="Times New Roman" w:cs="Times New Roman"/>
          <w:sz w:val="24"/>
        </w:rPr>
        <w:fldChar w:fldCharType="separate"/>
      </w:r>
      <w:r w:rsidR="00E35562">
        <w:rPr>
          <w:rFonts w:ascii="Times New Roman" w:hAnsi="Times New Roman" w:cs="Times New Roman"/>
          <w:noProof/>
          <w:sz w:val="24"/>
        </w:rPr>
        <w:t>(5)</w:t>
      </w:r>
      <w:r w:rsidR="00E35562">
        <w:rPr>
          <w:rFonts w:ascii="Times New Roman" w:hAnsi="Times New Roman" w:cs="Times New Roman"/>
          <w:sz w:val="24"/>
        </w:rPr>
        <w:fldChar w:fldCharType="end"/>
      </w:r>
      <w:r w:rsidRPr="00AC5CA7">
        <w:rPr>
          <w:rFonts w:ascii="Times New Roman" w:hAnsi="Times New Roman" w:cs="Times New Roman"/>
          <w:sz w:val="24"/>
        </w:rPr>
        <w:t xml:space="preserve">, in a 30-nation study, found that pathogen avoidance relates specifically to sexual conservatism rather than to authoritarianism broadly — a far narrower effect than the theory predicts. Nevertheless, when COVID-19 emerged as a global pandemic in early </w:t>
      </w:r>
      <w:r w:rsidRPr="00AC5CA7">
        <w:rPr>
          <w:rFonts w:ascii="Times New Roman" w:hAnsi="Times New Roman" w:cs="Times New Roman"/>
          <w:sz w:val="24"/>
        </w:rPr>
        <w:lastRenderedPageBreak/>
        <w:t xml:space="preserve">2020, the theoretical priors of the parasite-stress framework generated a clear prediction. Scholars warned of an impending wave of "pandemic authoritarianism," in which fear of contagion would accelerate democratic backsliding worldwide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&lt;EndNote&gt;&lt;Cite&gt;&lt;Author&gt;Maerz&lt;/Author&gt;&lt;Year&gt;2020&lt;/Year&gt;&lt;RecNum&gt;1105&lt;/RecNum&gt;&lt;DisplayText&gt;(6, 7)&lt;/DisplayText&gt;&lt;record&gt;&lt;rec-number&gt;1105&lt;/rec-number&gt;&lt;foreign-keys&gt;&lt;key app="EN" db-id="05x9axpzsz5twaew5s0500tr90zzfepxexte" timestamp="1771140554"&gt;1105&lt;/key&gt;&lt;/foreign-keys&gt;&lt;ref-type name="Report"&gt;27&lt;/ref-type&gt;&lt;contributors&gt;&lt;authors&gt;&lt;author&gt;Seraphine F. Maerz&lt;/author&gt;&lt;author&gt;Anna Lührmann&lt;/author&gt;&lt;author&gt;Jean Lachapelle&lt;/author&gt;&lt;author&gt;Amanda B. Edgell&lt;/author&gt;&lt;/authors&gt;&lt;tertiary-authors&gt;&lt;author&gt;V-Dem Working Paper, 110&lt;/author&gt;&lt;/tertiary-authors&gt;&lt;/contributors&gt;&lt;titles&gt;&lt;title&gt;Worth the sacrifice? Illiberal and authoritarian practices during Covid-19&lt;/title&gt;&lt;/titles&gt;&lt;dates&gt;&lt;year&gt;2020&lt;/year&gt;&lt;/dates&gt;&lt;urls&gt;&lt;related-urls&gt;&lt;url&gt;https://www.v-dem.net/media/publications/wp_110_final.pdf&lt;/url&gt;&lt;/related-urls&gt;&lt;/urls&gt;&lt;/record&gt;&lt;/Cite&gt;&lt;Cite&gt;&lt;Author&gt;Thomson&lt;/Author&gt;&lt;Year&gt;2020&lt;/Year&gt;&lt;RecNum&gt;1089&lt;/RecNum&gt;&lt;record&gt;&lt;rec-number&gt;1089&lt;/rec-number&gt;&lt;foreign-keys&gt;&lt;key app="EN" db-id="05x9axpzsz5twaew5s0500tr90zzfepxexte" timestamp="1771128103"&gt;1089&lt;/key&gt;&lt;/foreign-keys&gt;&lt;ref-type name="Journal Article"&gt;17&lt;/ref-type&gt;&lt;contributors&gt;&lt;authors&gt;&lt;author&gt;Thomson, Stephen&lt;/author&gt;&lt;author&gt;Ip, Eric C.&lt;/author&gt;&lt;/authors&gt;&lt;/contributors&gt;&lt;titles&gt;&lt;title&gt;COVID-19 emergency measures and the impending authoritarian pandemic&lt;/title&gt;&lt;secondary-title&gt;Journal of Law and the Biosciences&lt;/secondary-title&gt;&lt;/titles&gt;&lt;periodical&gt;&lt;full-title&gt;Journal of Law and the Biosciences&lt;/full-title&gt;&lt;/periodical&gt;&lt;volume&gt;7&lt;/volume&gt;&lt;number&gt;1&lt;/number&gt;&lt;dates&gt;&lt;year&gt;2020&lt;/year&gt;&lt;/dates&gt;&lt;isbn&gt;2053-9711&lt;/isbn&gt;&lt;urls&gt;&lt;/urls&gt;&lt;electronic-resource-num&gt;10.1093/jlb/lsaa064&lt;/electronic-resource-num&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(6, 7)</w:t>
      </w:r>
      <w:r w:rsidR="00E35562">
        <w:rPr>
          <w:rFonts w:ascii="Times New Roman" w:hAnsi="Times New Roman" w:cs="Times New Roman"/>
          <w:sz w:val="24"/>
        </w:rPr>
        <w:fldChar w:fldCharType="end"/>
      </w:r>
      <w:r w:rsidRPr="00AC5CA7">
        <w:rPr>
          <w:rFonts w:ascii="Times New Roman" w:hAnsi="Times New Roman" w:cs="Times New Roman"/>
          <w:sz w:val="24"/>
        </w:rPr>
        <w:t xml:space="preserve">. The ingredients appeared to be in place: emergency powers were invoked across democracies, civil liberties were curtailed, and executive discretion expanded with minimal legislative oversight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&lt;EndNote&gt;&lt;Cite&gt;&lt;Author&gt;Edgell&lt;/Author&gt;&lt;Year&gt;2021&lt;/Year&gt;&lt;RecNum&gt;1120&lt;/RecNum&gt;&lt;DisplayText&gt;(8)&lt;/DisplayText&gt;&lt;record&gt;&lt;rec-number&gt;1120&lt;/rec-number&gt;&lt;foreign-keys&gt;&lt;key app="EN" db-id="05x9axpzsz5twaew5s0500tr90zzfepxexte" timestamp="1771210467"&gt;1120&lt;/key&gt;&lt;/foreign-keys&gt;&lt;ref-type name="Report"&gt;27&lt;/ref-type&gt;&lt;contributors&gt;&lt;authors&gt;&lt;author&gt;Edgell, A. B.&lt;/author&gt;&lt;author&gt;Grahn, S.&lt;/author&gt;&lt;author&gt;Lachapelle, J.&lt;/author&gt;&lt;author&gt;Lührmann, A.&lt;/author&gt;&lt;author&gt;Maerz, S. F.&lt;/author&gt;&lt;/authors&gt;&lt;/contributors&gt;&lt;titles&gt;&lt;title&gt;An update on pandemic backsliding: Democracy four months after the beginning of the Covid-19 pandemic.&lt;/title&gt;&lt;/titles&gt;&lt;volume&gt;V-Dem Policy Brief, 24&lt;/volume&gt;&lt;dates&gt;&lt;year&gt;2021&lt;/year&gt;&lt;/dates&gt;&lt;publisher&gt;V-Dem Institute, University of Gothenburg.&lt;/publisher&gt;&lt;urls&gt;&lt;related-urls&gt;&lt;url&gt;https://www.v-dem.net/media/publications/v-dem_policybrief-24_update-pandemic-backsliding_200702.pdf&lt;/url&gt;&lt;/related-urls&gt;&lt;/urls&gt;&lt;/record&gt;&lt;/Cite&gt;&lt;/EndNote&gt;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(8)</w:t>
      </w:r>
      <w:r w:rsidR="00E35562">
        <w:rPr>
          <w:rFonts w:ascii="Times New Roman" w:hAnsi="Times New Roman" w:cs="Times New Roman"/>
          <w:sz w:val="24"/>
        </w:rPr>
        <w:fldChar w:fldCharType="end"/>
      </w:r>
      <w:r w:rsidRPr="00AC5CA7">
        <w:rPr>
          <w:rFonts w:ascii="Times New Roman" w:hAnsi="Times New Roman" w:cs="Times New Roman"/>
          <w:sz w:val="24"/>
        </w:rPr>
        <w:t xml:space="preserve">. Freedom House reported that democracy had declined for the fifteenth consecutive year, with pandemic-related restrictions compounding existing authoritarian pressures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&lt;EndNote&gt;&lt;Cite&gt;&lt;Author&gt;Repucci&lt;/Author&gt;&lt;Year&gt;2021&lt;/Year&gt;&lt;RecNum&gt;1106&lt;/RecNum&gt;&lt;DisplayText&gt;(9)&lt;/DisplayText&gt;&lt;record&gt;&lt;rec-number&gt;1106&lt;/rec-number&gt;&lt;foreign-keys&gt;&lt;key app="EN" db-id="05x9axpzsz5twaew5s0500tr90zzfepxexte" timestamp="1771141856"&gt;1106&lt;/key&gt;&lt;/foreign-keys&gt;&lt;ref-type name="Web Page"&gt;12&lt;/ref-type&gt;&lt;contributors&gt;&lt;authors&gt;&lt;author&gt;Repucci, S.&lt;/author&gt;&lt;author&gt;Slipowitz, A&lt;/author&gt;&lt;/authors&gt;&lt;/contributors&gt;&lt;titles&gt;&lt;title&gt; Freedom in the World 2021: Democracy under siege.&lt;/title&gt;&lt;/titles&gt;&lt;volume&gt;2026&lt;/volume&gt;&lt;number&gt;February, 15&lt;/number&gt;&lt;dates&gt;&lt;year&gt;2021&lt;/year&gt;&lt;/dates&gt;&lt;publisher&gt;Freedom House&lt;/publisher&gt;&lt;urls&gt;&lt;related-urls&gt;&lt;url&gt;https://freedomhouse.org/report/freedom-world/2021/democracy-under-siege&lt;/url&gt;&lt;/related-urls&gt;&lt;/urls&gt;&lt;/record&gt;&lt;/Cite&gt;&lt;/EndNote&gt;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(9)</w:t>
      </w:r>
      <w:r w:rsidR="00E35562">
        <w:rPr>
          <w:rFonts w:ascii="Times New Roman" w:hAnsi="Times New Roman" w:cs="Times New Roman"/>
          <w:sz w:val="24"/>
        </w:rPr>
        <w:fldChar w:fldCharType="end"/>
      </w:r>
      <w:r w:rsidRPr="00AC5CA7">
        <w:rPr>
          <w:rFonts w:ascii="Times New Roman" w:hAnsi="Times New Roman" w:cs="Times New Roman"/>
          <w:sz w:val="24"/>
        </w:rPr>
        <w:t>.</w:t>
      </w:r>
    </w:p>
    <w:p w14:paraId="5BF8875E" w14:textId="2DDA32A4"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Yet the experience of advanced democracies complicates this narrative. Among OECD nations — where institutional safeguards are robust and democratic norms are deeply embedded — the pandemic did not produce the authoritarian consolidation that the parasite-stress framework might have predicted. Democratic backsliding in the developed world was already a subject of scholarly concern before COVID-19, driven by populist mobilization, affective polarization, and declining trust in institutions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&lt;EndNote&gt;&lt;Cite&gt;&lt;Author&gt;Levitsky&lt;/Author&gt;&lt;Year&gt;2018&lt;/Year&gt;&lt;RecNum&gt;1093&lt;/RecNum&gt;&lt;DisplayText&gt;(10, 11)&lt;/DisplayText&gt;&lt;record&gt;&lt;rec-number&gt;1093&lt;/rec-number&gt;&lt;foreign-keys&gt;&lt;key app="EN" db-id="05x9axpzsz5twaew5s0500tr90zzfepxexte" timestamp="1771129261"&gt;1093&lt;/key&gt;&lt;/foreign-keys&gt;&lt;ref-type name="Book"&gt;6&lt;/ref-type&gt;&lt;contributors&gt;&lt;authors&gt;&lt;author&gt;Levitsky, Steven&lt;/author&gt;&lt;author&gt;Ziblatt, Daniel&lt;/author&gt;&lt;/authors&gt;&lt;/contributors&gt;&lt;titles&gt;&lt;title&gt;How democracies die&lt;/title&gt;&lt;/titles&gt;&lt;pages&gt;312 pages&lt;/pages&gt;&lt;edition&gt;First edition.&lt;/edition&gt;&lt;keywords&gt;&lt;keyword&gt;Democracy.&lt;/keyword&gt;&lt;keyword&gt;Political culture.&lt;/keyword&gt;&lt;keyword&gt;Democracy United States.&lt;/keyword&gt;&lt;keyword&gt;Political culture United States.&lt;/keyword&gt;&lt;keyword&gt;United States Politics and government 2017-2021.&lt;/keyword&gt;&lt;/keywords&gt;&lt;dates&gt;&lt;year&gt;2018&lt;/year&gt;&lt;/dates&gt;&lt;pub-location&gt;New York&lt;/pub-location&gt;&lt;publisher&gt;Crown&lt;/publisher&gt;&lt;isbn&gt;9781524762933&amp;#xD;9781524762940&lt;/isbn&gt;&lt;accession-num&gt;20060559&lt;/accession-num&gt;&lt;call-num&gt;JC423 .L4855 2018&lt;/call-num&gt;&lt;urls&gt;&lt;/urls&gt;&lt;/record&gt;&lt;/Cite&gt;&lt;Cite&gt;&lt;Author&gt;Norris&lt;/Author&gt;&lt;Year&gt;2019&lt;/Year&gt;&lt;RecNum&gt;1091&lt;/RecNum&gt;&lt;record&gt;&lt;rec-number&gt;1091&lt;/rec-number&gt;&lt;foreign-keys&gt;&lt;key app="EN" db-id="05x9axpzsz5twaew5s0500tr90zzfepxexte" timestamp="1771129101"&gt;1091&lt;/key&gt;&lt;/foreign-keys&gt;&lt;ref-type name="Book"&gt;6&lt;/ref-type&gt;&lt;contributors&gt;&lt;authors&gt;&lt;author&gt;Norris, Pippa&lt;/author&gt;&lt;author&gt;Inglehart, Ronald&lt;/author&gt;&lt;/authors&gt;&lt;/contributors&gt;&lt;titles&gt;&lt;title&gt;Cultural Backlash&lt;/title&gt;&lt;/titles&gt;&lt;dates&gt;&lt;year&gt;2019&lt;/year&gt;&lt;/dates&gt;&lt;isbn&gt;9781108595841&amp;#xD;9781108426077&amp;#xD;9781108444422&lt;/isbn&gt;&lt;urls&gt;&lt;/urls&gt;&lt;electronic-resource-num&gt;10.1017/9781108595841&lt;/electronic-resource-num&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(10, 11)</w:t>
      </w:r>
      <w:r w:rsidR="00E35562">
        <w:rPr>
          <w:rFonts w:ascii="Times New Roman" w:hAnsi="Times New Roman" w:cs="Times New Roman"/>
          <w:sz w:val="24"/>
        </w:rPr>
        <w:fldChar w:fldCharType="end"/>
      </w:r>
      <w:r w:rsidRPr="00AC5CA7">
        <w:rPr>
          <w:rFonts w:ascii="Times New Roman" w:hAnsi="Times New Roman" w:cs="Times New Roman"/>
          <w:sz w:val="24"/>
        </w:rPr>
        <w:t xml:space="preserve">. Affective polarization — the tendency to view political opponents with hostility independent of policy disagreement — had been rising across Western democracies since the 1980s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&lt;EndNote&gt;&lt;Cite&gt;&lt;Author&gt;Iyengar&lt;/Author&gt;&lt;Year&gt;2019&lt;/Year&gt;&lt;RecNum&gt;1115&lt;/RecNum&gt;&lt;DisplayText&gt;(12)&lt;/DisplayText&gt;&lt;record&gt;&lt;rec-number&gt;1115&lt;/rec-number&gt;&lt;foreign-keys&gt;&lt;key app="EN" db-id="05x9axpzsz5twaew5s0500tr90zzfepxexte" timestamp="1771142279"&gt;1115&lt;/key&gt;&lt;/foreign-keys&gt;&lt;ref-type name="Journal Article"&gt;17&lt;/ref-type&gt;&lt;contributors&gt;&lt;authors&gt;&lt;author&gt;Iyengar, Shanto&lt;/author&gt;&lt;author&gt;Lelkes, Yphtach&lt;/author&gt;&lt;author&gt;Levendusky, Matthew&lt;/author&gt;&lt;author&gt;Malhotra, Neil&lt;/author&gt;&lt;author&gt;Westwood, Sean J.&lt;/author&gt;&lt;/authors&gt;&lt;/contributors&gt;&lt;titles&gt;&lt;title&gt;The Origins and Consequences of Affective Polarization in the United States&lt;/title&gt;&lt;secondary-title&gt;Annual Review of Political Science&lt;/secondary-title&gt;&lt;/titles&gt;&lt;periodical&gt;&lt;full-title&gt;Annual Review of Political Science&lt;/full-title&gt;&lt;/periodical&gt;&lt;pages&gt;129-146&lt;/pages&gt;&lt;volume&gt;22&lt;/volume&gt;&lt;number&gt;1&lt;/number&gt;&lt;section&gt;129&lt;/section&gt;&lt;dates&gt;&lt;year&gt;2019&lt;/year&gt;&lt;/dates&gt;&lt;isbn&gt;1094-2939&amp;#xD;1545-1577&lt;/isbn&gt;&lt;urls&gt;&lt;/urls&gt;&lt;electronic-resource-num&gt;10.1146/annurev-polisci-051117-073034&lt;/electronic-resource-num&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(12)</w:t>
      </w:r>
      <w:r w:rsidR="00E35562">
        <w:rPr>
          <w:rFonts w:ascii="Times New Roman" w:hAnsi="Times New Roman" w:cs="Times New Roman"/>
          <w:sz w:val="24"/>
        </w:rPr>
        <w:fldChar w:fldCharType="end"/>
      </w:r>
      <w:r w:rsidRPr="00AC5CA7">
        <w:rPr>
          <w:rFonts w:ascii="Times New Roman" w:hAnsi="Times New Roman" w:cs="Times New Roman"/>
          <w:sz w:val="24"/>
        </w:rPr>
        <w:t xml:space="preserve">, and Boxell, Gentzkow, and Shapiro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&lt;EndNote&gt;&lt;Cite&gt;&lt;Author&gt;Boxell&lt;/Author&gt;&lt;Year&gt;2024&lt;/Year&gt;&lt;RecNum&gt;1121&lt;/RecNum&gt;&lt;DisplayText&gt;(13)&lt;/DisplayText&gt;&lt;record&gt;&lt;rec-number&gt;1121&lt;/rec-number&gt;&lt;foreign-keys&gt;&lt;key app="EN" db-id="05x9axpzsz5twaew5s0500tr90zzfepxexte" timestamp="1771210842"&gt;1121&lt;/key&gt;&lt;/foreign-keys&gt;&lt;ref-type name="Journal Article"&gt;17&lt;/ref-type&gt;&lt;contributors&gt;&lt;authors&gt;&lt;author&gt;Boxell, Levi&lt;/author&gt;&lt;author&gt;Gentzkow, Matthew&lt;/author&gt;&lt;author&gt;Shapiro, Jesse M.&lt;/author&gt;&lt;/authors&gt;&lt;/contributors&gt;&lt;titles&gt;&lt;title&gt;Cross-Country Trends in Affective Polarization&lt;/title&gt;&lt;secondary-title&gt;Review of Economics and Statistics&lt;/secondary-title&gt;&lt;/titles&gt;&lt;periodical&gt;&lt;full-title&gt;Review of Economics and Statistics&lt;/full-title&gt;&lt;/periodical&gt;&lt;pages&gt;557-565&lt;/pages&gt;&lt;volume&gt;106&lt;/volume&gt;&lt;number&gt;2&lt;/number&gt;&lt;section&gt;557&lt;/section&gt;&lt;dates&gt;&lt;year&gt;2024&lt;/year&gt;&lt;/dates&gt;&lt;isbn&gt;0034-6535&amp;#xD;1530-9142&lt;/isbn&gt;&lt;urls&gt;&lt;/urls&gt;&lt;electronic-resource-num&gt;10.1162/rest_a_01160&lt;/electronic-resource-num&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(13)</w:t>
      </w:r>
      <w:r w:rsidR="00E35562">
        <w:rPr>
          <w:rFonts w:ascii="Times New Roman" w:hAnsi="Times New Roman" w:cs="Times New Roman"/>
          <w:sz w:val="24"/>
        </w:rPr>
        <w:fldChar w:fldCharType="end"/>
      </w:r>
      <w:r w:rsidRPr="00AC5CA7">
        <w:rPr>
          <w:rFonts w:ascii="Times New Roman" w:hAnsi="Times New Roman" w:cs="Times New Roman"/>
          <w:sz w:val="24"/>
        </w:rPr>
        <w:t xml:space="preserve"> documented its cross-country spread across twelve OECD nations over decades, establishing it as a structural </w:t>
      </w:r>
      <w:r w:rsidRPr="00AC5CA7">
        <w:rPr>
          <w:rFonts w:ascii="Times New Roman" w:hAnsi="Times New Roman" w:cs="Times New Roman"/>
          <w:sz w:val="24"/>
        </w:rPr>
        <w:lastRenderedPageBreak/>
        <w:t>phenomenon long predating the pandemic. The pandemic intersected with these pre-existing trends, but whether it independently accelerated them remains an open empirical question. More precisely: was it the biological threat — the fear of illness and death — that eroded democratic norms? Or was it the policy response — the imposition of lockdowns, curfews, and mandates — that deepened social divisions?</w:t>
      </w:r>
    </w:p>
    <w:p w14:paraId="5F706000" w14:textId="756E250A"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This distinction is consequential but rarely operationalized. Much of the existing literature on COVID-19 and democracy treats the virus and the response as a single exogenous shock, examining composite indices of "pandemic impact" without disentangling mortality from mitigation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&lt;EndNote&gt;&lt;Cite&gt;&lt;Author&gt;Lührmann&lt;/Author&gt;&lt;Year&gt;2019&lt;/Year&gt;&lt;RecNum&gt;1104&lt;/RecNum&gt;&lt;DisplayText&gt;(6, 14)&lt;/DisplayText&gt;&lt;record&gt;&lt;rec-number&gt;1104&lt;/rec-number&gt;&lt;foreign-keys&gt;&lt;key app="EN" db-id="05x9axpzsz5twaew5s0500tr90zzfepxexte" timestamp="1771140308"&gt;1104&lt;/key&gt;&lt;/foreign-keys&gt;&lt;ref-type name="Journal Article"&gt;17&lt;/ref-type&gt;&lt;contributors&gt;&lt;authors&gt;&lt;author&gt;Lührmann, Anna&lt;/author&gt;&lt;author&gt;Lindberg, Staffan I.&lt;/author&gt;&lt;/authors&gt;&lt;/contributors&gt;&lt;titles&gt;&lt;title&gt;A third wave of autocratization is here: what is new about it?&lt;/title&gt;&lt;secondary-title&gt;Democratization&lt;/secondary-title&gt;&lt;/titles&gt;&lt;periodical&gt;&lt;full-title&gt;Democratization&lt;/full-title&gt;&lt;/periodical&gt;&lt;pages&gt;1095-1113&lt;/pages&gt;&lt;volume&gt;26&lt;/volume&gt;&lt;number&gt;7&lt;/number&gt;&lt;section&gt;1095&lt;/section&gt;&lt;dates&gt;&lt;year&gt;2019&lt;/year&gt;&lt;/dates&gt;&lt;isbn&gt;1351-0347&amp;#xD;1743-890X&lt;/isbn&gt;&lt;urls&gt;&lt;/urls&gt;&lt;electronic-resource-num&gt;10.1080/13510347.2019.1582029&lt;/electronic-resource-num&gt;&lt;/record&gt;&lt;/Cite&gt;&lt;Cite&gt;&lt;Author&gt;Maerz&lt;/Author&gt;&lt;Year&gt;2020&lt;/Year&gt;&lt;RecNum&gt;1105&lt;/RecNum&gt;&lt;record&gt;&lt;rec-number&gt;1105&lt;/rec-number&gt;&lt;foreign-keys&gt;&lt;key app="EN" db-id="05x9axpzsz5twaew5s0500tr90zzfepxexte" timestamp="1771140554"&gt;1105&lt;/key&gt;&lt;/foreign-keys&gt;&lt;ref-type name="Report"&gt;27&lt;/ref-type&gt;&lt;contributors&gt;&lt;authors&gt;&lt;author&gt;Seraphine F. Maerz&lt;/author&gt;&lt;author&gt;Anna Lührmann&lt;/author&gt;&lt;author&gt;Jean Lachapelle&lt;/author&gt;&lt;author&gt;Amanda B. Edgell&lt;/author&gt;&lt;/authors&gt;&lt;tertiary-authors&gt;&lt;author&gt;V-Dem Working Paper, 110&lt;/author&gt;&lt;/tertiary-authors&gt;&lt;/contributors&gt;&lt;titles&gt;&lt;title&gt;Worth the sacrifice? Illiberal and authoritarian practices during Covid-19&lt;/title&gt;&lt;/titles&gt;&lt;dates&gt;&lt;year&gt;2020&lt;/year&gt;&lt;/dates&gt;&lt;urls&gt;&lt;related-urls&gt;&lt;url&gt;https://www.v-dem.net/media/publications/wp_110_final.pdf&lt;/url&gt;&lt;/related-urls&gt;&lt;/urls&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(6, 14)</w:t>
      </w:r>
      <w:r w:rsidR="00E35562">
        <w:rPr>
          <w:rFonts w:ascii="Times New Roman" w:hAnsi="Times New Roman" w:cs="Times New Roman"/>
          <w:sz w:val="24"/>
        </w:rPr>
        <w:fldChar w:fldCharType="end"/>
      </w:r>
      <w:r w:rsidRPr="00AC5CA7">
        <w:rPr>
          <w:rFonts w:ascii="Times New Roman" w:hAnsi="Times New Roman" w:cs="Times New Roman"/>
          <w:sz w:val="24"/>
        </w:rPr>
        <w:t xml:space="preserve">. Studies that do differentiate between the two tend to focus on individual-level survey data — attitudes toward democracy, trust in government, compliance behavior </w:t>
      </w:r>
      <w:r w:rsidR="00E35562">
        <w:rPr>
          <w:rFonts w:ascii="Times New Roman" w:hAnsi="Times New Roman" w:cs="Times New Roman"/>
          <w:sz w:val="24"/>
        </w:rPr>
        <w:fldChar w:fldCharType="begin">
          <w:fldData xml:space="preserve">PEVuZE5vdGU+PENpdGU+PEF1dGhvcj5CYXZlbDwvQXV0aG9yPjxZZWFyPjIwMjA8L1llYXI+PFJl
Y051bT4xMTA5PC9SZWNOdW0+PERpc3BsYXlUZXh0PigxNSk8L0Rpc3BsYXlUZXh0PjxyZWNvcmQ+
PHJlYy1udW1iZXI+MTEwOTwvcmVjLW51bWJlcj48Zm9yZWlnbi1rZXlzPjxrZXkgYXBwPSJFTiIg
ZGItaWQ9IjA1eDlheHB6c3o1dHdhZXc1czA1MDB0cjkwenpmZXB4ZXh0ZSIgdGltZXN0YW1wPSIx
NzcxMTQyMDI1Ij4xMTA5PC9rZXk+PC9mb3JlaWduLWtleXM+PHJlZi10eXBlIG5hbWU9IkpvdXJu
YWwgQXJ0aWNsZSI+MTc8L3JlZi10eXBlPjxjb250cmlidXRvcnM+PGF1dGhvcnM+PGF1dGhvcj5C
YXZlbCwgSi4gSi4gVi48L2F1dGhvcj48YXV0aG9yPkJhaWNrZXIsIEsuPC9hdXRob3I+PGF1dGhv
cj5Cb2dnaW8sIFAuIFMuPC9hdXRob3I+PGF1dGhvcj5DYXByYXJvLCBWLjwvYXV0aG9yPjxhdXRo
b3I+Q2ljaG9ja2EsIEEuPC9hdXRob3I+PGF1dGhvcj5DaWthcmEsIE0uPC9hdXRob3I+PGF1dGhv
cj5Dcm9ja2V0dCwgTS4gSi48L2F1dGhvcj48YXV0aG9yPkNydW0sIEEuIEouPC9hdXRob3I+PGF1
dGhvcj5Eb3VnbGFzLCBLLiBNLjwvYXV0aG9yPjxhdXRob3I+RHJ1Y2ttYW4sIEouIE4uPC9hdXRo
b3I+PGF1dGhvcj5EcnVyeSwgSi48L2F1dGhvcj48YXV0aG9yPkR1YmUsIE8uPC9hdXRob3I+PGF1
dGhvcj5FbGxlbWVycywgTi48L2F1dGhvcj48YXV0aG9yPkZpbmtlbCwgRS4gSi48L2F1dGhvcj48
YXV0aG9yPkZvd2xlciwgSi4gSC48L2F1dGhvcj48YXV0aG9yPkdlbGZhbmQsIE0uPC9hdXRob3I+
PGF1dGhvcj5IYW4sIFMuPC9hdXRob3I+PGF1dGhvcj5IYXNsYW0sIFMuIEEuPC9hdXRob3I+PGF1
dGhvcj5KZXR0ZW4sIEouPC9hdXRob3I+PGF1dGhvcj5LaXRheWFtYSwgUy48L2F1dGhvcj48YXV0
aG9yPk1vYmJzLCBELjwvYXV0aG9yPjxhdXRob3I+TmFwcGVyLCBMLiBFLjwvYXV0aG9yPjxhdXRo
b3I+UGFja2VyLCBELiBKLjwvYXV0aG9yPjxhdXRob3I+UGVubnljb29rLCBHLjwvYXV0aG9yPjxh
dXRob3I+UGV0ZXJzLCBFLjwvYXV0aG9yPjxhdXRob3I+UGV0dHksIFIuIEUuPC9hdXRob3I+PGF1
dGhvcj5SYW5kLCBELiBHLjwvYXV0aG9yPjxhdXRob3I+UmVpY2hlciwgUy4gRC48L2F1dGhvcj48
YXV0aG9yPlNjaG5hbGwsIFMuPC9hdXRob3I+PGF1dGhvcj5TaGFyaWZmLCBBLjwvYXV0aG9yPjxh
dXRob3I+U2tpdGthLCBMLiBKLjwvYXV0aG9yPjxhdXRob3I+U21pdGgsIFMuIFMuPC9hdXRob3I+
PGF1dGhvcj5TdW5zdGVpbiwgQy4gUi48L2F1dGhvcj48YXV0aG9yPlRhYnJpLCBOLjwvYXV0aG9y
PjxhdXRob3I+VHVja2VyLCBKLiBBLjwvYXV0aG9yPjxhdXRob3I+TGluZGVuLCBTLiBWLjwvYXV0
aG9yPjxhdXRob3I+TGFuZ2UsIFAuIFYuPC9hdXRob3I+PGF1dGhvcj5XZWVkZW4sIEsuIEEuPC9h
dXRob3I+PGF1dGhvcj5Xb2hsLCBNLiBKLiBBLjwvYXV0aG9yPjxhdXRob3I+WmFraSwgSi48L2F1
dGhvcj48YXV0aG9yPlppb24sIFMuIFIuPC9hdXRob3I+PGF1dGhvcj5XaWxsZXIsIFIuPC9hdXRo
b3I+PC9hdXRob3JzPjwvY29udHJpYnV0b3JzPjxhdXRoLWFkZHJlc3M+RGVwYXJ0bWVudCBvZiBQ
c3ljaG9sb2d5ICZhbXA7IE5ldXJhbCBTY2llbmNlLCBOZXcgWW9yayBVbml2ZXJzaXR5LCBOZXcg
WW9yaywgTlksIFVTQS4gamF5LnZhbmJhdmVsQG55dS5lZHUuJiN4RDtVbml2ZXJzaXR5IG9mIENo
aWNhZ28gSGFycmlzIFNjaG9vbCBvZiBQdWJsaWMgUG9saWN5LCBDaGljYWdvLCBJTCwgVVNBLiYj
eEQ7U29jaWFsIGFuZCBDb2duaXRpdmUgTmV1cm9zY2llbmNlIExhYm9yYXRvcnksIENlbnRlciBm
b3IgSGVhbHRoIGFuZCBCaW9sb2dpY2FsIFNjaWVuY2VzLCBNYWNrZW56aWUgUHJlc2J5dGVyaWFu
IFVuaXZlcnNpdHksIFNhbyBQYXVsbywgQnJhemlsLiYjeEQ7RGVwYXJ0bWVudCBvZiBFY29ub21p
Y3MsIE1pZGRsZXNleCBVbml2ZXJzaXR5IExvbmRvbiwgTG9uZG9uLCBVSy4mI3hEO1NjaG9vbCBv
ZiBQc3ljaG9sb2d5LCBVbml2ZXJzaXR5IG9mIEtlbnQsIEtlbnQsIFVLLiYjeEQ7RGVwYXJ0bWVu
dCBvZiBQc3ljaG9sb2d5LCBOaWNvbGF1cyBDb3Blcm5pY3VzIFVuaXZlcnNpdHksIFRvcnVuLCBQ
b2xhbmQuJiN4RDtEZXBhcnRtZW50IG9mIFBzeWNob2xvZ3ksIEhhcnZhcmQgVW5pdmVyc2l0eSwg
Q2FtYnJpZGdlLCBNQSwgVVNBLiYjeEQ7RGVwYXJ0bWVudCBvZiBQc3ljaG9sb2d5LCBZYWxlIFVu
aXZlcnNpdHksIE5ldyBIYXZlbiwgQ1QsIFVTQS4mI3hEO0RlcGFydG1lbnQgb2YgUHN5Y2hvbG9n
eSwgU3RhbmZvcmQgVW5pdmVyc2l0eSwgU3RhbmZvcmQsIENBLCBVU0EuJiN4RDtEZXBhcnRtZW50
IG9mIFBvbGl0aWNhbCBTY2llbmNlLCBOb3J0aHdlc3Rlcm4gVW5pdmVyc2l0eSwgQ2hpY2Fnbywg
SUwsIFVTQS4mI3hEO0RlcGFydG1lbnQgb2YgU29jaWFsIFBzeWNob2xvZ3ksIFVuaXZlcnNpdHkg
b2YgU3Vzc2V4LCBTdXNzZXgsIFVLLiYjeEQ7RmFjdWx0eSBvZiBTb2NpYWwgU2NpZW5jZXMsIFV0
cmVjaHQgVW5pdmVyc2l0eSwgVXRyZWNodCwgVGhlIE5ldGhlcmxhbmRzLiYjeEQ7RGVwYXJ0bWVu
dCBvZiBQc3ljaG9sb2d5IGFuZCB0aGUgS2VsbG9nZyBTY2hvb2wgb2YgTWFuYWdlbWVudCwgTm9y
dGh3ZXN0ZXJuIFVuaXZlcnNpdHksIENoaWNhZ28sIElMLCBVU0EuJiN4RDtEaXZpc2lvbiBvZiBJ
bmZlY3Rpb3VzIERpc2Vhc2VzIGFuZCBHbG9iYWwgUHVibGljIEhlYWx0aCBhbmQgRGVwYXJ0bWVu
dCBvZiBQb2xpdGljYWwgU2NpZW5jZSwgVW5pdmVyc2l0eSBvZiBDYWxpZm9ybmlhLCBTYW4gRGll
Z28sIFNhbiBEaWVnbywgQ0EsIFVTQS4mI3hEO0RlcGFydG1lbnQgb2YgUHN5Y2hvbG9neSwgVW5p
dmVyc2l0eSBvZiBNYXJ5bGFuZCwgQ29sbGVnZSBQYXJrLCBNRCwgVVNBLiYjeEQ7U2Nob29sIG9m
IFBzeWNob2xvZ2ljYWwgYW5kIENvZ25pdGl2ZSBTY2llbmNlcywgUEtVLUlERy9NY0dvdmVybiBJ
bnN0aXR1dGUgZm9yIEJyYWluIFJlc2VhcmNoLCBQZWtpbmcgVW5pdmVyc2l0eSwgQmVpamluZywg
Q2hpbmEuJiN4RDtVbml2ZXJzaXR5IG9mIFF1ZWVuc2xhbmQsIEJyaXNiYW5lLCBBdXN0cmFsaWEu
JiN4RDtTY2hvb2wgb2YgUHN5Y2hvbG9neSwgVW5pdmVyc2l0eSBvZiBRdWVlbnNsYW5kLCBCcmlz
YmFuZSwgQXVzdHJhbGlhLiYjeEQ7RGVwYXJ0bWVudCBvZiBQc3ljaG9sb2d5LCBVbml2ZXJzaXR5
IG9mIE1pY2hpZ2FuLCBBbm4gQXJib3IsIE1JLCBVU0EuJiN4RDtEZXBhcnRtZW50IG9mIEh1bWFu
aXRpZXMgYW5kIFNvY2lhbCBTY2llbmNlcyBhbmQgQ29tcHV0YXRpb24gYW5kIE5ldXJhbCBTeXN0
ZW1zIFByb2dyYW0sIENhbGlmb3JuaWEgSW5zdGl0dXRlIG9mIFRlY2hub2xvZ3ksIFBhc2FkZW5h
LCBDQSwgVVNBLiYjeEQ7RGVwYXJ0bWVudCBvZiBQc3ljaG9sb2d5IGFuZCBIZWFsdGgsIE1lZGlj
aW5lICZhbXA7IFNvY2lldHkgUHJvZ3JhbSwgTGVoaWdoIFVuaXZlcnNpdHksIEJldGhsZWhlbSwg
UEEsIFVTQS4mI3hEO0RlcGFydG1lbnQgb2YgUHN5Y2hvbG9neSwgTGVoaWdoIFVuaXZlcnNpdHks
IEJldGhsZWhlbSwgUEEsIFVTQS4mI3hEO0hpbGwvTGV2ZW5lIFNjaG9vbHMgb2YgQnVzaW5lc3Ms
IFVuaXZlcnNpdHkgb2YgUmVnaW5hLCBSZWdpbmEsIFNhc2thdGNoZXdhbiwgQ2FuYWRhLiYjeEQ7
U2Nob29sIG9mIEpvdXJuYWxpc20gYW5kIENvbW11bmljYXRpb24sIFVuaXZlcnNpdHkgb2YgT3Jl
Z29uLCBFdWdlbmUsIE9SLCBVU0EuJiN4RDtEZXBhcnRtZW50IG9mIFBzeWNob2xvZ3ksIFRoZSBP
aGlvIFN0YXRlIFVuaXZlcnNpdHksIENvbHVtYnVzLCBPSCwgVVNBLiYjeEQ7U2xvYW4gU2Nob29s
IGFuZCBEZXBhcnRtZW50IG9mIEJyYWluIGFuZCBDb2duaXRpdmUgU2NpZW5jZXMsIE1hc3NhY2h1
c2V0dHMgSW5zdGl0dXRlIG9mIFRlY2hub2xvZ3ksIEJvc3RvbiwgTUEsIFVTQS4mI3hEO1NjaG9v
bCBvZiBQc3ljaG9sb2d5IGFuZCBOZXVyb3NjaWVuY2UsIFVuaXZlcnNpdHkgb2YgU3QuIEFuZHJl
d3MsIFN0IEFuZHJld3MsIFVLLiYjeEQ7RGVwYXJ0bWVudCBvZiBQc3ljaG9sb2d5IFVuaXZlcnNp
dHkgb2YgQ2FtYnJpZGdlLCBDYW1icmlkZ2UsIFVLLiYjeEQ7QmVubmV0dCBJbnN0aXR1dGUgZm9y
IFB1YmxpYyBQb2xpY3ksIFVuaXZlcnNpdHkgb2YgQ2FtYnJpZGdlLCBDYW1icmlkZ2UsIFVLLiYj
eEQ7RGVwYXJ0bWVudCBvZiBQc3ljaG9sb2d5LCBVbml2ZXJzaXR5IG9mIEJyaXRpc2ggQ29sdW1i
aWEsIFZhbmNvdXZlciwgQnJpdGlzaCBDb2x1bWJpYSwgQ2FuYWRhLiYjeEQ7RGVwYXJ0bWVudCBv
ZiBQc3ljaG9sb2d5LCBVbml2ZXJzaXR5IG9mIElsbGlub2lzIGF0IENoaWNhZ28sIENoaWNhZ28s
IElMLCBVU0EuJiN4RDtEZXBhcnRtZW50IG9mIFNvY2lvbG9neSwgVW5pdmVyc2l0eSBvZiBDYWxp
Zm9ybmlhLCBCZXJrZWxleSwgQmVya2VsZXksIENBLCBVU0EuJiN4RDtIYXJ2YXJkIExhdyBTY2hv
b2wsIEhhcnZhcmQgVW5pdmVyc2l0eSwgQ2FtYnJpZGdlLCBNQSwgVW5pdGVkIFN0YXRlcy4mI3hE
O0RlcGFydG1lbnQgb2YgUHN5Y2hvbG9neSwgQ2FybGV0b24gVW5pdmVyc2l0eSwgT3R0YXdhLCBP
bnRhcmlvLCBDYW5hZGEuJiN4RDtEZXBhcnRtZW50IG9mIFBvbGl0aWNzLCBOZXcgWW9yayBVbml2
ZXJzaXR5LCBOZXcgWW9yaywgTlksIFVTQS4mI3hEO0luc3RpdHV0ZSBmb3IgQnJhaW4gYW5kIEJl
aGF2aW9yIEFtc3RlcmRhbSwgRGVwYXJ0bWVudCBvZiBFeHBlcmltZW50YWwgYW5kIEFwcGxpZWQg
UHN5Y2hvbG9neSwgVnJpamUgVW5pdmVyc2l0ZWl0IEFtc3RlcmRhbSwgQW1zdGVyZGFtLCBUaGUg
TmV0aGVybGFuZHMuJiN4RDtEZXBhcnRtZW50IG9mIFNvY2lvbG9neSwgQ29ybmVsbCBVbml2ZXJz
aXR5LCBJdGhhY2EsIE5ZLCBVU0EuJiN4RDtEZXBhcnRtZW50IG9mIFNvY2lvbG9neSwgU3RhbmZv
cmQgVW5pdmVyc2l0eSwgU3RhbmZvcmQsIENBLCBVU0EuIHdpbGxlckBzdGFuZm9yZC5lZHUuPC9h
dXRoLWFkZHJlc3M+PHRpdGxlcz48dGl0bGU+VXNpbmcgc29jaWFsIGFuZCBiZWhhdmlvdXJhbCBz
Y2llbmNlIHRvIHN1cHBvcnQgQ09WSUQtMTkgcGFuZGVtaWMgcmVzcG9uc2U8L3RpdGxlPjxzZWNv
bmRhcnktdGl0bGU+TmF0IEh1bSBCZWhhdjwvc2Vjb25kYXJ5LXRpdGxlPjwvdGl0bGVzPjxwZXJp
b2RpY2FsPjxmdWxsLXRpdGxlPk5hdCBIdW0gQmVoYXY8L2Z1bGwtdGl0bGU+PC9wZXJpb2RpY2Fs
PjxwYWdlcz40NjAtNDcxPC9wYWdlcz48dm9sdW1lPjQ8L3ZvbHVtZT48bnVtYmVyPjU8L251bWJl
cj48ZWRpdGlvbj4yMDIwMDQzMDwvZWRpdGlvbj48a2V5d29yZHM+PGtleXdvcmQ+QWRhcHRhdGlv
biwgUHN5Y2hvbG9naWNhbDwva2V5d29yZD48a2V5d29yZD5CZXRhY29yb25hdmlydXM8L2tleXdv
cmQ+PGtleXdvcmQ+Q292aWQtMTk8L2tleXdvcmQ+PGtleXdvcmQ+Q29tbXVuaWNhYmxlIERpc2Vh
c2UgQ29udHJvbDwva2V5d29yZD48a2V5d29yZD4qQ29yb25hdmlydXM8L2tleXdvcmQ+PGtleXdv
cmQ+Q29yb25hdmlydXMgSW5mZWN0aW9ucy9kaWFnbm9zaXMvZXBpZGVtaW9sb2d5LypwcmV2ZW50
aW9uICZhbXA7IGNvbnRyb2wvdHJhbnNtaXNzaW9uPC9rZXl3b3JkPjxrZXl3b3JkPkRlY2lzaW9u
IE1ha2luZzwva2V5d29yZD48a2V5d29yZD5FcGlkZW1pb2xvZ2ljYWwgTW9uaXRvcmluZzwva2V5
d29yZD48a2V5d29yZD5HbG9iYWwgSGVhbHRoPC9rZXl3b3JkPjxrZXl3b3JkPipIZWFsdGggS25v
d2xlZGdlLCBBdHRpdHVkZXMsIFByYWN0aWNlPC9rZXl3b3JkPjxrZXl3b3JkPipIdW1hbiBBY3Rp
dml0aWVzPC9rZXl3b3JkPjxrZXl3b3JkPkh1bWFuczwva2V5d29yZD48a2V5d29yZD5MZWFkZXJz
aGlwPC9rZXl3b3JkPjxrZXl3b3JkPlBhbmRlbWljcy8qcHJldmVudGlvbiAmYW1wOyBjb250cm9s
PC9rZXl3b3JkPjxrZXl3b3JkPlBuZXVtb25pYSwgVmlyYWwvZXBpZGVtaW9sb2d5LypwcmV2ZW50
aW9uICZhbXA7IGNvbnRyb2wvdHJhbnNtaXNzaW9uPC9rZXl3b3JkPjxrZXl3b3JkPlB1YmxpYyBI
ZWFsdGg8L2tleXdvcmQ+PGtleXdvcmQ+KlF1YXJhbnRpbmU8L2tleXdvcmQ+PGtleXdvcmQ+U0FS
Uy1Db1YtMjwva2V5d29yZD48a2V5d29yZD5Tb2NpYWwgTWVkaWE8L2tleXdvcmQ+PGtleXdvcmQ+
U3RyZXNzLCBQc3ljaG9sb2dpY2FsPC9rZXl3b3JkPjwva2V5d29yZHM+PGRhdGVzPjx5ZWFyPjIw
MjA8L3llYXI+PHB1Yi1kYXRlcz48ZGF0ZT5NYXk8L2RhdGU+PC9wdWItZGF0ZXM+PC9kYXRlcz48
aXNibj4yMzk3LTMzNzQgKEVsZWN0cm9uaWMpJiN4RDsyMzk3LTMzNzQgKExpbmtpbmcpPC9pc2Ju
PjxhY2Nlc3Npb24tbnVtPjMyMzU1Mjk5PC9hY2Nlc3Npb24tbnVtPjx1cmxzPjxyZWxhdGVkLXVy
bHM+PHVybD5odHRwczovL3d3dy5uY2JpLm5sbS5uaWguZ292L3B1Ym1lZC8zMjM1NTI5OTwvdXJs
PjwvcmVsYXRlZC11cmxzPjwvdXJscz48ZWxlY3Ryb25pYy1yZXNvdXJjZS1udW0+MTAuMTAzOC9z
NDE1NjItMDIwLTA4ODQtejwvZWxlY3Ryb25pYy1yZXNvdXJjZS1udW0+PHJlbW90ZS1kYXRhYmFz
ZS1uYW1lPk1lZGxpbmU8L3JlbW90ZS1kYXRhYmFzZS1uYW1lPjxyZW1vdGUtZGF0YWJhc2UtcHJv
dmlkZXI+TkxNPC9yZW1vdGUtZGF0YWJhc2UtcHJvdmlkZXI+PC9yZWNvcmQ+PC9DaXRlPjwvRW5k
Tm90ZT4A
</w:fldData>
        </w:fldChar>
      </w:r>
      <w:r w:rsidR="00E35562">
        <w:rPr>
          <w:rFonts w:ascii="Times New Roman" w:hAnsi="Times New Roman" w:cs="Times New Roman"/>
          <w:sz w:val="24"/>
        </w:rPr>
        <w:instrText xml:space="preserve"> ADDIN EN.CITE </w:instrText>
      </w:r>
      <w:r w:rsidR="00E35562">
        <w:rPr>
          <w:rFonts w:ascii="Times New Roman" w:hAnsi="Times New Roman" w:cs="Times New Roman"/>
          <w:sz w:val="24"/>
        </w:rPr>
        <w:fldChar w:fldCharType="begin">
          <w:fldData xml:space="preserve">PEVuZE5vdGU+PENpdGU+PEF1dGhvcj5CYXZlbDwvQXV0aG9yPjxZZWFyPjIwMjA8L1llYXI+PFJl
Y051bT4xMTA5PC9SZWNOdW0+PERpc3BsYXlUZXh0PigxNSk8L0Rpc3BsYXlUZXh0PjxyZWNvcmQ+
PHJlYy1udW1iZXI+MTEwOTwvcmVjLW51bWJlcj48Zm9yZWlnbi1rZXlzPjxrZXkgYXBwPSJFTiIg
ZGItaWQ9IjA1eDlheHB6c3o1dHdhZXc1czA1MDB0cjkwenpmZXB4ZXh0ZSIgdGltZXN0YW1wPSIx
NzcxMTQyMDI1Ij4xMTA5PC9rZXk+PC9mb3JlaWduLWtleXM+PHJlZi10eXBlIG5hbWU9IkpvdXJu
YWwgQXJ0aWNsZSI+MTc8L3JlZi10eXBlPjxjb250cmlidXRvcnM+PGF1dGhvcnM+PGF1dGhvcj5C
YXZlbCwgSi4gSi4gVi48L2F1dGhvcj48YXV0aG9yPkJhaWNrZXIsIEsuPC9hdXRob3I+PGF1dGhv
cj5Cb2dnaW8sIFAuIFMuPC9hdXRob3I+PGF1dGhvcj5DYXByYXJvLCBWLjwvYXV0aG9yPjxhdXRo
b3I+Q2ljaG9ja2EsIEEuPC9hdXRob3I+PGF1dGhvcj5DaWthcmEsIE0uPC9hdXRob3I+PGF1dGhv
cj5Dcm9ja2V0dCwgTS4gSi48L2F1dGhvcj48YXV0aG9yPkNydW0sIEEuIEouPC9hdXRob3I+PGF1
dGhvcj5Eb3VnbGFzLCBLLiBNLjwvYXV0aG9yPjxhdXRob3I+RHJ1Y2ttYW4sIEouIE4uPC9hdXRo
b3I+PGF1dGhvcj5EcnVyeSwgSi48L2F1dGhvcj48YXV0aG9yPkR1YmUsIE8uPC9hdXRob3I+PGF1
dGhvcj5FbGxlbWVycywgTi48L2F1dGhvcj48YXV0aG9yPkZpbmtlbCwgRS4gSi48L2F1dGhvcj48
YXV0aG9yPkZvd2xlciwgSi4gSC48L2F1dGhvcj48YXV0aG9yPkdlbGZhbmQsIE0uPC9hdXRob3I+
PGF1dGhvcj5IYW4sIFMuPC9hdXRob3I+PGF1dGhvcj5IYXNsYW0sIFMuIEEuPC9hdXRob3I+PGF1
dGhvcj5KZXR0ZW4sIEouPC9hdXRob3I+PGF1dGhvcj5LaXRheWFtYSwgUy48L2F1dGhvcj48YXV0
aG9yPk1vYmJzLCBELjwvYXV0aG9yPjxhdXRob3I+TmFwcGVyLCBMLiBFLjwvYXV0aG9yPjxhdXRo
b3I+UGFja2VyLCBELiBKLjwvYXV0aG9yPjxhdXRob3I+UGVubnljb29rLCBHLjwvYXV0aG9yPjxh
dXRob3I+UGV0ZXJzLCBFLjwvYXV0aG9yPjxhdXRob3I+UGV0dHksIFIuIEUuPC9hdXRob3I+PGF1
dGhvcj5SYW5kLCBELiBHLjwvYXV0aG9yPjxhdXRob3I+UmVpY2hlciwgUy4gRC48L2F1dGhvcj48
YXV0aG9yPlNjaG5hbGwsIFMuPC9hdXRob3I+PGF1dGhvcj5TaGFyaWZmLCBBLjwvYXV0aG9yPjxh
dXRob3I+U2tpdGthLCBMLiBKLjwvYXV0aG9yPjxhdXRob3I+U21pdGgsIFMuIFMuPC9hdXRob3I+
PGF1dGhvcj5TdW5zdGVpbiwgQy4gUi48L2F1dGhvcj48YXV0aG9yPlRhYnJpLCBOLjwvYXV0aG9y
PjxhdXRob3I+VHVja2VyLCBKLiBBLjwvYXV0aG9yPjxhdXRob3I+TGluZGVuLCBTLiBWLjwvYXV0
aG9yPjxhdXRob3I+TGFuZ2UsIFAuIFYuPC9hdXRob3I+PGF1dGhvcj5XZWVkZW4sIEsuIEEuPC9h
dXRob3I+PGF1dGhvcj5Xb2hsLCBNLiBKLiBBLjwvYXV0aG9yPjxhdXRob3I+WmFraSwgSi48L2F1
dGhvcj48YXV0aG9yPlppb24sIFMuIFIuPC9hdXRob3I+PGF1dGhvcj5XaWxsZXIsIFIuPC9hdXRo
b3I+PC9hdXRob3JzPjwvY29udHJpYnV0b3JzPjxhdXRoLWFkZHJlc3M+RGVwYXJ0bWVudCBvZiBQ
c3ljaG9sb2d5ICZhbXA7IE5ldXJhbCBTY2llbmNlLCBOZXcgWW9yayBVbml2ZXJzaXR5LCBOZXcg
WW9yaywgTlksIFVTQS4gamF5LnZhbmJhdmVsQG55dS5lZHUuJiN4RDtVbml2ZXJzaXR5IG9mIENo
aWNhZ28gSGFycmlzIFNjaG9vbCBvZiBQdWJsaWMgUG9saWN5LCBDaGljYWdvLCBJTCwgVVNBLiYj
eEQ7U29jaWFsIGFuZCBDb2duaXRpdmUgTmV1cm9zY2llbmNlIExhYm9yYXRvcnksIENlbnRlciBm
b3IgSGVhbHRoIGFuZCBCaW9sb2dpY2FsIFNjaWVuY2VzLCBNYWNrZW56aWUgUHJlc2J5dGVyaWFu
IFVuaXZlcnNpdHksIFNhbyBQYXVsbywgQnJhemlsLiYjeEQ7RGVwYXJ0bWVudCBvZiBFY29ub21p
Y3MsIE1pZGRsZXNleCBVbml2ZXJzaXR5IExvbmRvbiwgTG9uZG9uLCBVSy4mI3hEO1NjaG9vbCBv
ZiBQc3ljaG9sb2d5LCBVbml2ZXJzaXR5IG9mIEtlbnQsIEtlbnQsIFVLLiYjeEQ7RGVwYXJ0bWVu
dCBvZiBQc3ljaG9sb2d5LCBOaWNvbGF1cyBDb3Blcm5pY3VzIFVuaXZlcnNpdHksIFRvcnVuLCBQ
b2xhbmQuJiN4RDtEZXBhcnRtZW50IG9mIFBzeWNob2xvZ3ksIEhhcnZhcmQgVW5pdmVyc2l0eSwg
Q2FtYnJpZGdlLCBNQSwgVVNBLiYjeEQ7RGVwYXJ0bWVudCBvZiBQc3ljaG9sb2d5LCBZYWxlIFVu
aXZlcnNpdHksIE5ldyBIYXZlbiwgQ1QsIFVTQS4mI3hEO0RlcGFydG1lbnQgb2YgUHN5Y2hvbG9n
eSwgU3RhbmZvcmQgVW5pdmVyc2l0eSwgU3RhbmZvcmQsIENBLCBVU0EuJiN4RDtEZXBhcnRtZW50
IG9mIFBvbGl0aWNhbCBTY2llbmNlLCBOb3J0aHdlc3Rlcm4gVW5pdmVyc2l0eSwgQ2hpY2Fnbywg
SUwsIFVTQS4mI3hEO0RlcGFydG1lbnQgb2YgU29jaWFsIFBzeWNob2xvZ3ksIFVuaXZlcnNpdHkg
b2YgU3Vzc2V4LCBTdXNzZXgsIFVLLiYjeEQ7RmFjdWx0eSBvZiBTb2NpYWwgU2NpZW5jZXMsIFV0
cmVjaHQgVW5pdmVyc2l0eSwgVXRyZWNodCwgVGhlIE5ldGhlcmxhbmRzLiYjeEQ7RGVwYXJ0bWVu
dCBvZiBQc3ljaG9sb2d5IGFuZCB0aGUgS2VsbG9nZyBTY2hvb2wgb2YgTWFuYWdlbWVudCwgTm9y
dGh3ZXN0ZXJuIFVuaXZlcnNpdHksIENoaWNhZ28sIElMLCBVU0EuJiN4RDtEaXZpc2lvbiBvZiBJ
bmZlY3Rpb3VzIERpc2Vhc2VzIGFuZCBHbG9iYWwgUHVibGljIEhlYWx0aCBhbmQgRGVwYXJ0bWVu
dCBvZiBQb2xpdGljYWwgU2NpZW5jZSwgVW5pdmVyc2l0eSBvZiBDYWxpZm9ybmlhLCBTYW4gRGll
Z28sIFNhbiBEaWVnbywgQ0EsIFVTQS4mI3hEO0RlcGFydG1lbnQgb2YgUHN5Y2hvbG9neSwgVW5p
dmVyc2l0eSBvZiBNYXJ5bGFuZCwgQ29sbGVnZSBQYXJrLCBNRCwgVVNBLiYjeEQ7U2Nob29sIG9m
IFBzeWNob2xvZ2ljYWwgYW5kIENvZ25pdGl2ZSBTY2llbmNlcywgUEtVLUlERy9NY0dvdmVybiBJ
bnN0aXR1dGUgZm9yIEJyYWluIFJlc2VhcmNoLCBQZWtpbmcgVW5pdmVyc2l0eSwgQmVpamluZywg
Q2hpbmEuJiN4RDtVbml2ZXJzaXR5IG9mIFF1ZWVuc2xhbmQsIEJyaXNiYW5lLCBBdXN0cmFsaWEu
JiN4RDtTY2hvb2wgb2YgUHN5Y2hvbG9neSwgVW5pdmVyc2l0eSBvZiBRdWVlbnNsYW5kLCBCcmlz
YmFuZSwgQXVzdHJhbGlhLiYjeEQ7RGVwYXJ0bWVudCBvZiBQc3ljaG9sb2d5LCBVbml2ZXJzaXR5
IG9mIE1pY2hpZ2FuLCBBbm4gQXJib3IsIE1JLCBVU0EuJiN4RDtEZXBhcnRtZW50IG9mIEh1bWFu
aXRpZXMgYW5kIFNvY2lhbCBTY2llbmNlcyBhbmQgQ29tcHV0YXRpb24gYW5kIE5ldXJhbCBTeXN0
ZW1zIFByb2dyYW0sIENhbGlmb3JuaWEgSW5zdGl0dXRlIG9mIFRlY2hub2xvZ3ksIFBhc2FkZW5h
LCBDQSwgVVNBLiYjeEQ7RGVwYXJ0bWVudCBvZiBQc3ljaG9sb2d5IGFuZCBIZWFsdGgsIE1lZGlj
aW5lICZhbXA7IFNvY2lldHkgUHJvZ3JhbSwgTGVoaWdoIFVuaXZlcnNpdHksIEJldGhsZWhlbSwg
UEEsIFVTQS4mI3hEO0RlcGFydG1lbnQgb2YgUHN5Y2hvbG9neSwgTGVoaWdoIFVuaXZlcnNpdHks
IEJldGhsZWhlbSwgUEEsIFVTQS4mI3hEO0hpbGwvTGV2ZW5lIFNjaG9vbHMgb2YgQnVzaW5lc3Ms
IFVuaXZlcnNpdHkgb2YgUmVnaW5hLCBSZWdpbmEsIFNhc2thdGNoZXdhbiwgQ2FuYWRhLiYjeEQ7
U2Nob29sIG9mIEpvdXJuYWxpc20gYW5kIENvbW11bmljYXRpb24sIFVuaXZlcnNpdHkgb2YgT3Jl
Z29uLCBFdWdlbmUsIE9SLCBVU0EuJiN4RDtEZXBhcnRtZW50IG9mIFBzeWNob2xvZ3ksIFRoZSBP
aGlvIFN0YXRlIFVuaXZlcnNpdHksIENvbHVtYnVzLCBPSCwgVVNBLiYjeEQ7U2xvYW4gU2Nob29s
IGFuZCBEZXBhcnRtZW50IG9mIEJyYWluIGFuZCBDb2duaXRpdmUgU2NpZW5jZXMsIE1hc3NhY2h1
c2V0dHMgSW5zdGl0dXRlIG9mIFRlY2hub2xvZ3ksIEJvc3RvbiwgTUEsIFVTQS4mI3hEO1NjaG9v
bCBvZiBQc3ljaG9sb2d5IGFuZCBOZXVyb3NjaWVuY2UsIFVuaXZlcnNpdHkgb2YgU3QuIEFuZHJl
d3MsIFN0IEFuZHJld3MsIFVLLiYjeEQ7RGVwYXJ0bWVudCBvZiBQc3ljaG9sb2d5IFVuaXZlcnNp
dHkgb2YgQ2FtYnJpZGdlLCBDYW1icmlkZ2UsIFVLLiYjeEQ7QmVubmV0dCBJbnN0aXR1dGUgZm9y
IFB1YmxpYyBQb2xpY3ksIFVuaXZlcnNpdHkgb2YgQ2FtYnJpZGdlLCBDYW1icmlkZ2UsIFVLLiYj
eEQ7RGVwYXJ0bWVudCBvZiBQc3ljaG9sb2d5LCBVbml2ZXJzaXR5IG9mIEJyaXRpc2ggQ29sdW1i
aWEsIFZhbmNvdXZlciwgQnJpdGlzaCBDb2x1bWJpYSwgQ2FuYWRhLiYjeEQ7RGVwYXJ0bWVudCBv
ZiBQc3ljaG9sb2d5LCBVbml2ZXJzaXR5IG9mIElsbGlub2lzIGF0IENoaWNhZ28sIENoaWNhZ28s
IElMLCBVU0EuJiN4RDtEZXBhcnRtZW50IG9mIFNvY2lvbG9neSwgVW5pdmVyc2l0eSBvZiBDYWxp
Zm9ybmlhLCBCZXJrZWxleSwgQmVya2VsZXksIENBLCBVU0EuJiN4RDtIYXJ2YXJkIExhdyBTY2hv
b2wsIEhhcnZhcmQgVW5pdmVyc2l0eSwgQ2FtYnJpZGdlLCBNQSwgVW5pdGVkIFN0YXRlcy4mI3hE
O0RlcGFydG1lbnQgb2YgUHN5Y2hvbG9neSwgQ2FybGV0b24gVW5pdmVyc2l0eSwgT3R0YXdhLCBP
bnRhcmlvLCBDYW5hZGEuJiN4RDtEZXBhcnRtZW50IG9mIFBvbGl0aWNzLCBOZXcgWW9yayBVbml2
ZXJzaXR5LCBOZXcgWW9yaywgTlksIFVTQS4mI3hEO0luc3RpdHV0ZSBmb3IgQnJhaW4gYW5kIEJl
aGF2aW9yIEFtc3RlcmRhbSwgRGVwYXJ0bWVudCBvZiBFeHBlcmltZW50YWwgYW5kIEFwcGxpZWQg
UHN5Y2hvbG9neSwgVnJpamUgVW5pdmVyc2l0ZWl0IEFtc3RlcmRhbSwgQW1zdGVyZGFtLCBUaGUg
TmV0aGVybGFuZHMuJiN4RDtEZXBhcnRtZW50IG9mIFNvY2lvbG9neSwgQ29ybmVsbCBVbml2ZXJz
aXR5LCBJdGhhY2EsIE5ZLCBVU0EuJiN4RDtEZXBhcnRtZW50IG9mIFNvY2lvbG9neSwgU3RhbmZv
cmQgVW5pdmVyc2l0eSwgU3RhbmZvcmQsIENBLCBVU0EuIHdpbGxlckBzdGFuZm9yZC5lZHUuPC9h
dXRoLWFkZHJlc3M+PHRpdGxlcz48dGl0bGU+VXNpbmcgc29jaWFsIGFuZCBiZWhhdmlvdXJhbCBz
Y2llbmNlIHRvIHN1cHBvcnQgQ09WSUQtMTkgcGFuZGVtaWMgcmVzcG9uc2U8L3RpdGxlPjxzZWNv
bmRhcnktdGl0bGU+TmF0IEh1bSBCZWhhdjwvc2Vjb25kYXJ5LXRpdGxlPjwvdGl0bGVzPjxwZXJp
b2RpY2FsPjxmdWxsLXRpdGxlPk5hdCBIdW0gQmVoYXY8L2Z1bGwtdGl0bGU+PC9wZXJpb2RpY2Fs
PjxwYWdlcz40NjAtNDcxPC9wYWdlcz48dm9sdW1lPjQ8L3ZvbHVtZT48bnVtYmVyPjU8L251bWJl
cj48ZWRpdGlvbj4yMDIwMDQzMDwvZWRpdGlvbj48a2V5d29yZHM+PGtleXdvcmQ+QWRhcHRhdGlv
biwgUHN5Y2hvbG9naWNhbDwva2V5d29yZD48a2V5d29yZD5CZXRhY29yb25hdmlydXM8L2tleXdv
cmQ+PGtleXdvcmQ+Q292aWQtMTk8L2tleXdvcmQ+PGtleXdvcmQ+Q29tbXVuaWNhYmxlIERpc2Vh
c2UgQ29udHJvbDwva2V5d29yZD48a2V5d29yZD4qQ29yb25hdmlydXM8L2tleXdvcmQ+PGtleXdv
cmQ+Q29yb25hdmlydXMgSW5mZWN0aW9ucy9kaWFnbm9zaXMvZXBpZGVtaW9sb2d5LypwcmV2ZW50
aW9uICZhbXA7IGNvbnRyb2wvdHJhbnNtaXNzaW9uPC9rZXl3b3JkPjxrZXl3b3JkPkRlY2lzaW9u
IE1ha2luZzwva2V5d29yZD48a2V5d29yZD5FcGlkZW1pb2xvZ2ljYWwgTW9uaXRvcmluZzwva2V5
d29yZD48a2V5d29yZD5HbG9iYWwgSGVhbHRoPC9rZXl3b3JkPjxrZXl3b3JkPipIZWFsdGggS25v
d2xlZGdlLCBBdHRpdHVkZXMsIFByYWN0aWNlPC9rZXl3b3JkPjxrZXl3b3JkPipIdW1hbiBBY3Rp
dml0aWVzPC9rZXl3b3JkPjxrZXl3b3JkPkh1bWFuczwva2V5d29yZD48a2V5d29yZD5MZWFkZXJz
aGlwPC9rZXl3b3JkPjxrZXl3b3JkPlBhbmRlbWljcy8qcHJldmVudGlvbiAmYW1wOyBjb250cm9s
PC9rZXl3b3JkPjxrZXl3b3JkPlBuZXVtb25pYSwgVmlyYWwvZXBpZGVtaW9sb2d5LypwcmV2ZW50
aW9uICZhbXA7IGNvbnRyb2wvdHJhbnNtaXNzaW9uPC9rZXl3b3JkPjxrZXl3b3JkPlB1YmxpYyBI
ZWFsdGg8L2tleXdvcmQ+PGtleXdvcmQ+KlF1YXJhbnRpbmU8L2tleXdvcmQ+PGtleXdvcmQ+U0FS
Uy1Db1YtMjwva2V5d29yZD48a2V5d29yZD5Tb2NpYWwgTWVkaWE8L2tleXdvcmQ+PGtleXdvcmQ+
U3RyZXNzLCBQc3ljaG9sb2dpY2FsPC9rZXl3b3JkPjwva2V5d29yZHM+PGRhdGVzPjx5ZWFyPjIw
MjA8L3llYXI+PHB1Yi1kYXRlcz48ZGF0ZT5NYXk8L2RhdGU+PC9wdWItZGF0ZXM+PC9kYXRlcz48
aXNibj4yMzk3LTMzNzQgKEVsZWN0cm9uaWMpJiN4RDsyMzk3LTMzNzQgKExpbmtpbmcpPC9pc2Ju
PjxhY2Nlc3Npb24tbnVtPjMyMzU1Mjk5PC9hY2Nlc3Npb24tbnVtPjx1cmxzPjxyZWxhdGVkLXVy
bHM+PHVybD5odHRwczovL3d3dy5uY2JpLm5sbS5uaWguZ292L3B1Ym1lZC8zMjM1NTI5OTwvdXJs
PjwvcmVsYXRlZC11cmxzPjwvdXJscz48ZWxlY3Ryb25pYy1yZXNvdXJjZS1udW0+MTAuMTAzOC9z
NDE1NjItMDIwLTA4ODQtejwvZWxlY3Ryb25pYy1yZXNvdXJjZS1udW0+PHJlbW90ZS1kYXRhYmFz
ZS1uYW1lPk1lZGxpbmU8L3JlbW90ZS1kYXRhYmFzZS1uYW1lPjxyZW1vdGUtZGF0YWJhc2UtcHJv
dmlkZXI+TkxNPC9yZW1vdGUtZGF0YWJhc2UtcHJvdmlkZXI+PC9yZWNvcmQ+PC9DaXRlPjwvRW5k
Tm90ZT4A
</w:fldData>
        </w:fldChar>
      </w:r>
      <w:r w:rsidR="00E35562">
        <w:rPr>
          <w:rFonts w:ascii="Times New Roman" w:hAnsi="Times New Roman" w:cs="Times New Roman"/>
          <w:sz w:val="24"/>
        </w:rPr>
        <w:instrText xml:space="preserve"> ADDIN EN.CITE.DATA </w:instrText>
      </w:r>
      <w:r w:rsidR="00E35562">
        <w:rPr>
          <w:rFonts w:ascii="Times New Roman" w:hAnsi="Times New Roman" w:cs="Times New Roman"/>
          <w:sz w:val="24"/>
        </w:rPr>
      </w:r>
      <w:r w:rsidR="00E35562">
        <w:rPr>
          <w:rFonts w:ascii="Times New Roman" w:hAnsi="Times New Roman" w:cs="Times New Roman"/>
          <w:sz w:val="24"/>
        </w:rPr>
        <w:fldChar w:fldCharType="end"/>
      </w:r>
      <w:r w:rsidR="00E35562">
        <w:rPr>
          <w:rFonts w:ascii="Times New Roman" w:hAnsi="Times New Roman" w:cs="Times New Roman"/>
          <w:sz w:val="24"/>
        </w:rPr>
      </w:r>
      <w:r w:rsidR="00E35562">
        <w:rPr>
          <w:rFonts w:ascii="Times New Roman" w:hAnsi="Times New Roman" w:cs="Times New Roman"/>
          <w:sz w:val="24"/>
        </w:rPr>
        <w:fldChar w:fldCharType="separate"/>
      </w:r>
      <w:r w:rsidR="00E35562">
        <w:rPr>
          <w:rFonts w:ascii="Times New Roman" w:hAnsi="Times New Roman" w:cs="Times New Roman"/>
          <w:noProof/>
          <w:sz w:val="24"/>
        </w:rPr>
        <w:t>(15)</w:t>
      </w:r>
      <w:r w:rsidR="00E35562">
        <w:rPr>
          <w:rFonts w:ascii="Times New Roman" w:hAnsi="Times New Roman" w:cs="Times New Roman"/>
          <w:sz w:val="24"/>
        </w:rPr>
        <w:fldChar w:fldCharType="end"/>
      </w:r>
      <w:r w:rsidRPr="00AC5CA7">
        <w:rPr>
          <w:rFonts w:ascii="Times New Roman" w:hAnsi="Times New Roman" w:cs="Times New Roman"/>
          <w:sz w:val="24"/>
        </w:rPr>
        <w:t xml:space="preserve"> — rather than on country-level institutional and social outcomes measured longitudinally. A rigorous panel analysis that separately estimates the effects of pathogen exposure (mortality) and policy coercion (lockdown stringency) on democratic and social outcomes across high-income democracies remains, to our knowledge, absent from the literature.</w:t>
      </w:r>
    </w:p>
    <w:p w14:paraId="613CAFD5" w14:textId="32CBF52E"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This paper addresses that gap. Drawing on panel data from 38 OECD countries over the period 2019–2024, we integrate three datasets: the Varieties of Democracy Project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&lt;EndNote&gt;&lt;Cite&gt;&lt;Author&gt;Coppedge&lt;/Author&gt;&lt;Year&gt;2025&lt;/Year&gt;&lt;RecNum&gt;1095&lt;/RecNum&gt;&lt;DisplayText&gt;(16)&lt;/DisplayText&gt;&lt;record&gt;&lt;rec-number&gt;1095&lt;/rec-number&gt;&lt;foreign-keys&gt;&lt;key app="EN" db-id="05x9axpzsz5twaew5s0500tr90zzfepxexte" timestamp="1771129741"&gt;1095&lt;/key&gt;&lt;/foreign-keys&gt;&lt;ref-type name="Dataset"&gt;59&lt;/ref-type&gt;&lt;contributors&gt;&lt;authors&gt;&lt;author&gt;Coppedge, Michael&lt;/author&gt;&lt;author&gt;Gerring, John&lt;/author&gt;&lt;author&gt;Knutsen, Carl Henrik&lt;/author&gt;&lt;author&gt;Lindberg, Staffan I.&lt;/author&gt;&lt;author&gt;Teorell, Jan&lt;/author&gt;&lt;author&gt;Altman, David&lt;/author&gt;&lt;author&gt;Bernhard, Michael&lt;/author&gt;&lt;author&gt;Cornell, Agnes&lt;/author&gt;&lt;author&gt;Fish, M. Steven&lt;/author&gt;&lt;author&gt;Gastaldi, Lisa&lt;/author&gt;&lt;author&gt;Gjerløw, Haakon&lt;/author&gt;&lt;author&gt;Glynn, Adam&lt;/author&gt;&lt;author&gt;Hicken, Allen&lt;/author&gt;&lt;author&gt;Lührmann, Anna&lt;/author&gt;&lt;author&gt;Maerz, Seraphine F.&lt;/author&gt;&lt;author&gt;Marquardt, Kyle L.&lt;/author&gt;&lt;author&gt;McMann, Kelly&lt;/author&gt;&lt;author&gt;Paxton, Pamela&lt;/author&gt;&lt;author&gt;Pemstein, Daniel&lt;/author&gt;&lt;author&gt;von Römer, Johannes&lt;/author&gt;&lt;author&gt;Seim, Brigitte&lt;/author&gt;&lt;author&gt;Sigman, Rachel&lt;/author&gt;&lt;author&gt;Skaaning, Svend-Erik&lt;/author&gt;&lt;author&gt;Staton, Jeffrey&lt;/author&gt;&lt;author&gt;Tzelgov, Eitan&lt;/author&gt;&lt;author&gt;Wang, Yi-ting&lt;/author&gt;&lt;author&gt;Wig, Tore&lt;/author&gt;&lt;author&gt;Ziblatt, Daniel&lt;/author&gt;&lt;/authors&gt;&lt;/contributors&gt;&lt;titles&gt;&lt;title&gt;V-Dem [Country-Year/Country-Date] Dataset v15&lt;/title&gt;&lt;/titles&gt;&lt;dates&gt;&lt;year&gt;2025&lt;/year&gt;&lt;/dates&gt;&lt;publisher&gt;Varieties of Democracy (V-Dem) Institute&lt;/publisher&gt;&lt;urls&gt;&lt;related-urls&gt;&lt;url&gt;https://www.v-dem.net/data/the-v-dem-dataset/&lt;/url&gt;&lt;/related-urls&gt;&lt;/urls&gt;&lt;/record&gt;&lt;/Cite&gt;&lt;/EndNote&gt;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(16)</w:t>
      </w:r>
      <w:r w:rsidR="00E35562">
        <w:rPr>
          <w:rFonts w:ascii="Times New Roman" w:hAnsi="Times New Roman" w:cs="Times New Roman"/>
          <w:sz w:val="24"/>
        </w:rPr>
        <w:fldChar w:fldCharType="end"/>
      </w:r>
      <w:r w:rsidRPr="00AC5CA7">
        <w:rPr>
          <w:rFonts w:ascii="Times New Roman" w:hAnsi="Times New Roman" w:cs="Times New Roman"/>
          <w:sz w:val="24"/>
        </w:rPr>
        <w:t xml:space="preserve"> for democratic governance and social polarization indicators; the EM-DAT </w:t>
      </w:r>
      <w:r w:rsidRPr="00AC5CA7">
        <w:rPr>
          <w:rFonts w:ascii="Times New Roman" w:hAnsi="Times New Roman" w:cs="Times New Roman"/>
          <w:sz w:val="24"/>
        </w:rPr>
        <w:lastRenderedPageBreak/>
        <w:t xml:space="preserve">International Disaster Database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&lt;EndNote&gt;&lt;Cite&gt;&lt;Author&gt;Guha-Sapir&lt;/Author&gt;&lt;Year&gt;2025&lt;/Year&gt;&lt;RecNum&gt;1096&lt;/RecNum&gt;&lt;DisplayText&gt;(17)&lt;/DisplayText&gt;&lt;record&gt;&lt;rec-number&gt;1096&lt;/rec-number&gt;&lt;foreign-keys&gt;&lt;key app="EN" db-id="05x9axpzsz5twaew5s0500tr90zzfepxexte" timestamp="1771129934"&gt;1096&lt;/key&gt;&lt;/foreign-keys&gt;&lt;ref-type name="Web Page"&gt;12&lt;/ref-type&gt;&lt;contributors&gt;&lt;authors&gt;&lt;author&gt;Guha-Sapir, Debarati&lt;/author&gt;&lt;author&gt;Below, Regina&lt;/author&gt;&lt;author&gt;Hoyois, Philippe&lt;/author&gt;&lt;/authors&gt;&lt;/contributors&gt;&lt;titles&gt;&lt;title&gt;EM-DAT: The CRED/OFDA International Disaster Database&lt;/title&gt;&lt;/titles&gt;&lt;dates&gt;&lt;year&gt;2025&lt;/year&gt;&lt;/dates&gt;&lt;pub-location&gt;Brussels, Belgium&lt;/pub-location&gt;&lt;publisher&gt;Université catholique de Louvain (UCLouvain), Centre for Research on the Epidemiology of Disasters (CRED)&lt;/publisher&gt;&lt;urls&gt;&lt;related-urls&gt;&lt;url&gt;https://www.emdat.be&lt;/url&gt;&lt;/related-urls&gt;&lt;/urls&gt;&lt;/record&gt;&lt;/Cite&gt;&lt;/EndNote&gt;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(17)</w:t>
      </w:r>
      <w:r w:rsidR="00E35562">
        <w:rPr>
          <w:rFonts w:ascii="Times New Roman" w:hAnsi="Times New Roman" w:cs="Times New Roman"/>
          <w:sz w:val="24"/>
        </w:rPr>
        <w:fldChar w:fldCharType="end"/>
      </w:r>
      <w:r w:rsidRPr="00AC5CA7">
        <w:rPr>
          <w:rFonts w:ascii="Times New Roman" w:hAnsi="Times New Roman" w:cs="Times New Roman"/>
          <w:sz w:val="24"/>
        </w:rPr>
        <w:t xml:space="preserve"> for historical epidemic exposure; and the Oxford COVID-19 Government Response Tracker </w:t>
      </w:r>
      <w:r w:rsidR="007278E2">
        <w:rPr>
          <w:rFonts w:ascii="Times New Roman" w:hAnsi="Times New Roman" w:cs="Times New Roman"/>
          <w:sz w:val="24"/>
        </w:rPr>
        <w:fldChar w:fldCharType="begin">
          <w:fldData xml:space="preserve">PEVuZE5vdGU+PENpdGU+PEF1dGhvcj5IYWxlPC9BdXRob3I+PFllYXI+MjAyMTwvWWVhcj48UmVj
TnVtPjEwOTc8L1JlY051bT48RGlzcGxheVRleHQ+KDE4KTwvRGlzcGxheVRleHQ+PHJlY29yZD48
cmVjLW51bWJlcj4xMDk3PC9yZWMtbnVtYmVyPjxmb3JlaWduLWtleXM+PGtleSBhcHA9IkVOIiBk
Yi1pZD0iMDV4OWF4cHpzejV0d2FldzVzMDUwMHRyOTB6emZlcHhleHRlIiB0aW1lc3RhbXA9IjE3
NzExMzAwMDQiPjEwOTc8L2tleT48L2ZvcmVpZ24ta2V5cz48cmVmLXR5cGUgbmFtZT0iSm91cm5h
bCBBcnRpY2xlIj4xNzwvcmVmLXR5cGU+PGNvbnRyaWJ1dG9ycz48YXV0aG9ycz48YXV0aG9yPkhh
bGUsIFQuPC9hdXRob3I+PGF1dGhvcj5BbmdyaXN0LCBOLjwvYXV0aG9yPjxhdXRob3I+R29sZHN6
bWlkdCwgUi48L2F1dGhvcj48YXV0aG9yPktpcmEsIEIuPC9hdXRob3I+PGF1dGhvcj5QZXRoZXJp
Y2ssIEEuPC9hdXRob3I+PGF1dGhvcj5QaGlsbGlwcywgVC48L2F1dGhvcj48YXV0aG9yPldlYnN0
ZXIsIFMuPC9hdXRob3I+PGF1dGhvcj5DYW1lcm9uLUJsYWtlLCBFLjwvYXV0aG9yPjxhdXRob3I+
SGFsbGFzLCBMLjwvYXV0aG9yPjxhdXRob3I+TWFqdW1kYXIsIFMuPC9hdXRob3I+PGF1dGhvcj5U
YXRsb3csIEguPC9hdXRob3I+PC9hdXRob3JzPjwvY29udHJpYnV0b3JzPjxhdXRoLWFkZHJlc3M+
QmxhdmF0bmlrIFNjaG9vbCBvZiBHb3Zlcm5tZW50LCBVbml2ZXJzaXR5IG9mIE94Zm9yZCwgT3hm
b3JkLCBVSy4gVGhvbWFzLkhhbGVAYnNnLm94LmFjLnVrLiYjeEQ7QmxhdmF0bmlrIFNjaG9vbCBv
ZiBHb3Zlcm5tZW50LCBVbml2ZXJzaXR5IG9mIE94Zm9yZCwgT3hmb3JkLCBVSy4mI3hEO0JyYXpp
bGlhbiBTY2hvb2wgb2YgUHVibGljIGFuZCBCdXNpbmVzcyBBZG1pbmlzdHJhdGlvbiwgR2V0dWxp
byBWYXJnYXMgRm91bmRhdGlvbiwgUmlvIGRlIEphbmVpcm8sIEJyYXppbC4mI3hEOywgTG9uZG9u
LCBVSy48L2F1dGgtYWRkcmVzcz48dGl0bGVzPjx0aXRsZT5BIGdsb2JhbCBwYW5lbCBkYXRhYmFz
ZSBvZiBwYW5kZW1pYyBwb2xpY2llcyAoT3hmb3JkIENPVklELTE5IEdvdmVybm1lbnQgUmVzcG9u
c2UgVHJhY2tlcik8L3RpdGxlPjxzZWNvbmRhcnktdGl0bGU+TmF0IEh1bSBCZWhhdjwvc2Vjb25k
YXJ5LXRpdGxlPjwvdGl0bGVzPjxwZXJpb2RpY2FsPjxmdWxsLXRpdGxlPk5hdCBIdW0gQmVoYXY8
L2Z1bGwtdGl0bGU+PC9wZXJpb2RpY2FsPjxwYWdlcz41MjktNTM4PC9wYWdlcz48dm9sdW1lPjU8
L3ZvbHVtZT48bnVtYmVyPjQ8L251bWJlcj48ZWRpdGlvbj4yMDIxMDMwODwvZWRpdGlvbj48a2V5
d29yZHM+PGtleXdvcmQ+KmNvdmlkLTE5PC9rZXl3b3JkPjxrZXl3b3JkPkNPVklELTE5IFZhY2Np
bmVzPC9rZXl3b3JkPjxrZXl3b3JkPipDb21tdW5pY2FibGUgRGlzZWFzZSBDb250cm9sPC9rZXl3
b3JkPjxrZXl3b3JkPkNvbnRhY3QgVHJhY2luZzwva2V5d29yZD48a2V5d29yZD5EYXRhYmFzZXMs
IEZhY3R1YWw8L2tleXdvcmQ+PGtleXdvcmQ+RmluYW5jaWFsIFN1cHBvcnQ8L2tleXdvcmQ+PGtl
eXdvcmQ+KkdvdmVybm1lbnQ8L2tleXdvcmQ+PGtleXdvcmQ+SGVhbHRoIFBvbGljeTwva2V5d29y
ZD48a2V5d29yZD5IdW1hbnM8L2tleXdvcmQ+PGtleXdvcmQ+TWFza3M8L2tleXdvcmQ+PGtleXdv
cmQ+KlB1YmxpYyBQb2xpY3k8L2tleXdvcmQ+PGtleXdvcmQ+U0FSUy1Db1YtMjwva2V5d29yZD48
a2V5d29yZD5TY2hvb2xzPC9rZXl3b3JkPjxrZXl3b3JkPipTb2NpYWwgV2VsZmFyZTwva2V5d29y
ZD48a2V5d29yZD5UcmFuc3BvcnRhdGlvbjwva2V5d29yZD48a2V5d29yZD5UcmF2ZWw8L2tleXdv
cmQ+PC9rZXl3b3Jkcz48ZGF0ZXM+PHllYXI+MjAyMTwveWVhcj48cHViLWRhdGVzPjxkYXRlPkFw
cjwvZGF0ZT48L3B1Yi1kYXRlcz48L2RhdGVzPjxpc2JuPjIzOTctMzM3NCAoRWxlY3Ryb25pYykm
I3hEOzIzOTctMzM3NCAoTGlua2luZyk8L2lzYm4+PGFjY2Vzc2lvbi1udW0+MzM2ODYyMDQ8L2Fj
Y2Vzc2lvbi1udW0+PHVybHM+PHJlbGF0ZWQtdXJscz48dXJsPmh0dHBzOi8vd3d3Lm5jYmkubmxt
Lm5paC5nb3YvcHVibWVkLzMzNjg2MjA0PC91cmw+PC9yZWxhdGVkLXVybHM+PC91cmxzPjxlbGVj
dHJvbmljLXJlc291cmNlLW51bT4xMC4xMDM4L3M0MTU2Mi0wMjEtMDEwNzktODwvZWxlY3Ryb25p
Yy1yZXNvdXJjZS1udW0+PHJlbW90ZS1kYXRhYmFzZS1uYW1lPk1lZGxpbmU8L3JlbW90ZS1kYXRh
YmFzZS1uYW1lPjxyZW1vdGUtZGF0YWJhc2UtcHJvdmlkZXI+TkxNPC9yZW1vdGUtZGF0YWJhc2Ut
cHJvdmlkZXI+PC9yZWNvcmQ+PC9DaXRlPjwvRW5kTm90ZT4A
</w:fldData>
        </w:fldChar>
      </w:r>
      <w:r w:rsidR="007278E2">
        <w:rPr>
          <w:rFonts w:ascii="Times New Roman" w:hAnsi="Times New Roman" w:cs="Times New Roman"/>
          <w:sz w:val="24"/>
        </w:rPr>
        <w:instrText xml:space="preserve"> ADDIN EN.CITE </w:instrText>
      </w:r>
      <w:r w:rsidR="007278E2">
        <w:rPr>
          <w:rFonts w:ascii="Times New Roman" w:hAnsi="Times New Roman" w:cs="Times New Roman"/>
          <w:sz w:val="24"/>
        </w:rPr>
        <w:fldChar w:fldCharType="begin">
          <w:fldData xml:space="preserve">PEVuZE5vdGU+PENpdGU+PEF1dGhvcj5IYWxlPC9BdXRob3I+PFllYXI+MjAyMTwvWWVhcj48UmVj
TnVtPjEwOTc8L1JlY051bT48RGlzcGxheVRleHQ+KDE4KTwvRGlzcGxheVRleHQ+PHJlY29yZD48
cmVjLW51bWJlcj4xMDk3PC9yZWMtbnVtYmVyPjxmb3JlaWduLWtleXM+PGtleSBhcHA9IkVOIiBk
Yi1pZD0iMDV4OWF4cHpzejV0d2FldzVzMDUwMHRyOTB6emZlcHhleHRlIiB0aW1lc3RhbXA9IjE3
NzExMzAwMDQiPjEwOTc8L2tleT48L2ZvcmVpZ24ta2V5cz48cmVmLXR5cGUgbmFtZT0iSm91cm5h
bCBBcnRpY2xlIj4xNzwvcmVmLXR5cGU+PGNvbnRyaWJ1dG9ycz48YXV0aG9ycz48YXV0aG9yPkhh
bGUsIFQuPC9hdXRob3I+PGF1dGhvcj5BbmdyaXN0LCBOLjwvYXV0aG9yPjxhdXRob3I+R29sZHN6
bWlkdCwgUi48L2F1dGhvcj48YXV0aG9yPktpcmEsIEIuPC9hdXRob3I+PGF1dGhvcj5QZXRoZXJp
Y2ssIEEuPC9hdXRob3I+PGF1dGhvcj5QaGlsbGlwcywgVC48L2F1dGhvcj48YXV0aG9yPldlYnN0
ZXIsIFMuPC9hdXRob3I+PGF1dGhvcj5DYW1lcm9uLUJsYWtlLCBFLjwvYXV0aG9yPjxhdXRob3I+
SGFsbGFzLCBMLjwvYXV0aG9yPjxhdXRob3I+TWFqdW1kYXIsIFMuPC9hdXRob3I+PGF1dGhvcj5U
YXRsb3csIEguPC9hdXRob3I+PC9hdXRob3JzPjwvY29udHJpYnV0b3JzPjxhdXRoLWFkZHJlc3M+
QmxhdmF0bmlrIFNjaG9vbCBvZiBHb3Zlcm5tZW50LCBVbml2ZXJzaXR5IG9mIE94Zm9yZCwgT3hm
b3JkLCBVSy4gVGhvbWFzLkhhbGVAYnNnLm94LmFjLnVrLiYjeEQ7QmxhdmF0bmlrIFNjaG9vbCBv
ZiBHb3Zlcm5tZW50LCBVbml2ZXJzaXR5IG9mIE94Zm9yZCwgT3hmb3JkLCBVSy4mI3hEO0JyYXpp
bGlhbiBTY2hvb2wgb2YgUHVibGljIGFuZCBCdXNpbmVzcyBBZG1pbmlzdHJhdGlvbiwgR2V0dWxp
byBWYXJnYXMgRm91bmRhdGlvbiwgUmlvIGRlIEphbmVpcm8sIEJyYXppbC4mI3hEOywgTG9uZG9u
LCBVSy48L2F1dGgtYWRkcmVzcz48dGl0bGVzPjx0aXRsZT5BIGdsb2JhbCBwYW5lbCBkYXRhYmFz
ZSBvZiBwYW5kZW1pYyBwb2xpY2llcyAoT3hmb3JkIENPVklELTE5IEdvdmVybm1lbnQgUmVzcG9u
c2UgVHJhY2tlcik8L3RpdGxlPjxzZWNvbmRhcnktdGl0bGU+TmF0IEh1bSBCZWhhdjwvc2Vjb25k
YXJ5LXRpdGxlPjwvdGl0bGVzPjxwZXJpb2RpY2FsPjxmdWxsLXRpdGxlPk5hdCBIdW0gQmVoYXY8
L2Z1bGwtdGl0bGU+PC9wZXJpb2RpY2FsPjxwYWdlcz41MjktNTM4PC9wYWdlcz48dm9sdW1lPjU8
L3ZvbHVtZT48bnVtYmVyPjQ8L251bWJlcj48ZWRpdGlvbj4yMDIxMDMwODwvZWRpdGlvbj48a2V5
d29yZHM+PGtleXdvcmQ+KmNvdmlkLTE5PC9rZXl3b3JkPjxrZXl3b3JkPkNPVklELTE5IFZhY2Np
bmVzPC9rZXl3b3JkPjxrZXl3b3JkPipDb21tdW5pY2FibGUgRGlzZWFzZSBDb250cm9sPC9rZXl3
b3JkPjxrZXl3b3JkPkNvbnRhY3QgVHJhY2luZzwva2V5d29yZD48a2V5d29yZD5EYXRhYmFzZXMs
IEZhY3R1YWw8L2tleXdvcmQ+PGtleXdvcmQ+RmluYW5jaWFsIFN1cHBvcnQ8L2tleXdvcmQ+PGtl
eXdvcmQ+KkdvdmVybm1lbnQ8L2tleXdvcmQ+PGtleXdvcmQ+SGVhbHRoIFBvbGljeTwva2V5d29y
ZD48a2V5d29yZD5IdW1hbnM8L2tleXdvcmQ+PGtleXdvcmQ+TWFza3M8L2tleXdvcmQ+PGtleXdv
cmQ+KlB1YmxpYyBQb2xpY3k8L2tleXdvcmQ+PGtleXdvcmQ+U0FSUy1Db1YtMjwva2V5d29yZD48
a2V5d29yZD5TY2hvb2xzPC9rZXl3b3JkPjxrZXl3b3JkPipTb2NpYWwgV2VsZmFyZTwva2V5d29y
ZD48a2V5d29yZD5UcmFuc3BvcnRhdGlvbjwva2V5d29yZD48a2V5d29yZD5UcmF2ZWw8L2tleXdv
cmQ+PC9rZXl3b3Jkcz48ZGF0ZXM+PHllYXI+MjAyMTwveWVhcj48cHViLWRhdGVzPjxkYXRlPkFw
cjwvZGF0ZT48L3B1Yi1kYXRlcz48L2RhdGVzPjxpc2JuPjIzOTctMzM3NCAoRWxlY3Ryb25pYykm
I3hEOzIzOTctMzM3NCAoTGlua2luZyk8L2lzYm4+PGFjY2Vzc2lvbi1udW0+MzM2ODYyMDQ8L2Fj
Y2Vzc2lvbi1udW0+PHVybHM+PHJlbGF0ZWQtdXJscz48dXJsPmh0dHBzOi8vd3d3Lm5jYmkubmxt
Lm5paC5nb3YvcHVibWVkLzMzNjg2MjA0PC91cmw+PC9yZWxhdGVkLXVybHM+PC91cmxzPjxlbGVj
dHJvbmljLXJlc291cmNlLW51bT4xMC4xMDM4L3M0MTU2Mi0wMjEtMDEwNzktODwvZWxlY3Ryb25p
Yy1yZXNvdXJjZS1udW0+PHJlbW90ZS1kYXRhYmFzZS1uYW1lPk1lZGxpbmU8L3JlbW90ZS1kYXRh
YmFzZS1uYW1lPjxyZW1vdGUtZGF0YWJhc2UtcHJvdmlkZXI+TkxNPC9yZW1vdGUtZGF0YWJhc2Ut
cHJvdmlkZXI+PC9yZWNvcmQ+PC9DaXRlPjwvRW5kTm90ZT4A
</w:fldData>
        </w:fldChar>
      </w:r>
      <w:r w:rsidR="007278E2">
        <w:rPr>
          <w:rFonts w:ascii="Times New Roman" w:hAnsi="Times New Roman" w:cs="Times New Roman"/>
          <w:sz w:val="24"/>
        </w:rPr>
        <w:instrText xml:space="preserve"> ADDIN EN.CITE.DATA </w:instrText>
      </w:r>
      <w:r w:rsidR="007278E2">
        <w:rPr>
          <w:rFonts w:ascii="Times New Roman" w:hAnsi="Times New Roman" w:cs="Times New Roman"/>
          <w:sz w:val="24"/>
        </w:rPr>
      </w:r>
      <w:r w:rsidR="007278E2">
        <w:rPr>
          <w:rFonts w:ascii="Times New Roman" w:hAnsi="Times New Roman" w:cs="Times New Roman"/>
          <w:sz w:val="24"/>
        </w:rPr>
        <w:fldChar w:fldCharType="end"/>
      </w:r>
      <w:r w:rsidR="007278E2">
        <w:rPr>
          <w:rFonts w:ascii="Times New Roman" w:hAnsi="Times New Roman" w:cs="Times New Roman"/>
          <w:sz w:val="24"/>
        </w:rPr>
      </w:r>
      <w:r w:rsidR="007278E2">
        <w:rPr>
          <w:rFonts w:ascii="Times New Roman" w:hAnsi="Times New Roman" w:cs="Times New Roman"/>
          <w:sz w:val="24"/>
        </w:rPr>
        <w:fldChar w:fldCharType="separate"/>
      </w:r>
      <w:r w:rsidR="007278E2">
        <w:rPr>
          <w:rFonts w:ascii="Times New Roman" w:hAnsi="Times New Roman" w:cs="Times New Roman"/>
          <w:noProof/>
          <w:sz w:val="24"/>
        </w:rPr>
        <w:t>(18)</w:t>
      </w:r>
      <w:r w:rsidR="007278E2">
        <w:rPr>
          <w:rFonts w:ascii="Times New Roman" w:hAnsi="Times New Roman" w:cs="Times New Roman"/>
          <w:sz w:val="24"/>
        </w:rPr>
        <w:fldChar w:fldCharType="end"/>
      </w:r>
      <w:r w:rsidRPr="00AC5CA7">
        <w:rPr>
          <w:rFonts w:ascii="Times New Roman" w:hAnsi="Times New Roman" w:cs="Times New Roman"/>
          <w:sz w:val="24"/>
        </w:rPr>
        <w:t xml:space="preserve"> for mortality and lockdown stringency measures obtained via Our World in Data </w:t>
      </w:r>
      <w:r w:rsidR="00E35562">
        <w:rPr>
          <w:rFonts w:ascii="Times New Roman" w:hAnsi="Times New Roman" w:cs="Times New Roman"/>
          <w:sz w:val="24"/>
        </w:rPr>
        <w:fldChar w:fldCharType="begin">
          <w:fldData xml:space="preserve">PEVuZE5vdGU+PENpdGU+PEF1dGhvcj5IYWxlPC9BdXRob3I+PFllYXI+MjAyMTwvWWVhcj48UmVj
TnVtPjEwOTc8L1JlY051bT48RGlzcGxheVRleHQ+KDE4KTwvRGlzcGxheVRleHQ+PHJlY29yZD48
cmVjLW51bWJlcj4xMDk3PC9yZWMtbnVtYmVyPjxmb3JlaWduLWtleXM+PGtleSBhcHA9IkVOIiBk
Yi1pZD0iMDV4OWF4cHpzejV0d2FldzVzMDUwMHRyOTB6emZlcHhleHRlIiB0aW1lc3RhbXA9IjE3
NzExMzAwMDQiPjEwOTc8L2tleT48L2ZvcmVpZ24ta2V5cz48cmVmLXR5cGUgbmFtZT0iSm91cm5h
bCBBcnRpY2xlIj4xNzwvcmVmLXR5cGU+PGNvbnRyaWJ1dG9ycz48YXV0aG9ycz48YXV0aG9yPkhh
bGUsIFQuPC9hdXRob3I+PGF1dGhvcj5BbmdyaXN0LCBOLjwvYXV0aG9yPjxhdXRob3I+R29sZHN6
bWlkdCwgUi48L2F1dGhvcj48YXV0aG9yPktpcmEsIEIuPC9hdXRob3I+PGF1dGhvcj5QZXRoZXJp
Y2ssIEEuPC9hdXRob3I+PGF1dGhvcj5QaGlsbGlwcywgVC48L2F1dGhvcj48YXV0aG9yPldlYnN0
ZXIsIFMuPC9hdXRob3I+PGF1dGhvcj5DYW1lcm9uLUJsYWtlLCBFLjwvYXV0aG9yPjxhdXRob3I+
SGFsbGFzLCBMLjwvYXV0aG9yPjxhdXRob3I+TWFqdW1kYXIsIFMuPC9hdXRob3I+PGF1dGhvcj5U
YXRsb3csIEguPC9hdXRob3I+PC9hdXRob3JzPjwvY29udHJpYnV0b3JzPjxhdXRoLWFkZHJlc3M+
QmxhdmF0bmlrIFNjaG9vbCBvZiBHb3Zlcm5tZW50LCBVbml2ZXJzaXR5IG9mIE94Zm9yZCwgT3hm
b3JkLCBVSy4gVGhvbWFzLkhhbGVAYnNnLm94LmFjLnVrLiYjeEQ7QmxhdmF0bmlrIFNjaG9vbCBv
ZiBHb3Zlcm5tZW50LCBVbml2ZXJzaXR5IG9mIE94Zm9yZCwgT3hmb3JkLCBVSy4mI3hEO0JyYXpp
bGlhbiBTY2hvb2wgb2YgUHVibGljIGFuZCBCdXNpbmVzcyBBZG1pbmlzdHJhdGlvbiwgR2V0dWxp
byBWYXJnYXMgRm91bmRhdGlvbiwgUmlvIGRlIEphbmVpcm8sIEJyYXppbC4mI3hEOywgTG9uZG9u
LCBVSy48L2F1dGgtYWRkcmVzcz48dGl0bGVzPjx0aXRsZT5BIGdsb2JhbCBwYW5lbCBkYXRhYmFz
ZSBvZiBwYW5kZW1pYyBwb2xpY2llcyAoT3hmb3JkIENPVklELTE5IEdvdmVybm1lbnQgUmVzcG9u
c2UgVHJhY2tlcik8L3RpdGxlPjxzZWNvbmRhcnktdGl0bGU+TmF0IEh1bSBCZWhhdjwvc2Vjb25k
YXJ5LXRpdGxlPjwvdGl0bGVzPjxwZXJpb2RpY2FsPjxmdWxsLXRpdGxlPk5hdCBIdW0gQmVoYXY8
L2Z1bGwtdGl0bGU+PC9wZXJpb2RpY2FsPjxwYWdlcz41MjktNTM4PC9wYWdlcz48dm9sdW1lPjU8
L3ZvbHVtZT48bnVtYmVyPjQ8L251bWJlcj48ZWRpdGlvbj4yMDIxMDMwODwvZWRpdGlvbj48a2V5
d29yZHM+PGtleXdvcmQ+KmNvdmlkLTE5PC9rZXl3b3JkPjxrZXl3b3JkPkNPVklELTE5IFZhY2Np
bmVzPC9rZXl3b3JkPjxrZXl3b3JkPipDb21tdW5pY2FibGUgRGlzZWFzZSBDb250cm9sPC9rZXl3
b3JkPjxrZXl3b3JkPkNvbnRhY3QgVHJhY2luZzwva2V5d29yZD48a2V5d29yZD5EYXRhYmFzZXMs
IEZhY3R1YWw8L2tleXdvcmQ+PGtleXdvcmQ+RmluYW5jaWFsIFN1cHBvcnQ8L2tleXdvcmQ+PGtl
eXdvcmQ+KkdvdmVybm1lbnQ8L2tleXdvcmQ+PGtleXdvcmQ+SGVhbHRoIFBvbGljeTwva2V5d29y
ZD48a2V5d29yZD5IdW1hbnM8L2tleXdvcmQ+PGtleXdvcmQ+TWFza3M8L2tleXdvcmQ+PGtleXdv
cmQ+KlB1YmxpYyBQb2xpY3k8L2tleXdvcmQ+PGtleXdvcmQ+U0FSUy1Db1YtMjwva2V5d29yZD48
a2V5d29yZD5TY2hvb2xzPC9rZXl3b3JkPjxrZXl3b3JkPipTb2NpYWwgV2VsZmFyZTwva2V5d29y
ZD48a2V5d29yZD5UcmFuc3BvcnRhdGlvbjwva2V5d29yZD48a2V5d29yZD5UcmF2ZWw8L2tleXdv
cmQ+PC9rZXl3b3Jkcz48ZGF0ZXM+PHllYXI+MjAyMTwveWVhcj48cHViLWRhdGVzPjxkYXRlPkFw
cjwvZGF0ZT48L3B1Yi1kYXRlcz48L2RhdGVzPjxpc2JuPjIzOTctMzM3NCAoRWxlY3Ryb25pYykm
I3hEOzIzOTctMzM3NCAoTGlua2luZyk8L2lzYm4+PGFjY2Vzc2lvbi1udW0+MzM2ODYyMDQ8L2Fj
Y2Vzc2lvbi1udW0+PHVybHM+PHJlbGF0ZWQtdXJscz48dXJsPmh0dHBzOi8vd3d3Lm5jYmkubmxt
Lm5paC5nb3YvcHVibWVkLzMzNjg2MjA0PC91cmw+PC9yZWxhdGVkLXVybHM+PC91cmxzPjxlbGVj
dHJvbmljLXJlc291cmNlLW51bT4xMC4xMDM4L3M0MTU2Mi0wMjEtMDEwNzktODwvZWxlY3Ryb25p
Yy1yZXNvdXJjZS1udW0+PHJlbW90ZS1kYXRhYmFzZS1uYW1lPk1lZGxpbmU8L3JlbW90ZS1kYXRh
YmFzZS1uYW1lPjxyZW1vdGUtZGF0YWJhc2UtcHJvdmlkZXI+TkxNPC9yZW1vdGUtZGF0YWJhc2Ut
cHJvdmlkZXI+PC9yZWNvcmQ+PC9DaXRlPjwvRW5kTm90ZT4A
</w:fldData>
        </w:fldChar>
      </w:r>
      <w:r w:rsidR="00E35562">
        <w:rPr>
          <w:rFonts w:ascii="Times New Roman" w:hAnsi="Times New Roman" w:cs="Times New Roman"/>
          <w:sz w:val="24"/>
        </w:rPr>
        <w:instrText xml:space="preserve"> ADDIN EN.CITE </w:instrText>
      </w:r>
      <w:r w:rsidR="00E35562">
        <w:rPr>
          <w:rFonts w:ascii="Times New Roman" w:hAnsi="Times New Roman" w:cs="Times New Roman"/>
          <w:sz w:val="24"/>
        </w:rPr>
        <w:fldChar w:fldCharType="begin">
          <w:fldData xml:space="preserve">PEVuZE5vdGU+PENpdGU+PEF1dGhvcj5IYWxlPC9BdXRob3I+PFllYXI+MjAyMTwvWWVhcj48UmVj
TnVtPjEwOTc8L1JlY051bT48RGlzcGxheVRleHQ+KDE4KTwvRGlzcGxheVRleHQ+PHJlY29yZD48
cmVjLW51bWJlcj4xMDk3PC9yZWMtbnVtYmVyPjxmb3JlaWduLWtleXM+PGtleSBhcHA9IkVOIiBk
Yi1pZD0iMDV4OWF4cHpzejV0d2FldzVzMDUwMHRyOTB6emZlcHhleHRlIiB0aW1lc3RhbXA9IjE3
NzExMzAwMDQiPjEwOTc8L2tleT48L2ZvcmVpZ24ta2V5cz48cmVmLXR5cGUgbmFtZT0iSm91cm5h
bCBBcnRpY2xlIj4xNzwvcmVmLXR5cGU+PGNvbnRyaWJ1dG9ycz48YXV0aG9ycz48YXV0aG9yPkhh
bGUsIFQuPC9hdXRob3I+PGF1dGhvcj5BbmdyaXN0LCBOLjwvYXV0aG9yPjxhdXRob3I+R29sZHN6
bWlkdCwgUi48L2F1dGhvcj48YXV0aG9yPktpcmEsIEIuPC9hdXRob3I+PGF1dGhvcj5QZXRoZXJp
Y2ssIEEuPC9hdXRob3I+PGF1dGhvcj5QaGlsbGlwcywgVC48L2F1dGhvcj48YXV0aG9yPldlYnN0
ZXIsIFMuPC9hdXRob3I+PGF1dGhvcj5DYW1lcm9uLUJsYWtlLCBFLjwvYXV0aG9yPjxhdXRob3I+
SGFsbGFzLCBMLjwvYXV0aG9yPjxhdXRob3I+TWFqdW1kYXIsIFMuPC9hdXRob3I+PGF1dGhvcj5U
YXRsb3csIEguPC9hdXRob3I+PC9hdXRob3JzPjwvY29udHJpYnV0b3JzPjxhdXRoLWFkZHJlc3M+
QmxhdmF0bmlrIFNjaG9vbCBvZiBHb3Zlcm5tZW50LCBVbml2ZXJzaXR5IG9mIE94Zm9yZCwgT3hm
b3JkLCBVSy4gVGhvbWFzLkhhbGVAYnNnLm94LmFjLnVrLiYjeEQ7QmxhdmF0bmlrIFNjaG9vbCBv
ZiBHb3Zlcm5tZW50LCBVbml2ZXJzaXR5IG9mIE94Zm9yZCwgT3hmb3JkLCBVSy4mI3hEO0JyYXpp
bGlhbiBTY2hvb2wgb2YgUHVibGljIGFuZCBCdXNpbmVzcyBBZG1pbmlzdHJhdGlvbiwgR2V0dWxp
byBWYXJnYXMgRm91bmRhdGlvbiwgUmlvIGRlIEphbmVpcm8sIEJyYXppbC4mI3hEOywgTG9uZG9u
LCBVSy48L2F1dGgtYWRkcmVzcz48dGl0bGVzPjx0aXRsZT5BIGdsb2JhbCBwYW5lbCBkYXRhYmFz
ZSBvZiBwYW5kZW1pYyBwb2xpY2llcyAoT3hmb3JkIENPVklELTE5IEdvdmVybm1lbnQgUmVzcG9u
c2UgVHJhY2tlcik8L3RpdGxlPjxzZWNvbmRhcnktdGl0bGU+TmF0IEh1bSBCZWhhdjwvc2Vjb25k
YXJ5LXRpdGxlPjwvdGl0bGVzPjxwZXJpb2RpY2FsPjxmdWxsLXRpdGxlPk5hdCBIdW0gQmVoYXY8
L2Z1bGwtdGl0bGU+PC9wZXJpb2RpY2FsPjxwYWdlcz41MjktNTM4PC9wYWdlcz48dm9sdW1lPjU8
L3ZvbHVtZT48bnVtYmVyPjQ8L251bWJlcj48ZWRpdGlvbj4yMDIxMDMwODwvZWRpdGlvbj48a2V5
d29yZHM+PGtleXdvcmQ+KmNvdmlkLTE5PC9rZXl3b3JkPjxrZXl3b3JkPkNPVklELTE5IFZhY2Np
bmVzPC9rZXl3b3JkPjxrZXl3b3JkPipDb21tdW5pY2FibGUgRGlzZWFzZSBDb250cm9sPC9rZXl3
b3JkPjxrZXl3b3JkPkNvbnRhY3QgVHJhY2luZzwva2V5d29yZD48a2V5d29yZD5EYXRhYmFzZXMs
IEZhY3R1YWw8L2tleXdvcmQ+PGtleXdvcmQ+RmluYW5jaWFsIFN1cHBvcnQ8L2tleXdvcmQ+PGtl
eXdvcmQ+KkdvdmVybm1lbnQ8L2tleXdvcmQ+PGtleXdvcmQ+SGVhbHRoIFBvbGljeTwva2V5d29y
ZD48a2V5d29yZD5IdW1hbnM8L2tleXdvcmQ+PGtleXdvcmQ+TWFza3M8L2tleXdvcmQ+PGtleXdv
cmQ+KlB1YmxpYyBQb2xpY3k8L2tleXdvcmQ+PGtleXdvcmQ+U0FSUy1Db1YtMjwva2V5d29yZD48
a2V5d29yZD5TY2hvb2xzPC9rZXl3b3JkPjxrZXl3b3JkPipTb2NpYWwgV2VsZmFyZTwva2V5d29y
ZD48a2V5d29yZD5UcmFuc3BvcnRhdGlvbjwva2V5d29yZD48a2V5d29yZD5UcmF2ZWw8L2tleXdv
cmQ+PC9rZXl3b3Jkcz48ZGF0ZXM+PHllYXI+MjAyMTwveWVhcj48cHViLWRhdGVzPjxkYXRlPkFw
cjwvZGF0ZT48L3B1Yi1kYXRlcz48L2RhdGVzPjxpc2JuPjIzOTctMzM3NCAoRWxlY3Ryb25pYykm
I3hEOzIzOTctMzM3NCAoTGlua2luZyk8L2lzYm4+PGFjY2Vzc2lvbi1udW0+MzM2ODYyMDQ8L2Fj
Y2Vzc2lvbi1udW0+PHVybHM+PHJlbGF0ZWQtdXJscz48dXJsPmh0dHBzOi8vd3d3Lm5jYmkubmxt
Lm5paC5nb3YvcHVibWVkLzMzNjg2MjA0PC91cmw+PC9yZWxhdGVkLXVybHM+PC91cmxzPjxlbGVj
dHJvbmljLXJlc291cmNlLW51bT4xMC4xMDM4L3M0MTU2Mi0wMjEtMDEwNzktODwvZWxlY3Ryb25p
Yy1yZXNvdXJjZS1udW0+PHJlbW90ZS1kYXRhYmFzZS1uYW1lPk1lZGxpbmU8L3JlbW90ZS1kYXRh
YmFzZS1uYW1lPjxyZW1vdGUtZGF0YWJhc2UtcHJvdmlkZXI+TkxNPC9yZW1vdGUtZGF0YWJhc2Ut
cHJvdmlkZXI+PC9yZWNvcmQ+PC9DaXRlPjwvRW5kTm90ZT4A
</w:fldData>
        </w:fldChar>
      </w:r>
      <w:r w:rsidR="00E35562">
        <w:rPr>
          <w:rFonts w:ascii="Times New Roman" w:hAnsi="Times New Roman" w:cs="Times New Roman"/>
          <w:sz w:val="24"/>
        </w:rPr>
        <w:instrText xml:space="preserve"> ADDIN EN.CITE.DATA </w:instrText>
      </w:r>
      <w:r w:rsidR="00E35562">
        <w:rPr>
          <w:rFonts w:ascii="Times New Roman" w:hAnsi="Times New Roman" w:cs="Times New Roman"/>
          <w:sz w:val="24"/>
        </w:rPr>
      </w:r>
      <w:r w:rsidR="00E35562">
        <w:rPr>
          <w:rFonts w:ascii="Times New Roman" w:hAnsi="Times New Roman" w:cs="Times New Roman"/>
          <w:sz w:val="24"/>
        </w:rPr>
        <w:fldChar w:fldCharType="end"/>
      </w:r>
      <w:r w:rsidR="00E35562">
        <w:rPr>
          <w:rFonts w:ascii="Times New Roman" w:hAnsi="Times New Roman" w:cs="Times New Roman"/>
          <w:sz w:val="24"/>
        </w:rPr>
      </w:r>
      <w:r w:rsidR="00E35562">
        <w:rPr>
          <w:rFonts w:ascii="Times New Roman" w:hAnsi="Times New Roman" w:cs="Times New Roman"/>
          <w:sz w:val="24"/>
        </w:rPr>
        <w:fldChar w:fldCharType="separate"/>
      </w:r>
      <w:r w:rsidR="00E35562">
        <w:rPr>
          <w:rFonts w:ascii="Times New Roman" w:hAnsi="Times New Roman" w:cs="Times New Roman"/>
          <w:noProof/>
          <w:sz w:val="24"/>
        </w:rPr>
        <w:t>(18)</w:t>
      </w:r>
      <w:r w:rsidR="00E35562">
        <w:rPr>
          <w:rFonts w:ascii="Times New Roman" w:hAnsi="Times New Roman" w:cs="Times New Roman"/>
          <w:sz w:val="24"/>
        </w:rPr>
        <w:fldChar w:fldCharType="end"/>
      </w:r>
      <w:r w:rsidRPr="00AC5CA7">
        <w:rPr>
          <w:rFonts w:ascii="Times New Roman" w:hAnsi="Times New Roman" w:cs="Times New Roman"/>
          <w:sz w:val="24"/>
        </w:rPr>
        <w:t>. Using two-way fixed-effects models with first-differenced outcomes and clustered standard errors, we separately estimate the effects of COVID-19 mortality and lockdown stringency on changes in social polarization.</w:t>
      </w:r>
    </w:p>
    <w:p w14:paraId="4FF66E28" w14:textId="7C494035" w:rsidR="005C61C4" w:rsidRPr="005C61C4"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Our findings reveal a double null result and a selection effect. First, COVID-19 mortality — the proximate operationalization of pathogen-driven fear — does not predict changes in social polarization across OECD nations. The parasite-stress mechanism, whatever its validity over evolutionary timescales, does not appear to operate through pandemic mortality in contemporary developed democracies. Second, lockdown stringency does not predict increased polarization either; the coefficient is negative and non-significant, inconsistent with the claim that coercive pandemic governance deepened social divisions. Third, and most critically, we demonstrate that pre-pandemic social cohesion — measured by V-Dem's social polarization index in 2019 — was strongly negatively correlated with subsequent lockdown stringency (r = </w:t>
      </w:r>
      <w:r w:rsidRPr="00AC5CA7">
        <w:rPr>
          <w:rFonts w:ascii="Times New Roman" w:hAnsi="Times New Roman" w:cs="Times New Roman" w:hint="eastAsia"/>
          <w:sz w:val="24"/>
        </w:rPr>
        <w:t>−</w:t>
      </w:r>
      <w:r w:rsidRPr="00AC5CA7">
        <w:rPr>
          <w:rFonts w:ascii="Times New Roman" w:hAnsi="Times New Roman" w:cs="Times New Roman"/>
          <w:sz w:val="24"/>
        </w:rPr>
        <w:t xml:space="preserve">0.51, p = 0.001). Societies with high pre-existing cohesion, notably the Nordic countries and Japan, achieved pandemic compliance through voluntary behavioral adaptation, requiring minimal legal coercion. Societies with low cohesion, including the United States, Italy, </w:t>
      </w:r>
      <w:r w:rsidRPr="00AC5CA7">
        <w:rPr>
          <w:rFonts w:ascii="Times New Roman" w:hAnsi="Times New Roman" w:cs="Times New Roman"/>
          <w:sz w:val="24"/>
        </w:rPr>
        <w:lastRenderedPageBreak/>
        <w:t>and Chile, were compelled to substitute trust with mandates. Lockdown stringency was not a cause of polarization; it was a consequence of it.</w:t>
      </w:r>
    </w:p>
    <w:p w14:paraId="253AF32E" w14:textId="77777777" w:rsidR="00C54355" w:rsidRDefault="00C54355" w:rsidP="00C54355">
      <w:pPr>
        <w:spacing w:line="480" w:lineRule="auto"/>
        <w:rPr>
          <w:rFonts w:ascii="Times New Roman" w:hAnsi="Times New Roman" w:cs="Times New Roman"/>
          <w:sz w:val="24"/>
        </w:rPr>
      </w:pPr>
    </w:p>
    <w:p w14:paraId="16F507D5" w14:textId="128F79A9" w:rsidR="008C5A01" w:rsidRDefault="008C5A01" w:rsidP="00C54355">
      <w:pPr>
        <w:spacing w:line="480" w:lineRule="auto"/>
        <w:rPr>
          <w:rFonts w:ascii="Times New Roman" w:hAnsi="Times New Roman" w:cs="Times New Roman"/>
          <w:b/>
          <w:bCs/>
          <w:sz w:val="24"/>
        </w:rPr>
      </w:pPr>
      <w:r w:rsidRPr="008C5A01">
        <w:rPr>
          <w:rFonts w:ascii="Times New Roman" w:hAnsi="Times New Roman" w:cs="Times New Roman"/>
          <w:b/>
          <w:bCs/>
          <w:sz w:val="24"/>
        </w:rPr>
        <w:t>Data and Methods</w:t>
      </w:r>
    </w:p>
    <w:p w14:paraId="2B504388" w14:textId="5DA8303C" w:rsidR="008C5A01" w:rsidRDefault="008C5A01" w:rsidP="008C5A01">
      <w:pPr>
        <w:spacing w:line="480" w:lineRule="auto"/>
        <w:rPr>
          <w:rFonts w:ascii="Times New Roman" w:hAnsi="Times New Roman" w:cs="Times New Roman"/>
          <w:sz w:val="24"/>
        </w:rPr>
      </w:pPr>
      <w:r w:rsidRPr="008C5A01">
        <w:rPr>
          <w:rFonts w:ascii="Times New Roman" w:hAnsi="Times New Roman" w:cs="Times New Roman"/>
          <w:i/>
          <w:iCs/>
          <w:sz w:val="24"/>
        </w:rPr>
        <w:t>Data Sources</w:t>
      </w:r>
    </w:p>
    <w:p w14:paraId="7531F6DD" w14:textId="67ADB66D" w:rsidR="008C5A01"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t>This study integrates three publicly available datasets to construct a country-year panel of 38 OECD member states over the period 2019–2024.</w:t>
      </w:r>
    </w:p>
    <w:p w14:paraId="425B3350" w14:textId="77777777" w:rsidR="008C5A01" w:rsidRDefault="008C5A01" w:rsidP="008C5A01">
      <w:pPr>
        <w:spacing w:line="480" w:lineRule="auto"/>
        <w:rPr>
          <w:rFonts w:ascii="Times New Roman" w:hAnsi="Times New Roman" w:cs="Times New Roman"/>
          <w:i/>
          <w:iCs/>
          <w:sz w:val="24"/>
        </w:rPr>
      </w:pPr>
      <w:r w:rsidRPr="008C5A01">
        <w:rPr>
          <w:rFonts w:ascii="Times New Roman" w:hAnsi="Times New Roman" w:cs="Times New Roman"/>
          <w:i/>
          <w:iCs/>
          <w:sz w:val="24"/>
        </w:rPr>
        <w:t>Outcome variables.</w:t>
      </w:r>
    </w:p>
    <w:p w14:paraId="571917F4" w14:textId="15E3E87E" w:rsidR="008C5A01"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t>Democratic governance and social polarization indicators are drawn from the Varieties of Democracy Project, version 15 (V-Dem v15;</w:t>
      </w:r>
      <w:r w:rsidR="007278E2">
        <w:rPr>
          <w:rFonts w:ascii="Times New Roman" w:hAnsi="Times New Roman" w:cs="Times New Roman"/>
          <w:sz w:val="24"/>
        </w:rPr>
        <w:t xml:space="preserve"> </w:t>
      </w:r>
      <w:r w:rsidR="007278E2" w:rsidRPr="007278E2">
        <w:rPr>
          <w:rFonts w:ascii="Times New Roman" w:hAnsi="Times New Roman" w:cs="Times New Roman"/>
          <w:sz w:val="24"/>
        </w:rPr>
        <w:t>{Coppedge, 2025 #1095}</w:t>
      </w:r>
      <w:r w:rsidRPr="00A62377">
        <w:rPr>
          <w:rFonts w:ascii="Times New Roman" w:hAnsi="Times New Roman" w:cs="Times New Roman"/>
          <w:sz w:val="24"/>
        </w:rPr>
        <w:t>). Our primary outcome is social polarization (`v2smpolsoc`), which captures the degree to which society is divided along major political and social cleavages, with higher values indicating greater cohesion and lower values indicating deeper polarization. We additionally tested liberal democracy (`v2x_libdem`) and political polarization (`v2cacamps`) as alternative outcomes; both yielded null results and are reported for completeness.</w:t>
      </w:r>
    </w:p>
    <w:p w14:paraId="62F8974D" w14:textId="77777777" w:rsidR="008C5A01" w:rsidRDefault="008C5A01" w:rsidP="008C5A01">
      <w:pPr>
        <w:spacing w:line="480" w:lineRule="auto"/>
        <w:rPr>
          <w:rFonts w:ascii="Times New Roman" w:hAnsi="Times New Roman" w:cs="Times New Roman"/>
          <w:sz w:val="24"/>
        </w:rPr>
      </w:pPr>
      <w:r w:rsidRPr="008C5A01">
        <w:rPr>
          <w:rFonts w:ascii="Times New Roman" w:hAnsi="Times New Roman" w:cs="Times New Roman"/>
          <w:i/>
          <w:iCs/>
          <w:sz w:val="24"/>
        </w:rPr>
        <w:t>Exposure variables.</w:t>
      </w:r>
      <w:r w:rsidRPr="008C5A01">
        <w:rPr>
          <w:rFonts w:ascii="Times New Roman" w:hAnsi="Times New Roman" w:cs="Times New Roman"/>
          <w:sz w:val="24"/>
        </w:rPr>
        <w:t xml:space="preserve"> </w:t>
      </w:r>
    </w:p>
    <w:p w14:paraId="3A795C01" w14:textId="1026488E" w:rsidR="008C5A01"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t xml:space="preserve">We operationalize two distinct dimensions of pandemic impact. The biological threat is measured as cumulative COVID-19 deaths per million population, log-transformed as </w:t>
      </w:r>
      <w:r w:rsidRPr="00A62377">
        <w:rPr>
          <w:rFonts w:ascii="Times New Roman" w:hAnsi="Times New Roman" w:cs="Times New Roman"/>
          <w:sz w:val="24"/>
        </w:rPr>
        <w:lastRenderedPageBreak/>
        <w:t xml:space="preserve">ln(1 + deaths per million), sourced from Our World in Data </w:t>
      </w:r>
      <w:r w:rsidR="00E35562">
        <w:rPr>
          <w:rFonts w:ascii="Times New Roman" w:hAnsi="Times New Roman" w:cs="Times New Roman"/>
          <w:sz w:val="24"/>
        </w:rPr>
        <w:fldChar w:fldCharType="begin">
          <w:fldData xml:space="preserve">PEVuZE5vdGU+PENpdGU+PEF1dGhvcj5NYXRoaWV1PC9BdXRob3I+PFllYXI+MjAyMTwvWWVhcj48
UmVjTnVtPjEwOTg8L1JlY051bT48RGlzcGxheVRleHQ+KDE5KTwvRGlzcGxheVRleHQ+PHJlY29y
ZD48cmVjLW51bWJlcj4xMDk4PC9yZWMtbnVtYmVyPjxmb3JlaWduLWtleXM+PGtleSBhcHA9IkVO
IiBkYi1pZD0iMDV4OWF4cHpzejV0d2FldzVzMDUwMHRyOTB6emZlcHhleHRlIiB0aW1lc3RhbXA9
IjE3NzExMzAwNDAiPjEwOTg8L2tleT48L2ZvcmVpZ24ta2V5cz48cmVmLXR5cGUgbmFtZT0iSm91
cm5hbCBBcnRpY2xlIj4xNzwvcmVmLXR5cGU+PGNvbnRyaWJ1dG9ycz48YXV0aG9ycz48YXV0aG9y
Pk1hdGhpZXUsIEUuPC9hdXRob3I+PGF1dGhvcj5SaXRjaGllLCBILjwvYXV0aG9yPjxhdXRob3I+
T3J0aXotT3NwaW5hLCBFLjwvYXV0aG9yPjxhdXRob3I+Um9zZXIsIE0uPC9hdXRob3I+PGF1dGhv
cj5IYXNlbGwsIEouPC9hdXRob3I+PGF1dGhvcj5BcHBlbCwgQy48L2F1dGhvcj48YXV0aG9yPkdp
YXR0aW5vLCBDLjwvYXV0aG9yPjxhdXRob3I+Um9kZXMtR3VpcmFvLCBMLjwvYXV0aG9yPjwvYXV0
aG9ycz48L2NvbnRyaWJ1dG9ycz48YXV0aC1hZGRyZXNzPk91ciBXb3JsZCBpbiBEYXRhLiYjeEQ7
T3VyIFdvcmxkIGluIERhdGEsIC4gaGFubmFoLnJpdGNoaWVAb3hmb3JkbWFydGluLm94LmFjLnVr
LiYjeEQ7T3hmb3JkIE1hcnRpbiBQcm9ncmFtbWUgb24gR2xvYmFsIERldmVsb3BtZW50LCBVbml2
ZXJzaXR5IG9mIE94Zm9yZCwgT3hmb3JkLCBVbml0ZWQgS2luZ2RvbS4gaGFubmFoLnJpdGNoaWVA
b3hmb3JkbWFydGluLm94LmFjLnVrLiYjeEQ7T3hmb3JkIE1hcnRpbiBQcm9ncmFtbWUgb24gR2xv
YmFsIERldmVsb3BtZW50LCBVbml2ZXJzaXR5IG9mIE94Zm9yZCwgT3hmb3JkLCBVbml0ZWQgS2lu
Z2RvbS4mI3hEO0RlcGFydG1lbnQgb2YgU29jaWFsIFBvbGljeSBhbmQgSW50ZXJ2ZW50aW9uLCBV
bml2ZXJzaXR5IG9mIE94Zm9yZCwgT3hmb3JkLCBVbml0ZWQgS2luZ2RvbS48L2F1dGgtYWRkcmVz
cz48dGl0bGVzPjx0aXRsZT5BIGdsb2JhbCBkYXRhYmFzZSBvZiBDT1ZJRC0xOSB2YWNjaW5hdGlv
bnM8L3RpdGxlPjxzZWNvbmRhcnktdGl0bGU+TmF0IEh1bSBCZWhhdjwvc2Vjb25kYXJ5LXRpdGxl
PjwvdGl0bGVzPjxwZXJpb2RpY2FsPjxmdWxsLXRpdGxlPk5hdCBIdW0gQmVoYXY8L2Z1bGwtdGl0
bGU+PC9wZXJpb2RpY2FsPjxwYWdlcz45NDctOTUzPC9wYWdlcz48dm9sdW1lPjU8L3ZvbHVtZT48
bnVtYmVyPjc8L251bWJlcj48ZWRpdGlvbj4yMDIxMDUxMDwvZWRpdGlvbj48a2V5d29yZHM+PGtl
eXdvcmQ+Q09WSUQtMTkvZXBpZGVtaW9sb2d5LypwcmV2ZW50aW9uICZhbXA7IGNvbnRyb2w8L2tl
eXdvcmQ+PGtleXdvcmQ+Q09WSUQtMTkgVmFjY2luZXMvKnRoZXJhcGV1dGljIHVzZTwva2V5d29y
ZD48a2V5d29yZD5HbG9iYWwgSGVhbHRoPC9rZXl3b3JkPjxrZXl3b3JkPkh1bWFuczwva2V5d29y
ZD48a2V5d29yZD5JbW11bml6YXRpb24gUHJvZ3JhbXMvKnRyZW5kczwva2V5d29yZD48a2V5d29y
ZD5JbW11bml6YXRpb24gU2NoZWR1bGU8L2tleXdvcmQ+PGtleXdvcmQ+VmFjY2luYXRpb24vKnRy
ZW5kczwva2V5d29yZD48a2V5d29yZD5WYWNjaW5hdGlvbiBDb3ZlcmFnZS8qdHJlbmRzPC9rZXl3
b3JkPjwva2V5d29yZHM+PGRhdGVzPjx5ZWFyPjIwMjE8L3llYXI+PHB1Yi1kYXRlcz48ZGF0ZT5K
dWw8L2RhdGU+PC9wdWItZGF0ZXM+PC9kYXRlcz48aXNibj4yMzk3LTMzNzQgKEVsZWN0cm9uaWMp
JiN4RDsyMzk3LTMzNzQgKExpbmtpbmcpPC9pc2JuPjxhY2Nlc3Npb24tbnVtPjMzOTcyNzY3PC9h
Y2Nlc3Npb24tbnVtPjx1cmxzPjxyZWxhdGVkLXVybHM+PHVybD5odHRwczovL3d3dy5uY2JpLm5s
bS5uaWguZ292L3B1Ym1lZC8zMzk3Mjc2NzwvdXJsPjwvcmVsYXRlZC11cmxzPjwvdXJscz48ZWxl
Y3Ryb25pYy1yZXNvdXJjZS1udW0+MTAuMTAzOC9zNDE1NjItMDIxLTAxMTIyLTg8L2VsZWN0cm9u
aWMtcmVzb3VyY2UtbnVtPjxyZW1vdGUtZGF0YWJhc2UtbmFtZT5NZWRsaW5lPC9yZW1vdGUtZGF0
YWJhc2UtbmFtZT48cmVtb3RlLWRhdGFiYXNlLXByb3ZpZGVyPk5MTTwvcmVtb3RlLWRhdGFiYXNl
LXByb3ZpZGVyPjwvcmVjb3JkPjwvQ2l0ZT48L0VuZE5vdGU+AG==
</w:fldData>
        </w:fldChar>
      </w:r>
      <w:r w:rsidR="00E35562">
        <w:rPr>
          <w:rFonts w:ascii="Times New Roman" w:hAnsi="Times New Roman" w:cs="Times New Roman"/>
          <w:sz w:val="24"/>
        </w:rPr>
        <w:instrText xml:space="preserve"> ADDIN EN.CITE </w:instrText>
      </w:r>
      <w:r w:rsidR="00E35562">
        <w:rPr>
          <w:rFonts w:ascii="Times New Roman" w:hAnsi="Times New Roman" w:cs="Times New Roman"/>
          <w:sz w:val="24"/>
        </w:rPr>
        <w:fldChar w:fldCharType="begin">
          <w:fldData xml:space="preserve">PEVuZE5vdGU+PENpdGU+PEF1dGhvcj5NYXRoaWV1PC9BdXRob3I+PFllYXI+MjAyMTwvWWVhcj48
UmVjTnVtPjEwOTg8L1JlY051bT48RGlzcGxheVRleHQ+KDE5KTwvRGlzcGxheVRleHQ+PHJlY29y
ZD48cmVjLW51bWJlcj4xMDk4PC9yZWMtbnVtYmVyPjxmb3JlaWduLWtleXM+PGtleSBhcHA9IkVO
IiBkYi1pZD0iMDV4OWF4cHpzejV0d2FldzVzMDUwMHRyOTB6emZlcHhleHRlIiB0aW1lc3RhbXA9
IjE3NzExMzAwNDAiPjEwOTg8L2tleT48L2ZvcmVpZ24ta2V5cz48cmVmLXR5cGUgbmFtZT0iSm91
cm5hbCBBcnRpY2xlIj4xNzwvcmVmLXR5cGU+PGNvbnRyaWJ1dG9ycz48YXV0aG9ycz48YXV0aG9y
Pk1hdGhpZXUsIEUuPC9hdXRob3I+PGF1dGhvcj5SaXRjaGllLCBILjwvYXV0aG9yPjxhdXRob3I+
T3J0aXotT3NwaW5hLCBFLjwvYXV0aG9yPjxhdXRob3I+Um9zZXIsIE0uPC9hdXRob3I+PGF1dGhv
cj5IYXNlbGwsIEouPC9hdXRob3I+PGF1dGhvcj5BcHBlbCwgQy48L2F1dGhvcj48YXV0aG9yPkdp
YXR0aW5vLCBDLjwvYXV0aG9yPjxhdXRob3I+Um9kZXMtR3VpcmFvLCBMLjwvYXV0aG9yPjwvYXV0
aG9ycz48L2NvbnRyaWJ1dG9ycz48YXV0aC1hZGRyZXNzPk91ciBXb3JsZCBpbiBEYXRhLiYjeEQ7
T3VyIFdvcmxkIGluIERhdGEsIC4gaGFubmFoLnJpdGNoaWVAb3hmb3JkbWFydGluLm94LmFjLnVr
LiYjeEQ7T3hmb3JkIE1hcnRpbiBQcm9ncmFtbWUgb24gR2xvYmFsIERldmVsb3BtZW50LCBVbml2
ZXJzaXR5IG9mIE94Zm9yZCwgT3hmb3JkLCBVbml0ZWQgS2luZ2RvbS4gaGFubmFoLnJpdGNoaWVA
b3hmb3JkbWFydGluLm94LmFjLnVrLiYjeEQ7T3hmb3JkIE1hcnRpbiBQcm9ncmFtbWUgb24gR2xv
YmFsIERldmVsb3BtZW50LCBVbml2ZXJzaXR5IG9mIE94Zm9yZCwgT3hmb3JkLCBVbml0ZWQgS2lu
Z2RvbS4mI3hEO0RlcGFydG1lbnQgb2YgU29jaWFsIFBvbGljeSBhbmQgSW50ZXJ2ZW50aW9uLCBV
bml2ZXJzaXR5IG9mIE94Zm9yZCwgT3hmb3JkLCBVbml0ZWQgS2luZ2RvbS48L2F1dGgtYWRkcmVz
cz48dGl0bGVzPjx0aXRsZT5BIGdsb2JhbCBkYXRhYmFzZSBvZiBDT1ZJRC0xOSB2YWNjaW5hdGlv
bnM8L3RpdGxlPjxzZWNvbmRhcnktdGl0bGU+TmF0IEh1bSBCZWhhdjwvc2Vjb25kYXJ5LXRpdGxl
PjwvdGl0bGVzPjxwZXJpb2RpY2FsPjxmdWxsLXRpdGxlPk5hdCBIdW0gQmVoYXY8L2Z1bGwtdGl0
bGU+PC9wZXJpb2RpY2FsPjxwYWdlcz45NDctOTUzPC9wYWdlcz48dm9sdW1lPjU8L3ZvbHVtZT48
bnVtYmVyPjc8L251bWJlcj48ZWRpdGlvbj4yMDIxMDUxMDwvZWRpdGlvbj48a2V5d29yZHM+PGtl
eXdvcmQ+Q09WSUQtMTkvZXBpZGVtaW9sb2d5LypwcmV2ZW50aW9uICZhbXA7IGNvbnRyb2w8L2tl
eXdvcmQ+PGtleXdvcmQ+Q09WSUQtMTkgVmFjY2luZXMvKnRoZXJhcGV1dGljIHVzZTwva2V5d29y
ZD48a2V5d29yZD5HbG9iYWwgSGVhbHRoPC9rZXl3b3JkPjxrZXl3b3JkPkh1bWFuczwva2V5d29y
ZD48a2V5d29yZD5JbW11bml6YXRpb24gUHJvZ3JhbXMvKnRyZW5kczwva2V5d29yZD48a2V5d29y
ZD5JbW11bml6YXRpb24gU2NoZWR1bGU8L2tleXdvcmQ+PGtleXdvcmQ+VmFjY2luYXRpb24vKnRy
ZW5kczwva2V5d29yZD48a2V5d29yZD5WYWNjaW5hdGlvbiBDb3ZlcmFnZS8qdHJlbmRzPC9rZXl3
b3JkPjwva2V5d29yZHM+PGRhdGVzPjx5ZWFyPjIwMjE8L3llYXI+PHB1Yi1kYXRlcz48ZGF0ZT5K
dWw8L2RhdGU+PC9wdWItZGF0ZXM+PC9kYXRlcz48aXNibj4yMzk3LTMzNzQgKEVsZWN0cm9uaWMp
JiN4RDsyMzk3LTMzNzQgKExpbmtpbmcpPC9pc2JuPjxhY2Nlc3Npb24tbnVtPjMzOTcyNzY3PC9h
Y2Nlc3Npb24tbnVtPjx1cmxzPjxyZWxhdGVkLXVybHM+PHVybD5odHRwczovL3d3dy5uY2JpLm5s
bS5uaWguZ292L3B1Ym1lZC8zMzk3Mjc2NzwvdXJsPjwvcmVsYXRlZC11cmxzPjwvdXJscz48ZWxl
Y3Ryb25pYy1yZXNvdXJjZS1udW0+MTAuMTAzOC9zNDE1NjItMDIxLTAxMTIyLTg8L2VsZWN0cm9u
aWMtcmVzb3VyY2UtbnVtPjxyZW1vdGUtZGF0YWJhc2UtbmFtZT5NZWRsaW5lPC9yZW1vdGUtZGF0
YWJhc2UtbmFtZT48cmVtb3RlLWRhdGFiYXNlLXByb3ZpZGVyPk5MTTwvcmVtb3RlLWRhdGFiYXNl
LXByb3ZpZGVyPjwvcmVjb3JkPjwvQ2l0ZT48L0VuZE5vdGU+AG==
</w:fldData>
        </w:fldChar>
      </w:r>
      <w:r w:rsidR="00E35562">
        <w:rPr>
          <w:rFonts w:ascii="Times New Roman" w:hAnsi="Times New Roman" w:cs="Times New Roman"/>
          <w:sz w:val="24"/>
        </w:rPr>
        <w:instrText xml:space="preserve"> ADDIN EN.CITE.DATA </w:instrText>
      </w:r>
      <w:r w:rsidR="00E35562">
        <w:rPr>
          <w:rFonts w:ascii="Times New Roman" w:hAnsi="Times New Roman" w:cs="Times New Roman"/>
          <w:sz w:val="24"/>
        </w:rPr>
      </w:r>
      <w:r w:rsidR="00E35562">
        <w:rPr>
          <w:rFonts w:ascii="Times New Roman" w:hAnsi="Times New Roman" w:cs="Times New Roman"/>
          <w:sz w:val="24"/>
        </w:rPr>
        <w:fldChar w:fldCharType="end"/>
      </w:r>
      <w:r w:rsidR="00E35562">
        <w:rPr>
          <w:rFonts w:ascii="Times New Roman" w:hAnsi="Times New Roman" w:cs="Times New Roman"/>
          <w:sz w:val="24"/>
        </w:rPr>
      </w:r>
      <w:r w:rsidR="00E35562">
        <w:rPr>
          <w:rFonts w:ascii="Times New Roman" w:hAnsi="Times New Roman" w:cs="Times New Roman"/>
          <w:sz w:val="24"/>
        </w:rPr>
        <w:fldChar w:fldCharType="separate"/>
      </w:r>
      <w:r w:rsidR="00E35562">
        <w:rPr>
          <w:rFonts w:ascii="Times New Roman" w:hAnsi="Times New Roman" w:cs="Times New Roman"/>
          <w:noProof/>
          <w:sz w:val="24"/>
        </w:rPr>
        <w:t>(19)</w:t>
      </w:r>
      <w:r w:rsidR="00E35562">
        <w:rPr>
          <w:rFonts w:ascii="Times New Roman" w:hAnsi="Times New Roman" w:cs="Times New Roman"/>
          <w:sz w:val="24"/>
        </w:rPr>
        <w:fldChar w:fldCharType="end"/>
      </w:r>
      <w:r w:rsidRPr="00A62377">
        <w:rPr>
          <w:rFonts w:ascii="Times New Roman" w:hAnsi="Times New Roman" w:cs="Times New Roman"/>
          <w:sz w:val="24"/>
        </w:rPr>
        <w:t xml:space="preserve">, which aggregates data from the Johns Hopkins CSSE and national health agencies. The policy response is measured using the Stringency Index (0–100) from the Oxford COVID-19 Government Response Tracker </w:t>
      </w:r>
      <w:r w:rsidR="00E35562">
        <w:rPr>
          <w:rFonts w:ascii="Times New Roman" w:hAnsi="Times New Roman" w:cs="Times New Roman"/>
          <w:sz w:val="24"/>
        </w:rPr>
        <w:fldChar w:fldCharType="begin">
          <w:fldData xml:space="preserve">PEVuZE5vdGU+PENpdGU+PEF1dGhvcj5IYWxlPC9BdXRob3I+PFllYXI+MjAyMTwvWWVhcj48UmVj
TnVtPjEwOTc8L1JlY051bT48RGlzcGxheVRleHQ+KDE4KTwvRGlzcGxheVRleHQ+PHJlY29yZD48
cmVjLW51bWJlcj4xMDk3PC9yZWMtbnVtYmVyPjxmb3JlaWduLWtleXM+PGtleSBhcHA9IkVOIiBk
Yi1pZD0iMDV4OWF4cHpzejV0d2FldzVzMDUwMHRyOTB6emZlcHhleHRlIiB0aW1lc3RhbXA9IjE3
NzExMzAwMDQiPjEwOTc8L2tleT48L2ZvcmVpZ24ta2V5cz48cmVmLXR5cGUgbmFtZT0iSm91cm5h
bCBBcnRpY2xlIj4xNzwvcmVmLXR5cGU+PGNvbnRyaWJ1dG9ycz48YXV0aG9ycz48YXV0aG9yPkhh
bGUsIFQuPC9hdXRob3I+PGF1dGhvcj5BbmdyaXN0LCBOLjwvYXV0aG9yPjxhdXRob3I+R29sZHN6
bWlkdCwgUi48L2F1dGhvcj48YXV0aG9yPktpcmEsIEIuPC9hdXRob3I+PGF1dGhvcj5QZXRoZXJp
Y2ssIEEuPC9hdXRob3I+PGF1dGhvcj5QaGlsbGlwcywgVC48L2F1dGhvcj48YXV0aG9yPldlYnN0
ZXIsIFMuPC9hdXRob3I+PGF1dGhvcj5DYW1lcm9uLUJsYWtlLCBFLjwvYXV0aG9yPjxhdXRob3I+
SGFsbGFzLCBMLjwvYXV0aG9yPjxhdXRob3I+TWFqdW1kYXIsIFMuPC9hdXRob3I+PGF1dGhvcj5U
YXRsb3csIEguPC9hdXRob3I+PC9hdXRob3JzPjwvY29udHJpYnV0b3JzPjxhdXRoLWFkZHJlc3M+
QmxhdmF0bmlrIFNjaG9vbCBvZiBHb3Zlcm5tZW50LCBVbml2ZXJzaXR5IG9mIE94Zm9yZCwgT3hm
b3JkLCBVSy4gVGhvbWFzLkhhbGVAYnNnLm94LmFjLnVrLiYjeEQ7QmxhdmF0bmlrIFNjaG9vbCBv
ZiBHb3Zlcm5tZW50LCBVbml2ZXJzaXR5IG9mIE94Zm9yZCwgT3hmb3JkLCBVSy4mI3hEO0JyYXpp
bGlhbiBTY2hvb2wgb2YgUHVibGljIGFuZCBCdXNpbmVzcyBBZG1pbmlzdHJhdGlvbiwgR2V0dWxp
byBWYXJnYXMgRm91bmRhdGlvbiwgUmlvIGRlIEphbmVpcm8sIEJyYXppbC4mI3hEOywgTG9uZG9u
LCBVSy48L2F1dGgtYWRkcmVzcz48dGl0bGVzPjx0aXRsZT5BIGdsb2JhbCBwYW5lbCBkYXRhYmFz
ZSBvZiBwYW5kZW1pYyBwb2xpY2llcyAoT3hmb3JkIENPVklELTE5IEdvdmVybm1lbnQgUmVzcG9u
c2UgVHJhY2tlcik8L3RpdGxlPjxzZWNvbmRhcnktdGl0bGU+TmF0IEh1bSBCZWhhdjwvc2Vjb25k
YXJ5LXRpdGxlPjwvdGl0bGVzPjxwZXJpb2RpY2FsPjxmdWxsLXRpdGxlPk5hdCBIdW0gQmVoYXY8
L2Z1bGwtdGl0bGU+PC9wZXJpb2RpY2FsPjxwYWdlcz41MjktNTM4PC9wYWdlcz48dm9sdW1lPjU8
L3ZvbHVtZT48bnVtYmVyPjQ8L251bWJlcj48ZWRpdGlvbj4yMDIxMDMwODwvZWRpdGlvbj48a2V5
d29yZHM+PGtleXdvcmQ+KmNvdmlkLTE5PC9rZXl3b3JkPjxrZXl3b3JkPkNPVklELTE5IFZhY2Np
bmVzPC9rZXl3b3JkPjxrZXl3b3JkPipDb21tdW5pY2FibGUgRGlzZWFzZSBDb250cm9sPC9rZXl3
b3JkPjxrZXl3b3JkPkNvbnRhY3QgVHJhY2luZzwva2V5d29yZD48a2V5d29yZD5EYXRhYmFzZXMs
IEZhY3R1YWw8L2tleXdvcmQ+PGtleXdvcmQ+RmluYW5jaWFsIFN1cHBvcnQ8L2tleXdvcmQ+PGtl
eXdvcmQ+KkdvdmVybm1lbnQ8L2tleXdvcmQ+PGtleXdvcmQ+SGVhbHRoIFBvbGljeTwva2V5d29y
ZD48a2V5d29yZD5IdW1hbnM8L2tleXdvcmQ+PGtleXdvcmQ+TWFza3M8L2tleXdvcmQ+PGtleXdv
cmQ+KlB1YmxpYyBQb2xpY3k8L2tleXdvcmQ+PGtleXdvcmQ+U0FSUy1Db1YtMjwva2V5d29yZD48
a2V5d29yZD5TY2hvb2xzPC9rZXl3b3JkPjxrZXl3b3JkPipTb2NpYWwgV2VsZmFyZTwva2V5d29y
ZD48a2V5d29yZD5UcmFuc3BvcnRhdGlvbjwva2V5d29yZD48a2V5d29yZD5UcmF2ZWw8L2tleXdv
cmQ+PC9rZXl3b3Jkcz48ZGF0ZXM+PHllYXI+MjAyMTwveWVhcj48cHViLWRhdGVzPjxkYXRlPkFw
cjwvZGF0ZT48L3B1Yi1kYXRlcz48L2RhdGVzPjxpc2JuPjIzOTctMzM3NCAoRWxlY3Ryb25pYykm
I3hEOzIzOTctMzM3NCAoTGlua2luZyk8L2lzYm4+PGFjY2Vzc2lvbi1udW0+MzM2ODYyMDQ8L2Fj
Y2Vzc2lvbi1udW0+PHVybHM+PHJlbGF0ZWQtdXJscz48dXJsPmh0dHBzOi8vd3d3Lm5jYmkubmxt
Lm5paC5nb3YvcHVibWVkLzMzNjg2MjA0PC91cmw+PC9yZWxhdGVkLXVybHM+PC91cmxzPjxlbGVj
dHJvbmljLXJlc291cmNlLW51bT4xMC4xMDM4L3M0MTU2Mi0wMjEtMDEwNzktODwvZWxlY3Ryb25p
Yy1yZXNvdXJjZS1udW0+PHJlbW90ZS1kYXRhYmFzZS1uYW1lPk1lZGxpbmU8L3JlbW90ZS1kYXRh
YmFzZS1uYW1lPjxyZW1vdGUtZGF0YWJhc2UtcHJvdmlkZXI+TkxNPC9yZW1vdGUtZGF0YWJhc2Ut
cHJvdmlkZXI+PC9yZWNvcmQ+PC9DaXRlPjwvRW5kTm90ZT4A
</w:fldData>
        </w:fldChar>
      </w:r>
      <w:r w:rsidR="00E35562">
        <w:rPr>
          <w:rFonts w:ascii="Times New Roman" w:hAnsi="Times New Roman" w:cs="Times New Roman"/>
          <w:sz w:val="24"/>
        </w:rPr>
        <w:instrText xml:space="preserve"> ADDIN EN.CITE </w:instrText>
      </w:r>
      <w:r w:rsidR="00E35562">
        <w:rPr>
          <w:rFonts w:ascii="Times New Roman" w:hAnsi="Times New Roman" w:cs="Times New Roman"/>
          <w:sz w:val="24"/>
        </w:rPr>
        <w:fldChar w:fldCharType="begin">
          <w:fldData xml:space="preserve">PEVuZE5vdGU+PENpdGU+PEF1dGhvcj5IYWxlPC9BdXRob3I+PFllYXI+MjAyMTwvWWVhcj48UmVj
TnVtPjEwOTc8L1JlY051bT48RGlzcGxheVRleHQ+KDE4KTwvRGlzcGxheVRleHQ+PHJlY29yZD48
cmVjLW51bWJlcj4xMDk3PC9yZWMtbnVtYmVyPjxmb3JlaWduLWtleXM+PGtleSBhcHA9IkVOIiBk
Yi1pZD0iMDV4OWF4cHpzejV0d2FldzVzMDUwMHRyOTB6emZlcHhleHRlIiB0aW1lc3RhbXA9IjE3
NzExMzAwMDQiPjEwOTc8L2tleT48L2ZvcmVpZ24ta2V5cz48cmVmLXR5cGUgbmFtZT0iSm91cm5h
bCBBcnRpY2xlIj4xNzwvcmVmLXR5cGU+PGNvbnRyaWJ1dG9ycz48YXV0aG9ycz48YXV0aG9yPkhh
bGUsIFQuPC9hdXRob3I+PGF1dGhvcj5BbmdyaXN0LCBOLjwvYXV0aG9yPjxhdXRob3I+R29sZHN6
bWlkdCwgUi48L2F1dGhvcj48YXV0aG9yPktpcmEsIEIuPC9hdXRob3I+PGF1dGhvcj5QZXRoZXJp
Y2ssIEEuPC9hdXRob3I+PGF1dGhvcj5QaGlsbGlwcywgVC48L2F1dGhvcj48YXV0aG9yPldlYnN0
ZXIsIFMuPC9hdXRob3I+PGF1dGhvcj5DYW1lcm9uLUJsYWtlLCBFLjwvYXV0aG9yPjxhdXRob3I+
SGFsbGFzLCBMLjwvYXV0aG9yPjxhdXRob3I+TWFqdW1kYXIsIFMuPC9hdXRob3I+PGF1dGhvcj5U
YXRsb3csIEguPC9hdXRob3I+PC9hdXRob3JzPjwvY29udHJpYnV0b3JzPjxhdXRoLWFkZHJlc3M+
QmxhdmF0bmlrIFNjaG9vbCBvZiBHb3Zlcm5tZW50LCBVbml2ZXJzaXR5IG9mIE94Zm9yZCwgT3hm
b3JkLCBVSy4gVGhvbWFzLkhhbGVAYnNnLm94LmFjLnVrLiYjeEQ7QmxhdmF0bmlrIFNjaG9vbCBv
ZiBHb3Zlcm5tZW50LCBVbml2ZXJzaXR5IG9mIE94Zm9yZCwgT3hmb3JkLCBVSy4mI3hEO0JyYXpp
bGlhbiBTY2hvb2wgb2YgUHVibGljIGFuZCBCdXNpbmVzcyBBZG1pbmlzdHJhdGlvbiwgR2V0dWxp
byBWYXJnYXMgRm91bmRhdGlvbiwgUmlvIGRlIEphbmVpcm8sIEJyYXppbC4mI3hEOywgTG9uZG9u
LCBVSy48L2F1dGgtYWRkcmVzcz48dGl0bGVzPjx0aXRsZT5BIGdsb2JhbCBwYW5lbCBkYXRhYmFz
ZSBvZiBwYW5kZW1pYyBwb2xpY2llcyAoT3hmb3JkIENPVklELTE5IEdvdmVybm1lbnQgUmVzcG9u
c2UgVHJhY2tlcik8L3RpdGxlPjxzZWNvbmRhcnktdGl0bGU+TmF0IEh1bSBCZWhhdjwvc2Vjb25k
YXJ5LXRpdGxlPjwvdGl0bGVzPjxwZXJpb2RpY2FsPjxmdWxsLXRpdGxlPk5hdCBIdW0gQmVoYXY8
L2Z1bGwtdGl0bGU+PC9wZXJpb2RpY2FsPjxwYWdlcz41MjktNTM4PC9wYWdlcz48dm9sdW1lPjU8
L3ZvbHVtZT48bnVtYmVyPjQ8L251bWJlcj48ZWRpdGlvbj4yMDIxMDMwODwvZWRpdGlvbj48a2V5
d29yZHM+PGtleXdvcmQ+KmNvdmlkLTE5PC9rZXl3b3JkPjxrZXl3b3JkPkNPVklELTE5IFZhY2Np
bmVzPC9rZXl3b3JkPjxrZXl3b3JkPipDb21tdW5pY2FibGUgRGlzZWFzZSBDb250cm9sPC9rZXl3
b3JkPjxrZXl3b3JkPkNvbnRhY3QgVHJhY2luZzwva2V5d29yZD48a2V5d29yZD5EYXRhYmFzZXMs
IEZhY3R1YWw8L2tleXdvcmQ+PGtleXdvcmQ+RmluYW5jaWFsIFN1cHBvcnQ8L2tleXdvcmQ+PGtl
eXdvcmQ+KkdvdmVybm1lbnQ8L2tleXdvcmQ+PGtleXdvcmQ+SGVhbHRoIFBvbGljeTwva2V5d29y
ZD48a2V5d29yZD5IdW1hbnM8L2tleXdvcmQ+PGtleXdvcmQ+TWFza3M8L2tleXdvcmQ+PGtleXdv
cmQ+KlB1YmxpYyBQb2xpY3k8L2tleXdvcmQ+PGtleXdvcmQ+U0FSUy1Db1YtMjwva2V5d29yZD48
a2V5d29yZD5TY2hvb2xzPC9rZXl3b3JkPjxrZXl3b3JkPipTb2NpYWwgV2VsZmFyZTwva2V5d29y
ZD48a2V5d29yZD5UcmFuc3BvcnRhdGlvbjwva2V5d29yZD48a2V5d29yZD5UcmF2ZWw8L2tleXdv
cmQ+PC9rZXl3b3Jkcz48ZGF0ZXM+PHllYXI+MjAyMTwveWVhcj48cHViLWRhdGVzPjxkYXRlPkFw
cjwvZGF0ZT48L3B1Yi1kYXRlcz48L2RhdGVzPjxpc2JuPjIzOTctMzM3NCAoRWxlY3Ryb25pYykm
I3hEOzIzOTctMzM3NCAoTGlua2luZyk8L2lzYm4+PGFjY2Vzc2lvbi1udW0+MzM2ODYyMDQ8L2Fj
Y2Vzc2lvbi1udW0+PHVybHM+PHJlbGF0ZWQtdXJscz48dXJsPmh0dHBzOi8vd3d3Lm5jYmkubmxt
Lm5paC5nb3YvcHVibWVkLzMzNjg2MjA0PC91cmw+PC9yZWxhdGVkLXVybHM+PC91cmxzPjxlbGVj
dHJvbmljLXJlc291cmNlLW51bT4xMC4xMDM4L3M0MTU2Mi0wMjEtMDEwNzktODwvZWxlY3Ryb25p
Yy1yZXNvdXJjZS1udW0+PHJlbW90ZS1kYXRhYmFzZS1uYW1lPk1lZGxpbmU8L3JlbW90ZS1kYXRh
YmFzZS1uYW1lPjxyZW1vdGUtZGF0YWJhc2UtcHJvdmlkZXI+TkxNPC9yZW1vdGUtZGF0YWJhc2Ut
cHJvdmlkZXI+PC9yZWNvcmQ+PC9DaXRlPjwvRW5kTm90ZT4A
</w:fldData>
        </w:fldChar>
      </w:r>
      <w:r w:rsidR="00E35562">
        <w:rPr>
          <w:rFonts w:ascii="Times New Roman" w:hAnsi="Times New Roman" w:cs="Times New Roman"/>
          <w:sz w:val="24"/>
        </w:rPr>
        <w:instrText xml:space="preserve"> ADDIN EN.CITE.DATA </w:instrText>
      </w:r>
      <w:r w:rsidR="00E35562">
        <w:rPr>
          <w:rFonts w:ascii="Times New Roman" w:hAnsi="Times New Roman" w:cs="Times New Roman"/>
          <w:sz w:val="24"/>
        </w:rPr>
      </w:r>
      <w:r w:rsidR="00E35562">
        <w:rPr>
          <w:rFonts w:ascii="Times New Roman" w:hAnsi="Times New Roman" w:cs="Times New Roman"/>
          <w:sz w:val="24"/>
        </w:rPr>
        <w:fldChar w:fldCharType="end"/>
      </w:r>
      <w:r w:rsidR="00E35562">
        <w:rPr>
          <w:rFonts w:ascii="Times New Roman" w:hAnsi="Times New Roman" w:cs="Times New Roman"/>
          <w:sz w:val="24"/>
        </w:rPr>
      </w:r>
      <w:r w:rsidR="00E35562">
        <w:rPr>
          <w:rFonts w:ascii="Times New Roman" w:hAnsi="Times New Roman" w:cs="Times New Roman"/>
          <w:sz w:val="24"/>
        </w:rPr>
        <w:fldChar w:fldCharType="separate"/>
      </w:r>
      <w:r w:rsidR="00E35562">
        <w:rPr>
          <w:rFonts w:ascii="Times New Roman" w:hAnsi="Times New Roman" w:cs="Times New Roman"/>
          <w:noProof/>
          <w:sz w:val="24"/>
        </w:rPr>
        <w:t>(18)</w:t>
      </w:r>
      <w:r w:rsidR="00E35562">
        <w:rPr>
          <w:rFonts w:ascii="Times New Roman" w:hAnsi="Times New Roman" w:cs="Times New Roman"/>
          <w:sz w:val="24"/>
        </w:rPr>
        <w:fldChar w:fldCharType="end"/>
      </w:r>
      <w:r w:rsidRPr="00A62377">
        <w:rPr>
          <w:rFonts w:ascii="Times New Roman" w:hAnsi="Times New Roman" w:cs="Times New Roman"/>
          <w:sz w:val="24"/>
        </w:rPr>
        <w:t>, a composite of nine containment and closure indicators including school closures, workplace closures, stay-at-home requirements, and restrictions on gatherings. We compute the country-level mean of the Stringency Index over 2020–2021, the period of maximum policy variation across OECD nations.</w:t>
      </w:r>
    </w:p>
    <w:p w14:paraId="56EA1DA1" w14:textId="77777777" w:rsidR="008C5A01" w:rsidRDefault="008C5A01" w:rsidP="008C5A01">
      <w:pPr>
        <w:spacing w:line="480" w:lineRule="auto"/>
        <w:rPr>
          <w:rFonts w:ascii="Times New Roman" w:hAnsi="Times New Roman" w:cs="Times New Roman"/>
          <w:sz w:val="24"/>
        </w:rPr>
      </w:pPr>
      <w:r w:rsidRPr="008C5A01">
        <w:rPr>
          <w:rFonts w:ascii="Times New Roman" w:hAnsi="Times New Roman" w:cs="Times New Roman"/>
          <w:i/>
          <w:iCs/>
          <w:sz w:val="24"/>
        </w:rPr>
        <w:t>Historical epidemic exposure.</w:t>
      </w:r>
      <w:r w:rsidRPr="008C5A01">
        <w:rPr>
          <w:rFonts w:ascii="Times New Roman" w:hAnsi="Times New Roman" w:cs="Times New Roman"/>
          <w:sz w:val="24"/>
        </w:rPr>
        <w:t xml:space="preserve"> </w:t>
      </w:r>
    </w:p>
    <w:p w14:paraId="16F207AC" w14:textId="665C9417" w:rsidR="008C5A01" w:rsidRPr="008C5A01"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t xml:space="preserve">To situate the COVID-19 analysis within a broader epidemiological context, we draw on the EM-DAT International Disaster Database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&lt;EndNote&gt;&lt;Cite&gt;&lt;Author&gt;Guha-Sapir&lt;/Author&gt;&lt;Year&gt;2025&lt;/Year&gt;&lt;RecNum&gt;1096&lt;/RecNum&gt;&lt;DisplayText&gt;(17)&lt;/DisplayText&gt;&lt;record&gt;&lt;rec-number&gt;1096&lt;/rec-number&gt;&lt;foreign-keys&gt;&lt;key app="EN" db-id="05x9axpzsz5twaew5s0500tr90zzfepxexte" timestamp="1771129934"&gt;1096&lt;/key&gt;&lt;/foreign-keys&gt;&lt;ref-type name="Web Page"&gt;12&lt;/ref-type&gt;&lt;contributors&gt;&lt;authors&gt;&lt;author&gt;Guha-Sapir, Debarati&lt;/author&gt;&lt;author&gt;Below, Regina&lt;/author&gt;&lt;author&gt;Hoyois, Philippe&lt;/author&gt;&lt;/authors&gt;&lt;/contributors&gt;&lt;titles&gt;&lt;title&gt;EM-DAT: The CRED/OFDA International Disaster Database&lt;/title&gt;&lt;/titles&gt;&lt;dates&gt;&lt;year&gt;2025&lt;/year&gt;&lt;/dates&gt;&lt;pub-location&gt;Brussels, Belgium&lt;/pub-location&gt;&lt;publisher&gt;Université catholique de Louvain (UCLouvain), Centre for Research on the Epidemiology of Disasters (CRED)&lt;/publisher&gt;&lt;urls&gt;&lt;related-urls&gt;&lt;url&gt;https://www.emdat.be&lt;/url&gt;&lt;/related-urls&gt;&lt;/urls&gt;&lt;/record&gt;&lt;/Cite&gt;&lt;/EndNote&gt;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(17)</w:t>
      </w:r>
      <w:r w:rsidR="00E35562">
        <w:rPr>
          <w:rFonts w:ascii="Times New Roman" w:hAnsi="Times New Roman" w:cs="Times New Roman"/>
          <w:sz w:val="24"/>
        </w:rPr>
        <w:fldChar w:fldCharType="end"/>
      </w:r>
      <w:r w:rsidRPr="00A62377">
        <w:rPr>
          <w:rFonts w:ascii="Times New Roman" w:hAnsi="Times New Roman" w:cs="Times New Roman"/>
          <w:sz w:val="24"/>
        </w:rPr>
        <w:t>, which records 888 epidemic events across 604 country-years in the period 2000–2025. This dataset is used in preliminary models to test whether historical epidemic exposure — independent of COVID-19 — predicts political outcomes.</w:t>
      </w:r>
    </w:p>
    <w:p w14:paraId="4E57EFFB" w14:textId="77777777" w:rsidR="008C5A01" w:rsidRDefault="008C5A01" w:rsidP="008C5A01">
      <w:pPr>
        <w:spacing w:line="480" w:lineRule="auto"/>
        <w:rPr>
          <w:rFonts w:ascii="Times New Roman" w:hAnsi="Times New Roman" w:cs="Times New Roman"/>
          <w:i/>
          <w:iCs/>
          <w:sz w:val="24"/>
        </w:rPr>
      </w:pPr>
      <w:r w:rsidRPr="008C5A01">
        <w:rPr>
          <w:rFonts w:ascii="Times New Roman" w:hAnsi="Times New Roman" w:cs="Times New Roman"/>
          <w:i/>
          <w:iCs/>
          <w:sz w:val="24"/>
        </w:rPr>
        <w:t>Pre-pandemic baseline.</w:t>
      </w:r>
    </w:p>
    <w:p w14:paraId="1B6CD729" w14:textId="71BF7573" w:rsidR="008C5A01" w:rsidRPr="008C5A01"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t>Pre-pandemic social cohesion is measured as the 2019 value of `v2smpolsoc`, providing a pre-treatment benchmark uncontaminated by pandemic dynamics. This variable serves both as a control for baseline conditions and as the key predictor in our selection analysis.</w:t>
      </w:r>
    </w:p>
    <w:p w14:paraId="3987067A" w14:textId="26D1448A" w:rsidR="008C5A01" w:rsidRPr="008C5A01" w:rsidRDefault="008C5A01" w:rsidP="008C5A01">
      <w:pPr>
        <w:spacing w:line="480" w:lineRule="auto"/>
        <w:rPr>
          <w:rFonts w:ascii="Times New Roman" w:hAnsi="Times New Roman" w:cs="Times New Roman"/>
          <w:i/>
          <w:iCs/>
          <w:sz w:val="24"/>
        </w:rPr>
      </w:pPr>
      <w:r w:rsidRPr="008C5A01">
        <w:rPr>
          <w:rFonts w:ascii="Times New Roman" w:hAnsi="Times New Roman" w:cs="Times New Roman"/>
          <w:i/>
          <w:iCs/>
          <w:sz w:val="24"/>
        </w:rPr>
        <w:t>Sample</w:t>
      </w:r>
    </w:p>
    <w:p w14:paraId="781478AB" w14:textId="77777777" w:rsidR="00A62377"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lastRenderedPageBreak/>
        <w:t>The sample comprises all 38 current OECD member states, providing a relatively homogeneous set of high-income democracies that nonetheless exhibit substantial variation in both pandemic policy responses (Stringency Index range: 37.5–65.3) and social cohesion (v2smpolsoc range: −2.87 to +2.48 in 2019). All countries have complete V-Dem coverage through 2024 and OWID coverage through at least mid-2024.</w:t>
      </w:r>
    </w:p>
    <w:p w14:paraId="28DE8891" w14:textId="44661D59" w:rsidR="008C5A01" w:rsidRPr="00F44841" w:rsidRDefault="008C5A01" w:rsidP="008C5A01">
      <w:pPr>
        <w:spacing w:line="480" w:lineRule="auto"/>
        <w:rPr>
          <w:rFonts w:ascii="Times New Roman" w:hAnsi="Times New Roman" w:cs="Times New Roman"/>
          <w:sz w:val="24"/>
        </w:rPr>
      </w:pPr>
      <w:r w:rsidRPr="008C5A01">
        <w:rPr>
          <w:rFonts w:ascii="Times New Roman" w:hAnsi="Times New Roman" w:cs="Times New Roman"/>
          <w:i/>
          <w:iCs/>
          <w:sz w:val="24"/>
        </w:rPr>
        <w:t>Empirical Strategy</w:t>
      </w:r>
    </w:p>
    <w:p w14:paraId="3646E6C2" w14:textId="581783B4" w:rsidR="008C5A01" w:rsidRPr="008C5A01" w:rsidRDefault="008C5A01" w:rsidP="008C5A01">
      <w:pPr>
        <w:spacing w:line="480" w:lineRule="auto"/>
        <w:rPr>
          <w:rFonts w:ascii="Times New Roman" w:hAnsi="Times New Roman" w:cs="Times New Roman"/>
          <w:sz w:val="24"/>
        </w:rPr>
      </w:pPr>
      <w:r w:rsidRPr="008C5A01">
        <w:rPr>
          <w:rFonts w:ascii="Times New Roman" w:hAnsi="Times New Roman" w:cs="Times New Roman"/>
          <w:sz w:val="24"/>
        </w:rPr>
        <w:t>Our identification strategy rests on a Two-Way Fixed Effects (TWFE) model</w:t>
      </w:r>
      <w:r>
        <w:rPr>
          <w:rFonts w:ascii="Times New Roman" w:hAnsi="Times New Roman" w:cs="Times New Roman"/>
          <w:sz w:val="24"/>
        </w:rPr>
        <w:t xml:space="preserve"> </w:t>
      </w:r>
      <w:r w:rsidRPr="008C5A01">
        <w:rPr>
          <w:rFonts w:ascii="Times New Roman" w:hAnsi="Times New Roman" w:cs="Times New Roman"/>
          <w:sz w:val="24"/>
        </w:rPr>
        <w:t xml:space="preserve">estimated on first-differenced outcomes. For country </w:t>
      </w:r>
      <w:proofErr w:type="spellStart"/>
      <w:r w:rsidRPr="008C5A01">
        <w:rPr>
          <w:rFonts w:ascii="Times New Roman" w:hAnsi="Times New Roman" w:cs="Times New Roman"/>
          <w:sz w:val="24"/>
        </w:rPr>
        <w:t>i</w:t>
      </w:r>
      <w:proofErr w:type="spellEnd"/>
      <w:r w:rsidRPr="008C5A01">
        <w:rPr>
          <w:rFonts w:ascii="Times New Roman" w:hAnsi="Times New Roman" w:cs="Times New Roman"/>
          <w:sz w:val="24"/>
        </w:rPr>
        <w:t xml:space="preserve"> in year t, the</w:t>
      </w:r>
      <w:r>
        <w:rPr>
          <w:rFonts w:ascii="Times New Roman" w:hAnsi="Times New Roman" w:cs="Times New Roman"/>
          <w:sz w:val="24"/>
        </w:rPr>
        <w:t xml:space="preserve"> </w:t>
      </w:r>
      <w:r w:rsidRPr="008C5A01">
        <w:rPr>
          <w:rFonts w:ascii="Times New Roman" w:hAnsi="Times New Roman" w:cs="Times New Roman"/>
          <w:sz w:val="24"/>
        </w:rPr>
        <w:t>estimating equation is:</w:t>
      </w:r>
    </w:p>
    <w:p w14:paraId="41A0896D" w14:textId="63AFB4BB" w:rsidR="008C5A01" w:rsidRPr="008C5A01" w:rsidRDefault="002F32CF" w:rsidP="008C5A01">
      <w:pPr>
        <w:spacing w:line="480" w:lineRule="auto"/>
        <w:rPr>
          <w:rFonts w:ascii="Times New Roman" w:hAnsi="Times New Roman" w:cs="Times New Roman"/>
          <w:sz w:val="24"/>
        </w:rPr>
      </w:pPr>
      <m:oMathPara>
        <m:oMath>
          <m:r>
            <m:rPr>
              <m:sty m:val="p"/>
            </m:rPr>
            <w:rPr>
              <w:rFonts w:ascii="Cambria Math" w:hAnsi="Cambria Math" w:cs="Times New Roman"/>
              <w:sz w:val="24"/>
            </w:rPr>
            <m:t>Δ</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m:t>
              </m:r>
            </m:sub>
          </m:sSub>
          <m:r>
            <w:rPr>
              <w:rFonts w:ascii="Cambria Math" w:hAnsi="Cambria Math" w:cs="Times New Roman"/>
              <w:sz w:val="24"/>
            </w:rPr>
            <m:t>=β</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ε</m:t>
              </m:r>
            </m:e>
            <m:sub>
              <m:r>
                <w:rPr>
                  <w:rFonts w:ascii="Cambria Math" w:hAnsi="Cambria Math" w:cs="Times New Roman"/>
                  <w:sz w:val="24"/>
                </w:rPr>
                <m:t>it</m:t>
              </m:r>
            </m:sub>
          </m:sSub>
        </m:oMath>
      </m:oMathPara>
    </w:p>
    <w:p w14:paraId="7CAA0058" w14:textId="0B5CEF44" w:rsidR="008C5A01" w:rsidRDefault="008C5A01" w:rsidP="008C5A01">
      <w:pPr>
        <w:spacing w:line="480" w:lineRule="auto"/>
        <w:rPr>
          <w:rFonts w:ascii="Times New Roman" w:hAnsi="Times New Roman" w:cs="Times New Roman"/>
          <w:sz w:val="24"/>
        </w:rPr>
      </w:pPr>
      <w:r w:rsidRPr="008C5A01">
        <w:rPr>
          <w:rFonts w:ascii="Times New Roman" w:hAnsi="Times New Roman" w:cs="Times New Roman"/>
          <w:sz w:val="24"/>
        </w:rPr>
        <w:t xml:space="preserve">where </w:t>
      </w:r>
      <m:oMath>
        <m:r>
          <m:rPr>
            <m:sty m:val="p"/>
          </m:rPr>
          <w:rPr>
            <w:rFonts w:ascii="Cambria Math" w:hAnsi="Cambria Math" w:cs="Times New Roman"/>
            <w:sz w:val="24"/>
          </w:rPr>
          <m:t>Δ</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it-1</m:t>
            </m:r>
          </m:sub>
        </m:sSub>
      </m:oMath>
      <w:r w:rsidRPr="008C5A01">
        <w:rPr>
          <w:rFonts w:ascii="Times New Roman" w:hAnsi="Times New Roman" w:cs="Times New Roman"/>
          <w:sz w:val="24"/>
        </w:rPr>
        <w:t xml:space="preserve"> is the annual change in social</w:t>
      </w:r>
      <w:r>
        <w:rPr>
          <w:rFonts w:ascii="Times New Roman" w:hAnsi="Times New Roman" w:cs="Times New Roman"/>
          <w:sz w:val="24"/>
        </w:rPr>
        <w:t xml:space="preserve"> </w:t>
      </w:r>
      <w:r w:rsidRPr="008C5A01">
        <w:rPr>
          <w:rFonts w:ascii="Times New Roman" w:hAnsi="Times New Roman" w:cs="Times New Roman"/>
          <w:sz w:val="24"/>
        </w:rPr>
        <w:t xml:space="preserve">polarization, </w:t>
      </w:r>
      <m:oMath>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it</m:t>
            </m:r>
          </m:sub>
        </m:sSub>
      </m:oMath>
      <w:r w:rsidRPr="008C5A01">
        <w:rPr>
          <w:rFonts w:ascii="Times New Roman" w:hAnsi="Times New Roman" w:cs="Times New Roman"/>
          <w:sz w:val="24"/>
        </w:rPr>
        <w:t xml:space="preserve"> is the exposure variable (log COVID-19 mortality or</w:t>
      </w:r>
      <w:r>
        <w:rPr>
          <w:rFonts w:ascii="Times New Roman" w:hAnsi="Times New Roman" w:cs="Times New Roman"/>
          <w:sz w:val="24"/>
        </w:rPr>
        <w:t xml:space="preserve"> </w:t>
      </w:r>
      <w:r w:rsidRPr="008C5A01">
        <w:rPr>
          <w:rFonts w:ascii="Times New Roman" w:hAnsi="Times New Roman" w:cs="Times New Roman"/>
          <w:sz w:val="24"/>
        </w:rPr>
        <w:t xml:space="preserve">lockdown stringency), </w:t>
      </w:r>
      <m:oMath>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i</m:t>
            </m:r>
          </m:sub>
        </m:sSub>
      </m:oMath>
      <w:r w:rsidRPr="008C5A01">
        <w:rPr>
          <w:rFonts w:ascii="Times New Roman" w:hAnsi="Times New Roman" w:cs="Times New Roman"/>
          <w:sz w:val="24"/>
        </w:rPr>
        <w:t xml:space="preserve"> denotes country fixed effects absorbing</w:t>
      </w:r>
      <w:r>
        <w:rPr>
          <w:rFonts w:ascii="Times New Roman" w:hAnsi="Times New Roman" w:cs="Times New Roman"/>
          <w:sz w:val="24"/>
        </w:rPr>
        <w:t xml:space="preserve"> </w:t>
      </w:r>
      <w:r w:rsidRPr="008C5A01">
        <w:rPr>
          <w:rFonts w:ascii="Times New Roman" w:hAnsi="Times New Roman" w:cs="Times New Roman"/>
          <w:sz w:val="24"/>
        </w:rPr>
        <w:t>time-invariant confounders (political culture, institutional heritage,</w:t>
      </w:r>
      <w:r>
        <w:rPr>
          <w:rFonts w:ascii="Times New Roman" w:hAnsi="Times New Roman" w:cs="Times New Roman"/>
          <w:sz w:val="24"/>
        </w:rPr>
        <w:t xml:space="preserve"> </w:t>
      </w:r>
      <w:r w:rsidRPr="008C5A01">
        <w:rPr>
          <w:rFonts w:ascii="Times New Roman" w:hAnsi="Times New Roman" w:cs="Times New Roman"/>
          <w:sz w:val="24"/>
        </w:rPr>
        <w:t xml:space="preserve">geography), and </w:t>
      </w:r>
      <m:oMath>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t</m:t>
            </m:r>
          </m:sub>
        </m:sSub>
      </m:oMath>
      <w:r w:rsidRPr="008C5A01">
        <w:rPr>
          <w:rFonts w:ascii="Times New Roman" w:hAnsi="Times New Roman" w:cs="Times New Roman"/>
          <w:sz w:val="24"/>
        </w:rPr>
        <w:t xml:space="preserve"> denotes year fixed effects absorbing common</w:t>
      </w:r>
      <w:r>
        <w:rPr>
          <w:rFonts w:ascii="Times New Roman" w:hAnsi="Times New Roman" w:cs="Times New Roman"/>
          <w:sz w:val="24"/>
        </w:rPr>
        <w:t xml:space="preserve"> </w:t>
      </w:r>
      <w:r w:rsidRPr="008C5A01">
        <w:rPr>
          <w:rFonts w:ascii="Times New Roman" w:hAnsi="Times New Roman" w:cs="Times New Roman"/>
          <w:sz w:val="24"/>
        </w:rPr>
        <w:t>temporal shocks (global pandemic waves, economic cycles, information</w:t>
      </w:r>
      <w:r>
        <w:rPr>
          <w:rFonts w:ascii="Times New Roman" w:hAnsi="Times New Roman" w:cs="Times New Roman"/>
          <w:sz w:val="24"/>
        </w:rPr>
        <w:t xml:space="preserve"> </w:t>
      </w:r>
      <w:r w:rsidRPr="008C5A01">
        <w:rPr>
          <w:rFonts w:ascii="Times New Roman" w:hAnsi="Times New Roman" w:cs="Times New Roman"/>
          <w:sz w:val="24"/>
        </w:rPr>
        <w:t>environment shifts). Standard errors are clustered at the country level to</w:t>
      </w:r>
      <w:r>
        <w:rPr>
          <w:rFonts w:ascii="Times New Roman" w:hAnsi="Times New Roman" w:cs="Times New Roman"/>
          <w:sz w:val="24"/>
        </w:rPr>
        <w:t xml:space="preserve"> </w:t>
      </w:r>
      <w:r w:rsidRPr="008C5A01">
        <w:rPr>
          <w:rFonts w:ascii="Times New Roman" w:hAnsi="Times New Roman" w:cs="Times New Roman"/>
          <w:sz w:val="24"/>
        </w:rPr>
        <w:t>account for serial correlation within panels.</w:t>
      </w:r>
    </w:p>
    <w:p w14:paraId="73B204C6" w14:textId="77777777" w:rsidR="008C5A01" w:rsidRDefault="008C5A01" w:rsidP="008C5A01">
      <w:pPr>
        <w:spacing w:line="480" w:lineRule="auto"/>
        <w:rPr>
          <w:rFonts w:ascii="Times New Roman" w:hAnsi="Times New Roman" w:cs="Times New Roman"/>
          <w:sz w:val="24"/>
        </w:rPr>
      </w:pPr>
      <w:r>
        <w:rPr>
          <w:rFonts w:ascii="Times New Roman" w:hAnsi="Times New Roman" w:cs="Times New Roman"/>
          <w:sz w:val="24"/>
        </w:rPr>
        <w:tab/>
      </w:r>
      <w:r w:rsidRPr="008C5A01">
        <w:rPr>
          <w:rFonts w:ascii="Times New Roman" w:hAnsi="Times New Roman" w:cs="Times New Roman"/>
          <w:sz w:val="24"/>
        </w:rPr>
        <w:t xml:space="preserve">The </w:t>
      </w:r>
      <w:proofErr w:type="gramStart"/>
      <w:r w:rsidRPr="008C5A01">
        <w:rPr>
          <w:rFonts w:ascii="Times New Roman" w:hAnsi="Times New Roman" w:cs="Times New Roman"/>
          <w:sz w:val="24"/>
        </w:rPr>
        <w:t>first-differencing</w:t>
      </w:r>
      <w:proofErr w:type="gramEnd"/>
      <w:r w:rsidRPr="008C5A01">
        <w:rPr>
          <w:rFonts w:ascii="Times New Roman" w:hAnsi="Times New Roman" w:cs="Times New Roman"/>
          <w:sz w:val="24"/>
        </w:rPr>
        <w:t xml:space="preserve"> of the outcome serves a specific purpose: it shifts the</w:t>
      </w:r>
      <w:r>
        <w:rPr>
          <w:rFonts w:ascii="Times New Roman" w:hAnsi="Times New Roman" w:cs="Times New Roman"/>
          <w:sz w:val="24"/>
        </w:rPr>
        <w:t xml:space="preserve"> </w:t>
      </w:r>
      <w:proofErr w:type="spellStart"/>
      <w:r w:rsidRPr="008C5A01">
        <w:rPr>
          <w:rFonts w:ascii="Times New Roman" w:hAnsi="Times New Roman" w:cs="Times New Roman"/>
          <w:sz w:val="24"/>
        </w:rPr>
        <w:t>estimand</w:t>
      </w:r>
      <w:proofErr w:type="spellEnd"/>
      <w:r w:rsidRPr="008C5A01">
        <w:rPr>
          <w:rFonts w:ascii="Times New Roman" w:hAnsi="Times New Roman" w:cs="Times New Roman"/>
          <w:sz w:val="24"/>
        </w:rPr>
        <w:t xml:space="preserve"> from levels of polarization — which are dominated by slow-moving,</w:t>
      </w:r>
      <w:r>
        <w:rPr>
          <w:rFonts w:ascii="Times New Roman" w:hAnsi="Times New Roman" w:cs="Times New Roman"/>
          <w:sz w:val="24"/>
        </w:rPr>
        <w:t xml:space="preserve"> </w:t>
      </w:r>
      <w:r w:rsidRPr="008C5A01">
        <w:rPr>
          <w:rFonts w:ascii="Times New Roman" w:hAnsi="Times New Roman" w:cs="Times New Roman"/>
          <w:sz w:val="24"/>
        </w:rPr>
        <w:t>path-dependent processes — to changes in polarization, isolating year-on-year</w:t>
      </w:r>
      <w:r>
        <w:rPr>
          <w:rFonts w:ascii="Times New Roman" w:hAnsi="Times New Roman" w:cs="Times New Roman"/>
          <w:sz w:val="24"/>
        </w:rPr>
        <w:t xml:space="preserve"> </w:t>
      </w:r>
      <w:r w:rsidRPr="008C5A01">
        <w:rPr>
          <w:rFonts w:ascii="Times New Roman" w:hAnsi="Times New Roman" w:cs="Times New Roman"/>
          <w:sz w:val="24"/>
        </w:rPr>
        <w:t xml:space="preserve">acceleration </w:t>
      </w:r>
      <w:r w:rsidRPr="008C5A01">
        <w:rPr>
          <w:rFonts w:ascii="Times New Roman" w:hAnsi="Times New Roman" w:cs="Times New Roman"/>
          <w:sz w:val="24"/>
        </w:rPr>
        <w:lastRenderedPageBreak/>
        <w:t>that might plausibly respond to pandemic-era variation. This is a conservative specification; it asks not whether more-exposed countries are</w:t>
      </w:r>
      <w:r>
        <w:rPr>
          <w:rFonts w:ascii="Times New Roman" w:hAnsi="Times New Roman" w:cs="Times New Roman"/>
          <w:sz w:val="24"/>
        </w:rPr>
        <w:t xml:space="preserve"> </w:t>
      </w:r>
      <w:r w:rsidRPr="008C5A01">
        <w:rPr>
          <w:rFonts w:ascii="Times New Roman" w:hAnsi="Times New Roman" w:cs="Times New Roman"/>
          <w:sz w:val="24"/>
        </w:rPr>
        <w:t>more polarized, but whether they became more polarized faster during the</w:t>
      </w:r>
      <w:r>
        <w:rPr>
          <w:rFonts w:ascii="Times New Roman" w:hAnsi="Times New Roman" w:cs="Times New Roman"/>
          <w:sz w:val="24"/>
        </w:rPr>
        <w:t xml:space="preserve"> </w:t>
      </w:r>
      <w:r w:rsidRPr="008C5A01">
        <w:rPr>
          <w:rFonts w:ascii="Times New Roman" w:hAnsi="Times New Roman" w:cs="Times New Roman"/>
          <w:sz w:val="24"/>
        </w:rPr>
        <w:t>period of exposure.</w:t>
      </w:r>
      <w:r>
        <w:rPr>
          <w:rFonts w:ascii="Times New Roman" w:hAnsi="Times New Roman" w:cs="Times New Roman"/>
          <w:sz w:val="24"/>
        </w:rPr>
        <w:t xml:space="preserve"> </w:t>
      </w:r>
    </w:p>
    <w:p w14:paraId="621D5085" w14:textId="77777777" w:rsidR="008C5A01" w:rsidRDefault="008C5A01" w:rsidP="008C5A01">
      <w:pPr>
        <w:spacing w:line="480" w:lineRule="auto"/>
        <w:rPr>
          <w:rFonts w:ascii="Times New Roman" w:hAnsi="Times New Roman" w:cs="Times New Roman"/>
          <w:sz w:val="24"/>
        </w:rPr>
      </w:pPr>
      <w:r>
        <w:rPr>
          <w:rFonts w:ascii="Times New Roman" w:hAnsi="Times New Roman" w:cs="Times New Roman"/>
          <w:sz w:val="24"/>
        </w:rPr>
        <w:tab/>
      </w:r>
      <w:r w:rsidRPr="008C5A01">
        <w:rPr>
          <w:rFonts w:ascii="Times New Roman" w:hAnsi="Times New Roman" w:cs="Times New Roman"/>
          <w:sz w:val="24"/>
        </w:rPr>
        <w:t>We supplement the panel analysis with cross-sectional OLS regressions</w:t>
      </w:r>
      <w:r>
        <w:rPr>
          <w:rFonts w:ascii="Times New Roman" w:hAnsi="Times New Roman" w:cs="Times New Roman"/>
          <w:sz w:val="24"/>
        </w:rPr>
        <w:t xml:space="preserve"> </w:t>
      </w:r>
      <w:r w:rsidRPr="008C5A01">
        <w:rPr>
          <w:rFonts w:ascii="Times New Roman" w:hAnsi="Times New Roman" w:cs="Times New Roman"/>
          <w:sz w:val="24"/>
        </w:rPr>
        <w:t>estimated on the 38-country sample, regressing the total change in social</w:t>
      </w:r>
      <w:r>
        <w:rPr>
          <w:rFonts w:ascii="Times New Roman" w:hAnsi="Times New Roman" w:cs="Times New Roman"/>
          <w:sz w:val="24"/>
        </w:rPr>
        <w:t xml:space="preserve"> </w:t>
      </w:r>
      <w:r w:rsidRPr="008C5A01">
        <w:rPr>
          <w:rFonts w:ascii="Times New Roman" w:hAnsi="Times New Roman" w:cs="Times New Roman"/>
          <w:sz w:val="24"/>
        </w:rPr>
        <w:t>polarization (2019 to 2024) on mean lockdown stringency (2020–2021). These</w:t>
      </w:r>
      <w:r>
        <w:rPr>
          <w:rFonts w:ascii="Times New Roman" w:hAnsi="Times New Roman" w:cs="Times New Roman"/>
          <w:sz w:val="24"/>
        </w:rPr>
        <w:t xml:space="preserve"> </w:t>
      </w:r>
      <w:r w:rsidRPr="008C5A01">
        <w:rPr>
          <w:rFonts w:ascii="Times New Roman" w:hAnsi="Times New Roman" w:cs="Times New Roman"/>
          <w:sz w:val="24"/>
        </w:rPr>
        <w:t>cross-sectional models sacrifice the temporal variation exploited by the panel but offer transparency and direct interpretability. Robust standard errors</w:t>
      </w:r>
      <w:r>
        <w:rPr>
          <w:rFonts w:ascii="Times New Roman" w:hAnsi="Times New Roman" w:cs="Times New Roman"/>
          <w:sz w:val="24"/>
        </w:rPr>
        <w:t xml:space="preserve"> </w:t>
      </w:r>
      <w:r w:rsidRPr="008C5A01">
        <w:rPr>
          <w:rFonts w:ascii="Times New Roman" w:hAnsi="Times New Roman" w:cs="Times New Roman"/>
          <w:sz w:val="24"/>
        </w:rPr>
        <w:t>(HC1) are employed throughout.</w:t>
      </w:r>
    </w:p>
    <w:p w14:paraId="5B43ECF4" w14:textId="77777777" w:rsidR="008C5A01" w:rsidRDefault="008C5A01" w:rsidP="008C5A01">
      <w:pPr>
        <w:spacing w:line="480" w:lineRule="auto"/>
        <w:rPr>
          <w:rFonts w:ascii="Times New Roman" w:hAnsi="Times New Roman" w:cs="Times New Roman"/>
          <w:sz w:val="24"/>
        </w:rPr>
      </w:pPr>
      <w:r>
        <w:rPr>
          <w:rFonts w:ascii="Times New Roman" w:hAnsi="Times New Roman" w:cs="Times New Roman"/>
          <w:sz w:val="24"/>
        </w:rPr>
        <w:tab/>
      </w:r>
      <w:r w:rsidRPr="008C5A01">
        <w:rPr>
          <w:rFonts w:ascii="Times New Roman" w:hAnsi="Times New Roman" w:cs="Times New Roman"/>
          <w:sz w:val="24"/>
        </w:rPr>
        <w:t>To address the threat of reverse causality — the possibility that pre-existing</w:t>
      </w:r>
      <w:r>
        <w:rPr>
          <w:rFonts w:ascii="Times New Roman" w:hAnsi="Times New Roman" w:cs="Times New Roman"/>
          <w:sz w:val="24"/>
        </w:rPr>
        <w:t xml:space="preserve"> </w:t>
      </w:r>
      <w:r w:rsidRPr="008C5A01">
        <w:rPr>
          <w:rFonts w:ascii="Times New Roman" w:hAnsi="Times New Roman" w:cs="Times New Roman"/>
          <w:sz w:val="24"/>
        </w:rPr>
        <w:t>polarization determined lockdown stringency rather than the reverse — we</w:t>
      </w:r>
      <w:r>
        <w:rPr>
          <w:rFonts w:ascii="Times New Roman" w:hAnsi="Times New Roman" w:cs="Times New Roman"/>
          <w:sz w:val="24"/>
        </w:rPr>
        <w:t xml:space="preserve"> </w:t>
      </w:r>
      <w:r w:rsidRPr="008C5A01">
        <w:rPr>
          <w:rFonts w:ascii="Times New Roman" w:hAnsi="Times New Roman" w:cs="Times New Roman"/>
          <w:sz w:val="24"/>
        </w:rPr>
        <w:t>conduct a partial regression analysis, residualizing both the exposure and the outcome on 2019 baseline polarization. This Frisch-Waugh-Lovell decomposition</w:t>
      </w:r>
      <w:r>
        <w:rPr>
          <w:rFonts w:ascii="Times New Roman" w:hAnsi="Times New Roman" w:cs="Times New Roman"/>
          <w:sz w:val="24"/>
        </w:rPr>
        <w:t xml:space="preserve"> </w:t>
      </w:r>
      <w:r w:rsidRPr="008C5A01">
        <w:rPr>
          <w:rFonts w:ascii="Times New Roman" w:hAnsi="Times New Roman" w:cs="Times New Roman"/>
          <w:sz w:val="24"/>
        </w:rPr>
        <w:t>isolates the component of the stringency–polarization association that is</w:t>
      </w:r>
      <w:r>
        <w:rPr>
          <w:rFonts w:ascii="Times New Roman" w:hAnsi="Times New Roman" w:cs="Times New Roman"/>
          <w:sz w:val="24"/>
        </w:rPr>
        <w:t xml:space="preserve"> </w:t>
      </w:r>
      <w:r w:rsidRPr="008C5A01">
        <w:rPr>
          <w:rFonts w:ascii="Times New Roman" w:hAnsi="Times New Roman" w:cs="Times New Roman"/>
          <w:sz w:val="24"/>
        </w:rPr>
        <w:t>orthogonal to pre-pandemic conditions.</w:t>
      </w:r>
    </w:p>
    <w:p w14:paraId="339E4B83" w14:textId="77777777" w:rsidR="008C5A01" w:rsidRDefault="008C5A01" w:rsidP="008C5A01">
      <w:pPr>
        <w:spacing w:line="480" w:lineRule="auto"/>
        <w:rPr>
          <w:rFonts w:ascii="Times New Roman" w:hAnsi="Times New Roman" w:cs="Times New Roman"/>
          <w:sz w:val="24"/>
        </w:rPr>
      </w:pPr>
    </w:p>
    <w:p w14:paraId="71FF41F5" w14:textId="5AC3AC0B" w:rsidR="008C5A01" w:rsidRPr="008C5A01" w:rsidRDefault="008C5A01" w:rsidP="008C5A01">
      <w:pPr>
        <w:spacing w:line="480" w:lineRule="auto"/>
        <w:rPr>
          <w:rFonts w:ascii="Times New Roman" w:hAnsi="Times New Roman" w:cs="Times New Roman"/>
          <w:b/>
          <w:bCs/>
          <w:sz w:val="24"/>
        </w:rPr>
      </w:pPr>
      <w:r w:rsidRPr="008C5A01">
        <w:rPr>
          <w:rFonts w:ascii="Times New Roman" w:hAnsi="Times New Roman" w:cs="Times New Roman"/>
          <w:b/>
          <w:bCs/>
          <w:sz w:val="24"/>
        </w:rPr>
        <w:t>Results</w:t>
      </w:r>
    </w:p>
    <w:p w14:paraId="6F30FE0D" w14:textId="20B602CC" w:rsidR="00BA603E" w:rsidRPr="00BA603E" w:rsidRDefault="00BA603E" w:rsidP="00BA603E">
      <w:pPr>
        <w:spacing w:line="480" w:lineRule="auto"/>
        <w:rPr>
          <w:rFonts w:ascii="Times New Roman" w:hAnsi="Times New Roman" w:cs="Times New Roman"/>
          <w:i/>
          <w:iCs/>
          <w:sz w:val="24"/>
        </w:rPr>
      </w:pPr>
      <w:r w:rsidRPr="00BA603E">
        <w:rPr>
          <w:rFonts w:ascii="Times New Roman" w:hAnsi="Times New Roman" w:cs="Times New Roman"/>
          <w:i/>
          <w:iCs/>
          <w:sz w:val="24"/>
        </w:rPr>
        <w:t>Preliminary analysis: historical epidemic exposure</w:t>
      </w:r>
    </w:p>
    <w:p w14:paraId="2FC4FCD6" w14:textId="59F9685E" w:rsidR="00BA603E" w:rsidRPr="00BA603E" w:rsidRDefault="003D5C21" w:rsidP="00BA603E">
      <w:pPr>
        <w:spacing w:line="480" w:lineRule="auto"/>
        <w:rPr>
          <w:rFonts w:ascii="Times New Roman" w:hAnsi="Times New Roman" w:cs="Times New Roman"/>
          <w:sz w:val="24"/>
        </w:rPr>
      </w:pPr>
      <w:r w:rsidRPr="003D5C21">
        <w:rPr>
          <w:rFonts w:ascii="Times New Roman" w:hAnsi="Times New Roman" w:cs="Times New Roman"/>
          <w:sz w:val="24"/>
        </w:rPr>
        <w:t xml:space="preserve">Before turning to the COVID-19 pandemic, we examined whether historical epidemic exposure in the pre-COVID era predicted social cohesion in OECD nations. Using the </w:t>
      </w:r>
      <w:r w:rsidRPr="003D5C21">
        <w:rPr>
          <w:rFonts w:ascii="Times New Roman" w:hAnsi="Times New Roman" w:cs="Times New Roman"/>
          <w:sz w:val="24"/>
        </w:rPr>
        <w:lastRenderedPageBreak/>
        <w:t xml:space="preserve">EM-DAT International Disaster Database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&lt;EndNote&gt;&lt;Cite&gt;&lt;Author&gt;Guha-Sapir&lt;/Author&gt;&lt;Year&gt;2025&lt;/Year&gt;&lt;RecNum&gt;1096&lt;/RecNum&gt;&lt;DisplayText&gt;(17)&lt;/DisplayText&gt;&lt;record&gt;&lt;rec-number&gt;1096&lt;/rec-number&gt;&lt;foreign-keys&gt;&lt;key app="EN" db-id="05x9axpzsz5twaew5s0500tr90zzfepxexte" timestamp="1771129934"&gt;1096&lt;/key&gt;&lt;/foreign-keys&gt;&lt;ref-type name="Web Page"&gt;12&lt;/ref-type&gt;&lt;contributors&gt;&lt;authors&gt;&lt;author&gt;Guha-Sapir, Debarati&lt;/author&gt;&lt;author&gt;Below, Regina&lt;/author&gt;&lt;author&gt;Hoyois, Philippe&lt;/author&gt;&lt;/authors&gt;&lt;/contributors&gt;&lt;titles&gt;&lt;title&gt;EM-DAT: The CRED/OFDA International Disaster Database&lt;/title&gt;&lt;/titles&gt;&lt;dates&gt;&lt;year&gt;2025&lt;/year&gt;&lt;/dates&gt;&lt;pub-location&gt;Brussels, Belgium&lt;/pub-location&gt;&lt;publisher&gt;Université catholique de Louvain (UCLouvain), Centre for Research on the Epidemiology of Disasters (CRED)&lt;/publisher&gt;&lt;urls&gt;&lt;related-urls&gt;&lt;url&gt;https://www.emdat.be&lt;/url&gt;&lt;/related-urls&gt;&lt;/urls&gt;&lt;/record&gt;&lt;/Cite&gt;&lt;/EndNote&gt;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(17)</w:t>
      </w:r>
      <w:r w:rsidR="00E35562">
        <w:rPr>
          <w:rFonts w:ascii="Times New Roman" w:hAnsi="Times New Roman" w:cs="Times New Roman"/>
          <w:sz w:val="24"/>
        </w:rPr>
        <w:fldChar w:fldCharType="end"/>
      </w:r>
      <w:r w:rsidRPr="003D5C21">
        <w:rPr>
          <w:rFonts w:ascii="Times New Roman" w:hAnsi="Times New Roman" w:cs="Times New Roman"/>
          <w:sz w:val="24"/>
        </w:rPr>
        <w:t>, we identified 23 epidemic events affecting 16 of 38 OECD countries between 2000 and 2019. The frequency of historical epidemics was not significantly correlated with either the level of social cohesion in 2019 (r = −0.30, p = 0.069) or the subsequent change in cohesion from 2019 to 2024 (r = +0.08, p = 0.627). Countries that had experienced epidemics did not differ significantly in baseline cohesion from those that had not (t = −1.67, p = 0.103). These null results reinforce the central finding of this paper: pathogen exposure — whether historical or contemporary — does not appear to be a primary driver of social polarization in established OECD democracies. This is consistent with Pasin et al. (2024)</w:t>
      </w:r>
      <w:r w:rsidR="00AA6897">
        <w:rPr>
          <w:rFonts w:ascii="Times New Roman" w:hAnsi="Times New Roman" w:cs="Times New Roman"/>
          <w:sz w:val="24"/>
        </w:rPr>
        <w:t xml:space="preserve"> </w:t>
      </w:r>
      <w:r w:rsidR="00E35562">
        <w:rPr>
          <w:rFonts w:ascii="Times New Roman" w:hAnsi="Times New Roman" w:cs="Times New Roman"/>
          <w:sz w:val="24"/>
        </w:rPr>
        <w:fldChar w:fldCharType="begin">
          <w:fldData xml:space="preserve">PEVuZE5vdGU+PENpdGU+PEF1dGhvcj5QYXNpbjwvQXV0aG9yPjxZZWFyPjIwMjQ8L1llYXI+PFJl
Y051bT4xMTAyPC9SZWNOdW0+PERpc3BsYXlUZXh0PigyMCk8L0Rpc3BsYXlUZXh0PjxyZWNvcmQ+
PHJlYy1udW1iZXI+MTEwMjwvcmVjLW51bWJlcj48Zm9yZWlnbi1rZXlzPjxrZXkgYXBwPSJFTiIg
ZGItaWQ9IjA1eDlheHB6c3o1dHdhZXc1czA1MDB0cjkwenpmZXB4ZXh0ZSIgdGltZXN0YW1wPSIx
NzcxMTQwMjQzIj4xMTAyPC9rZXk+PC9mb3JlaWduLWtleXM+PHJlZi10eXBlIG5hbWU9IkpvdXJu
YWwgQXJ0aWNsZSI+MTc8L3JlZi10eXBlPjxjb250cmlidXRvcnM+PGF1dGhvcnM+PGF1dGhvcj5Q
YXNpbiwgRy4gTC48L2F1dGhvcj48YXV0aG9yPlN6ZWtlbHksIEEuPC9hdXRob3I+PGF1dGhvcj5F
cmlrc3NvbiwgSy48L2F1dGhvcj48YXV0aG9yPkd1aWRvLCBBLjwvYXV0aG9yPjxhdXRob3I+ZGkg
U29ycmVudGlubywgRS4gUC48L2F1dGhvcj48YXV0aG9yPkFuZHJpZ2hldHRvLCBHLjwvYXV0aG9y
PjwvYXV0aG9ycz48L2NvbnRyaWJ1dG9ycz48YXV0aC1hZGRyZXNzPkRlcGFydG1lbnQgb2YgU29j
aWFsIGFuZCBQb2xpdGljYWwgU2NpZW5jZXMsIFVuaXZlcnNpdHkgb2YgTWlsYW4sIE1pbGFuLCBJ
dGFseS4gZ2lhbmx1Y2EucGFzaW4ucmVzZWFyY2hAZ21haWwuY29tLiYjeEQ7SW5zdGl0dXRlIG9m
IENvZ25pdGl2ZSBTY2llbmNlcyBhbmQgVGVjaG5vbG9naWVzLCBOYXRpb25hbCBSZXNlYXJjaCBD
b3VuY2lsIG9mIEl0YWx5LCBSb21lLCBJdGFseS4gZ2lhbmx1Y2EucGFzaW4ucmVzZWFyY2hAZ21h
aWwuY29tLiYjeEQ7Q29sbGVnaW8gQ2FybG8gQWxiZXJ0bywgVHVyaW4sIEl0YWx5LiYjeEQ7SW5z
dGl0dXRlIG9mIENvZ25pdGl2ZSBTY2llbmNlcyBhbmQgVGVjaG5vbG9naWVzLCBOYXRpb25hbCBS
ZXNlYXJjaCBDb3VuY2lsIG9mIEl0YWx5LCBSb21lLCBJdGFseS4mI3hEO0NlbnRlciBmb3IgQ3Vs
dHVyYWwgRXZvbHV0aW9uLCBTdG9ja2hvbG0gVW5pdmVyc2l0eSwgU3RvY2tob2xtLCBTd2VkZW4u
JiN4RDtDRVJFTiBFQSA3NDc3LCBCdXJndW5keSBTY2hvb2wgb2YgQnVzaW5lc3MsIFVuaXZlcnNp
dGUgQm91cmdvZ25lIEZyYW5jaGUtQ29tdGUsIERpam9uLCBGcmFuY2UuJiN4RDtJbnN0aXR1dGUg
Zm9yIEZ1dHVyZXMgU3R1ZGllcywgU3RvY2tob2xtLCBTd2VkZW4uJiN4RDtNYWxhcmRhbGVucyBV
bml2ZXJzaXR5LCBWYXN0ZXJhcywgU3dlZGVuLjwvYXV0aC1hZGRyZXNzPjx0aXRsZXM+PHRpdGxl
PkV2aWRlbmNlIGZyb20gNDMgY291bnRyaWVzIHRoYXQgZGlzZWFzZSBsZWF2ZXMgY3VsdHVyZXMg
dW5jaGFuZ2VkIGluIHRoZSBzaG9ydC10ZXJtPC90aXRsZT48c2Vjb25kYXJ5LXRpdGxlPlNjaSBS
ZXA8L3NlY29uZGFyeS10aXRsZT48L3RpdGxlcz48cGVyaW9kaWNhbD48ZnVsbC10aXRsZT5TY2kg
UmVwPC9mdWxsLXRpdGxlPjwvcGVyaW9kaWNhbD48cGFnZXM+NjUwMjwvcGFnZXM+PHZvbHVtZT4x
NDwvdm9sdW1lPjxudW1iZXI+MTwvbnVtYmVyPjxlZGl0aW9uPjIwMjQwMzE4PC9lZGl0aW9uPjxr
ZXl3b3Jkcz48a2V5d29yZD5IdW1hbnM8L2tleXdvcmQ+PGtleXdvcmQ+KlBhbmRlbWljczwva2V5
d29yZD48a2V5d29yZD4qQ09WSUQtMTkvZXBpZGVtaW9sb2d5PC9rZXl3b3JkPjxrZXl3b3JkPlNv
Y2lhbCBCZWhhdmlvcjwva2V5d29yZD48a2V5d29yZD5Tb2NpYWwgQ2hhbmdlPC9rZXl3b3JkPjxr
ZXl3b3JkPlByZWp1ZGljZTwva2V5d29yZD48L2tleXdvcmRzPjxkYXRlcz48eWVhcj4yMDI0PC95
ZWFyPjxwdWItZGF0ZXM+PGRhdGU+TWFyIDE4PC9kYXRlPjwvcHViLWRhdGVzPjwvZGF0ZXM+PGlz
Ym4+MjA0NS0yMzIyIChFbGVjdHJvbmljKSYjeEQ7MjA0NS0yMzIyIChMaW5raW5nKTwvaXNibj48
YWNjZXNzaW9uLW51bT4zODQ5OTUyODwvYWNjZXNzaW9uLW51bT48dXJscz48cmVsYXRlZC11cmxz
Pjx1cmw+aHR0cHM6Ly93d3cubmNiaS5ubG0ubmloLmdvdi9wdWJtZWQvMzg0OTk1Mjg8L3VybD48
L3JlbGF0ZWQtdXJscz48L3VybHM+PGN1c3RvbTE+VGhlIGF1dGhvcnMgZGVjbGFyZSBubyBjb21w
ZXRpbmcgaW50ZXJlc3RzLjwvY3VzdG9tMT48Y3VzdG9tMj5QTUMxMDk0ODc1NzwvY3VzdG9tMj48
ZWxlY3Ryb25pYy1yZXNvdXJjZS1udW0+MTAuMTAzOC9zNDE1OTgtMDIzLTMzMTU1LTY8L2VsZWN0
cm9uaWMtcmVzb3VyY2UtbnVtPjxyZW1vdGUtZGF0YWJhc2UtbmFtZT5NZWRsaW5lPC9yZW1vdGUt
ZGF0YWJhc2UtbmFtZT48cmVtb3RlLWRhdGFiYXNlLXByb3ZpZGVyPk5MTTwvcmVtb3RlLWRhdGFi
YXNlLXByb3ZpZGVyPjwvcmVjb3JkPjwvQ2l0ZT48L0VuZE5vdGU+AG==
</w:fldData>
        </w:fldChar>
      </w:r>
      <w:r w:rsidR="00E35562">
        <w:rPr>
          <w:rFonts w:ascii="Times New Roman" w:hAnsi="Times New Roman" w:cs="Times New Roman"/>
          <w:sz w:val="24"/>
        </w:rPr>
        <w:instrText xml:space="preserve"> ADDIN EN.CITE </w:instrText>
      </w:r>
      <w:r w:rsidR="00E35562">
        <w:rPr>
          <w:rFonts w:ascii="Times New Roman" w:hAnsi="Times New Roman" w:cs="Times New Roman"/>
          <w:sz w:val="24"/>
        </w:rPr>
        <w:fldChar w:fldCharType="begin">
          <w:fldData xml:space="preserve">PEVuZE5vdGU+PENpdGU+PEF1dGhvcj5QYXNpbjwvQXV0aG9yPjxZZWFyPjIwMjQ8L1llYXI+PFJl
Y051bT4xMTAyPC9SZWNOdW0+PERpc3BsYXlUZXh0PigyMCk8L0Rpc3BsYXlUZXh0PjxyZWNvcmQ+
PHJlYy1udW1iZXI+MTEwMjwvcmVjLW51bWJlcj48Zm9yZWlnbi1rZXlzPjxrZXkgYXBwPSJFTiIg
ZGItaWQ9IjA1eDlheHB6c3o1dHdhZXc1czA1MDB0cjkwenpmZXB4ZXh0ZSIgdGltZXN0YW1wPSIx
NzcxMTQwMjQzIj4xMTAyPC9rZXk+PC9mb3JlaWduLWtleXM+PHJlZi10eXBlIG5hbWU9IkpvdXJu
YWwgQXJ0aWNsZSI+MTc8L3JlZi10eXBlPjxjb250cmlidXRvcnM+PGF1dGhvcnM+PGF1dGhvcj5Q
YXNpbiwgRy4gTC48L2F1dGhvcj48YXV0aG9yPlN6ZWtlbHksIEEuPC9hdXRob3I+PGF1dGhvcj5F
cmlrc3NvbiwgSy48L2F1dGhvcj48YXV0aG9yPkd1aWRvLCBBLjwvYXV0aG9yPjxhdXRob3I+ZGkg
U29ycmVudGlubywgRS4gUC48L2F1dGhvcj48YXV0aG9yPkFuZHJpZ2hldHRvLCBHLjwvYXV0aG9y
PjwvYXV0aG9ycz48L2NvbnRyaWJ1dG9ycz48YXV0aC1hZGRyZXNzPkRlcGFydG1lbnQgb2YgU29j
aWFsIGFuZCBQb2xpdGljYWwgU2NpZW5jZXMsIFVuaXZlcnNpdHkgb2YgTWlsYW4sIE1pbGFuLCBJ
dGFseS4gZ2lhbmx1Y2EucGFzaW4ucmVzZWFyY2hAZ21haWwuY29tLiYjeEQ7SW5zdGl0dXRlIG9m
IENvZ25pdGl2ZSBTY2llbmNlcyBhbmQgVGVjaG5vbG9naWVzLCBOYXRpb25hbCBSZXNlYXJjaCBD
b3VuY2lsIG9mIEl0YWx5LCBSb21lLCBJdGFseS4gZ2lhbmx1Y2EucGFzaW4ucmVzZWFyY2hAZ21h
aWwuY29tLiYjeEQ7Q29sbGVnaW8gQ2FybG8gQWxiZXJ0bywgVHVyaW4sIEl0YWx5LiYjeEQ7SW5z
dGl0dXRlIG9mIENvZ25pdGl2ZSBTY2llbmNlcyBhbmQgVGVjaG5vbG9naWVzLCBOYXRpb25hbCBS
ZXNlYXJjaCBDb3VuY2lsIG9mIEl0YWx5LCBSb21lLCBJdGFseS4mI3hEO0NlbnRlciBmb3IgQ3Vs
dHVyYWwgRXZvbHV0aW9uLCBTdG9ja2hvbG0gVW5pdmVyc2l0eSwgU3RvY2tob2xtLCBTd2VkZW4u
JiN4RDtDRVJFTiBFQSA3NDc3LCBCdXJndW5keSBTY2hvb2wgb2YgQnVzaW5lc3MsIFVuaXZlcnNp
dGUgQm91cmdvZ25lIEZyYW5jaGUtQ29tdGUsIERpam9uLCBGcmFuY2UuJiN4RDtJbnN0aXR1dGUg
Zm9yIEZ1dHVyZXMgU3R1ZGllcywgU3RvY2tob2xtLCBTd2VkZW4uJiN4RDtNYWxhcmRhbGVucyBV
bml2ZXJzaXR5LCBWYXN0ZXJhcywgU3dlZGVuLjwvYXV0aC1hZGRyZXNzPjx0aXRsZXM+PHRpdGxl
PkV2aWRlbmNlIGZyb20gNDMgY291bnRyaWVzIHRoYXQgZGlzZWFzZSBsZWF2ZXMgY3VsdHVyZXMg
dW5jaGFuZ2VkIGluIHRoZSBzaG9ydC10ZXJtPC90aXRsZT48c2Vjb25kYXJ5LXRpdGxlPlNjaSBS
ZXA8L3NlY29uZGFyeS10aXRsZT48L3RpdGxlcz48cGVyaW9kaWNhbD48ZnVsbC10aXRsZT5TY2kg
UmVwPC9mdWxsLXRpdGxlPjwvcGVyaW9kaWNhbD48cGFnZXM+NjUwMjwvcGFnZXM+PHZvbHVtZT4x
NDwvdm9sdW1lPjxudW1iZXI+MTwvbnVtYmVyPjxlZGl0aW9uPjIwMjQwMzE4PC9lZGl0aW9uPjxr
ZXl3b3Jkcz48a2V5d29yZD5IdW1hbnM8L2tleXdvcmQ+PGtleXdvcmQ+KlBhbmRlbWljczwva2V5
d29yZD48a2V5d29yZD4qQ09WSUQtMTkvZXBpZGVtaW9sb2d5PC9rZXl3b3JkPjxrZXl3b3JkPlNv
Y2lhbCBCZWhhdmlvcjwva2V5d29yZD48a2V5d29yZD5Tb2NpYWwgQ2hhbmdlPC9rZXl3b3JkPjxr
ZXl3b3JkPlByZWp1ZGljZTwva2V5d29yZD48L2tleXdvcmRzPjxkYXRlcz48eWVhcj4yMDI0PC95
ZWFyPjxwdWItZGF0ZXM+PGRhdGU+TWFyIDE4PC9kYXRlPjwvcHViLWRhdGVzPjwvZGF0ZXM+PGlz
Ym4+MjA0NS0yMzIyIChFbGVjdHJvbmljKSYjeEQ7MjA0NS0yMzIyIChMaW5raW5nKTwvaXNibj48
YWNjZXNzaW9uLW51bT4zODQ5OTUyODwvYWNjZXNzaW9uLW51bT48dXJscz48cmVsYXRlZC11cmxz
Pjx1cmw+aHR0cHM6Ly93d3cubmNiaS5ubG0ubmloLmdvdi9wdWJtZWQvMzg0OTk1Mjg8L3VybD48
L3JlbGF0ZWQtdXJscz48L3VybHM+PGN1c3RvbTE+VGhlIGF1dGhvcnMgZGVjbGFyZSBubyBjb21w
ZXRpbmcgaW50ZXJlc3RzLjwvY3VzdG9tMT48Y3VzdG9tMj5QTUMxMDk0ODc1NzwvY3VzdG9tMj48
ZWxlY3Ryb25pYy1yZXNvdXJjZS1udW0+MTAuMTAzOC9zNDE1OTgtMDIzLTMzMTU1LTY8L2VsZWN0
cm9uaWMtcmVzb3VyY2UtbnVtPjxyZW1vdGUtZGF0YWJhc2UtbmFtZT5NZWRsaW5lPC9yZW1vdGUt
ZGF0YWJhc2UtbmFtZT48cmVtb3RlLWRhdGFiYXNlLXByb3ZpZGVyPk5MTTwvcmVtb3RlLWRhdGFi
YXNlLXByb3ZpZGVyPjwvcmVjb3JkPjwvQ2l0ZT48L0VuZE5vdGU+AG==
</w:fldData>
        </w:fldChar>
      </w:r>
      <w:r w:rsidR="00E35562">
        <w:rPr>
          <w:rFonts w:ascii="Times New Roman" w:hAnsi="Times New Roman" w:cs="Times New Roman"/>
          <w:sz w:val="24"/>
        </w:rPr>
        <w:instrText xml:space="preserve"> ADDIN EN.CITE.DATA </w:instrText>
      </w:r>
      <w:r w:rsidR="00E35562">
        <w:rPr>
          <w:rFonts w:ascii="Times New Roman" w:hAnsi="Times New Roman" w:cs="Times New Roman"/>
          <w:sz w:val="24"/>
        </w:rPr>
      </w:r>
      <w:r w:rsidR="00E35562">
        <w:rPr>
          <w:rFonts w:ascii="Times New Roman" w:hAnsi="Times New Roman" w:cs="Times New Roman"/>
          <w:sz w:val="24"/>
        </w:rPr>
        <w:fldChar w:fldCharType="end"/>
      </w:r>
      <w:r w:rsidR="00E35562">
        <w:rPr>
          <w:rFonts w:ascii="Times New Roman" w:hAnsi="Times New Roman" w:cs="Times New Roman"/>
          <w:sz w:val="24"/>
        </w:rPr>
      </w:r>
      <w:r w:rsidR="00E35562">
        <w:rPr>
          <w:rFonts w:ascii="Times New Roman" w:hAnsi="Times New Roman" w:cs="Times New Roman"/>
          <w:sz w:val="24"/>
        </w:rPr>
        <w:fldChar w:fldCharType="separate"/>
      </w:r>
      <w:r w:rsidR="00E35562">
        <w:rPr>
          <w:rFonts w:ascii="Times New Roman" w:hAnsi="Times New Roman" w:cs="Times New Roman"/>
          <w:noProof/>
          <w:sz w:val="24"/>
        </w:rPr>
        <w:t>(20)</w:t>
      </w:r>
      <w:r w:rsidR="00E35562">
        <w:rPr>
          <w:rFonts w:ascii="Times New Roman" w:hAnsi="Times New Roman" w:cs="Times New Roman"/>
          <w:sz w:val="24"/>
        </w:rPr>
        <w:fldChar w:fldCharType="end"/>
      </w:r>
      <w:r w:rsidRPr="003D5C21">
        <w:rPr>
          <w:rFonts w:ascii="Times New Roman" w:hAnsi="Times New Roman" w:cs="Times New Roman"/>
          <w:sz w:val="24"/>
        </w:rPr>
        <w:t>, who found across 43 countries that macro-cultural dimensions remained unchanged in the short-term aftermath of COVID-19 despite theoretical predictions to the contrary. The forces shaping social cohesion in these nations operate through structural and institutional channels that are largely orthogonal to epidemiological history.</w:t>
      </w:r>
    </w:p>
    <w:p w14:paraId="047F9084" w14:textId="6948FAA8" w:rsidR="001976E3" w:rsidRDefault="001976E3" w:rsidP="001976E3">
      <w:pPr>
        <w:spacing w:line="480" w:lineRule="auto"/>
        <w:rPr>
          <w:rFonts w:ascii="Times New Roman" w:hAnsi="Times New Roman" w:cs="Times New Roman"/>
          <w:sz w:val="24"/>
        </w:rPr>
      </w:pPr>
      <w:r w:rsidRPr="001976E3">
        <w:rPr>
          <w:rFonts w:ascii="Times New Roman" w:hAnsi="Times New Roman" w:cs="Times New Roman"/>
          <w:i/>
          <w:iCs/>
          <w:sz w:val="24"/>
        </w:rPr>
        <w:t>The Null Effect of Biological Threat</w:t>
      </w:r>
    </w:p>
    <w:p w14:paraId="0CB2C54E" w14:textId="6DC9ABDC" w:rsidR="003D5C21" w:rsidRPr="003D5C21" w:rsidRDefault="003D5C21" w:rsidP="003D5C21">
      <w:pPr>
        <w:spacing w:line="480" w:lineRule="auto"/>
        <w:rPr>
          <w:rFonts w:ascii="Times New Roman" w:hAnsi="Times New Roman" w:cs="Times New Roman"/>
          <w:sz w:val="24"/>
        </w:rPr>
      </w:pPr>
      <w:r w:rsidRPr="003D5C21">
        <w:rPr>
          <w:rFonts w:ascii="Times New Roman" w:hAnsi="Times New Roman" w:cs="Times New Roman"/>
          <w:sz w:val="24"/>
        </w:rPr>
        <w:t xml:space="preserve">We begin with the prediction derived from Parasite-Stress Theory: that COVID-19 mortality — the direct biological threat — should predict democratic erosion or increased polarization. Table 1 (Model 1) reports the TWFE first-difference estimate of log COVID-19 mortality on changes in social polarization across all 38 OECD countries. The </w:t>
      </w:r>
      <w:r w:rsidRPr="003D5C21">
        <w:rPr>
          <w:rFonts w:ascii="Times New Roman" w:hAnsi="Times New Roman" w:cs="Times New Roman"/>
          <w:sz w:val="24"/>
        </w:rPr>
        <w:lastRenderedPageBreak/>
        <w:t>estimated coefficient is substantively small and statistically indistinguishable from zero (</w:t>
      </w:r>
      <m:oMath>
        <m:acc>
          <m:accPr>
            <m:ctrlPr>
              <w:rPr>
                <w:rFonts w:ascii="Cambria Math" w:hAnsi="Cambria Math" w:cs="Times New Roman"/>
                <w:i/>
                <w:sz w:val="24"/>
              </w:rPr>
            </m:ctrlPr>
          </m:accPr>
          <m:e>
            <m:r>
              <w:rPr>
                <w:rFonts w:ascii="Cambria Math" w:hAnsi="Cambria Math" w:cs="Times New Roman"/>
                <w:sz w:val="24"/>
              </w:rPr>
              <m:t>β</m:t>
            </m:r>
          </m:e>
        </m:acc>
      </m:oMath>
      <w:r w:rsidRPr="003D5C21">
        <w:rPr>
          <w:rFonts w:ascii="Times New Roman" w:hAnsi="Times New Roman" w:cs="Times New Roman"/>
          <w:sz w:val="24"/>
        </w:rPr>
        <w:t xml:space="preserve"> = +0.023, p = 0.41). In the horse-race specification that includes both mortality and stringency (Model 3), the mortality estimate remains null (</w:t>
      </w:r>
      <m:oMath>
        <m:acc>
          <m:accPr>
            <m:ctrlPr>
              <w:rPr>
                <w:rFonts w:ascii="Cambria Math" w:hAnsi="Cambria Math" w:cs="Times New Roman"/>
                <w:i/>
                <w:sz w:val="24"/>
              </w:rPr>
            </m:ctrlPr>
          </m:accPr>
          <m:e>
            <m:r>
              <w:rPr>
                <w:rFonts w:ascii="Cambria Math" w:hAnsi="Cambria Math" w:cs="Times New Roman"/>
                <w:sz w:val="24"/>
              </w:rPr>
              <m:t>β</m:t>
            </m:r>
          </m:e>
        </m:acc>
      </m:oMath>
      <w:r w:rsidRPr="003D5C21">
        <w:rPr>
          <w:rFonts w:ascii="Times New Roman" w:hAnsi="Times New Roman" w:cs="Times New Roman"/>
          <w:sz w:val="24"/>
        </w:rPr>
        <w:t xml:space="preserve"> = +0.032, p = 0.25). No specification — including models with lagged exposure — yields a significant association at conventional thresholds.</w:t>
      </w:r>
    </w:p>
    <w:p w14:paraId="40EA9089" w14:textId="0B835FCA" w:rsidR="00F44841" w:rsidRDefault="003D5C21" w:rsidP="003D5C21">
      <w:pPr>
        <w:spacing w:line="480" w:lineRule="auto"/>
        <w:rPr>
          <w:rFonts w:ascii="Times New Roman" w:hAnsi="Times New Roman" w:cs="Times New Roman"/>
          <w:sz w:val="24"/>
        </w:rPr>
      </w:pPr>
      <w:r>
        <w:rPr>
          <w:rFonts w:ascii="Times New Roman" w:hAnsi="Times New Roman" w:cs="Times New Roman"/>
          <w:sz w:val="24"/>
        </w:rPr>
        <w:tab/>
      </w:r>
      <w:r w:rsidRPr="003D5C21">
        <w:rPr>
          <w:rFonts w:ascii="Times New Roman" w:hAnsi="Times New Roman" w:cs="Times New Roman"/>
          <w:sz w:val="24"/>
        </w:rPr>
        <w:t>We interpret this result as inconsistent with the proximate application of Parasite-Stress Theory to contemporary OECD democracies. Whatever evolutionary mechanisms link pathogen exposure to authoritarian preferences, they do not appear to operate through pandemic mortality in societies with robust healthcare systems and established democratic institutions.</w:t>
      </w:r>
    </w:p>
    <w:p w14:paraId="79920656" w14:textId="01B79FB4" w:rsidR="001976E3" w:rsidRPr="001976E3" w:rsidRDefault="001976E3" w:rsidP="001976E3">
      <w:pPr>
        <w:spacing w:line="480" w:lineRule="auto"/>
        <w:rPr>
          <w:rFonts w:ascii="Times New Roman" w:hAnsi="Times New Roman" w:cs="Times New Roman"/>
          <w:sz w:val="24"/>
        </w:rPr>
      </w:pPr>
      <w:r w:rsidRPr="001976E3">
        <w:rPr>
          <w:rFonts w:ascii="Times New Roman" w:hAnsi="Times New Roman" w:cs="Times New Roman"/>
          <w:i/>
          <w:iCs/>
          <w:sz w:val="24"/>
        </w:rPr>
        <w:t>The Null Effect of Policy Stringency</w:t>
      </w:r>
    </w:p>
    <w:p w14:paraId="49DB6215" w14:textId="77777777"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If the virus itself did not drive political change, did the policy response? Table 1 (Models 2 and 3) reports estimates substituting lockdown stringency for COVID-19 mortality as the exposure variable.</w:t>
      </w:r>
    </w:p>
    <w:p w14:paraId="627C411A" w14:textId="286ADFBB"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results do not support the hypothesis that lockdowns caused polarization. In the TWFE first-difference panel, the stringency coefficient is negative — the opposite of the predicted direction — and statistically non-significant (Model 2: </w:t>
      </w:r>
      <m:oMath>
        <m:acc>
          <m:accPr>
            <m:ctrlPr>
              <w:rPr>
                <w:rFonts w:ascii="Cambria Math" w:hAnsi="Cambria Math" w:cs="Times New Roman"/>
                <w:i/>
                <w:sz w:val="24"/>
              </w:rPr>
            </m:ctrlPr>
          </m:accPr>
          <m:e>
            <m:r>
              <w:rPr>
                <w:rFonts w:ascii="Cambria Math" w:hAnsi="Cambria Math" w:cs="Times New Roman"/>
                <w:sz w:val="24"/>
              </w:rPr>
              <m:t>β</m:t>
            </m:r>
          </m:e>
        </m:acc>
      </m:oMath>
      <w:r w:rsidRPr="00FE0B4E">
        <w:rPr>
          <w:rFonts w:ascii="Times New Roman" w:hAnsi="Times New Roman" w:cs="Times New Roman"/>
          <w:sz w:val="24"/>
        </w:rPr>
        <w:t xml:space="preserve"> = </w:t>
      </w:r>
      <w:r w:rsidRPr="00FE0B4E">
        <w:rPr>
          <w:rFonts w:ascii="Times New Roman" w:hAnsi="Times New Roman" w:cs="Times New Roman" w:hint="eastAsia"/>
          <w:sz w:val="24"/>
        </w:rPr>
        <w:t>−</w:t>
      </w:r>
      <w:r w:rsidRPr="00FE0B4E">
        <w:rPr>
          <w:rFonts w:ascii="Times New Roman" w:hAnsi="Times New Roman" w:cs="Times New Roman"/>
          <w:sz w:val="24"/>
        </w:rPr>
        <w:t xml:space="preserve">0.785, p = 0.22; Model 3: </w:t>
      </w:r>
      <m:oMath>
        <m:acc>
          <m:accPr>
            <m:ctrlPr>
              <w:rPr>
                <w:rFonts w:ascii="Cambria Math" w:hAnsi="Cambria Math" w:cs="Times New Roman"/>
                <w:i/>
                <w:sz w:val="24"/>
              </w:rPr>
            </m:ctrlPr>
          </m:accPr>
          <m:e>
            <m:r>
              <w:rPr>
                <w:rFonts w:ascii="Cambria Math" w:hAnsi="Cambria Math" w:cs="Times New Roman"/>
                <w:sz w:val="24"/>
              </w:rPr>
              <m:t>β</m:t>
            </m:r>
          </m:e>
        </m:acc>
      </m:oMath>
      <w:r w:rsidRPr="00FE0B4E">
        <w:rPr>
          <w:rFonts w:ascii="Times New Roman" w:hAnsi="Times New Roman" w:cs="Times New Roman"/>
          <w:sz w:val="24"/>
        </w:rPr>
        <w:t xml:space="preserve"> = </w:t>
      </w:r>
      <w:r w:rsidRPr="00FE0B4E">
        <w:rPr>
          <w:rFonts w:ascii="Times New Roman" w:hAnsi="Times New Roman" w:cs="Times New Roman" w:hint="eastAsia"/>
          <w:sz w:val="24"/>
        </w:rPr>
        <w:t>−</w:t>
      </w:r>
      <w:r w:rsidRPr="00FE0B4E">
        <w:rPr>
          <w:rFonts w:ascii="Times New Roman" w:hAnsi="Times New Roman" w:cs="Times New Roman"/>
          <w:sz w:val="24"/>
        </w:rPr>
        <w:t xml:space="preserve">0.944, p = 0.13). If taken at face value, the negative sign would </w:t>
      </w:r>
      <w:r w:rsidRPr="00FE0B4E">
        <w:rPr>
          <w:rFonts w:ascii="Times New Roman" w:hAnsi="Times New Roman" w:cs="Times New Roman"/>
          <w:sz w:val="24"/>
        </w:rPr>
        <w:lastRenderedPageBreak/>
        <w:t>imply that years with higher stringency saw smaller increases in polarization, not larger ones. However, given the wide confidence intervals — which comfortably span zero in both specifications — the most parsimonious interpretation is that lockdown stringency had no detectable effect on the trajectory of social polarization within OECD countries.</w:t>
      </w:r>
    </w:p>
    <w:p w14:paraId="7B32DB27" w14:textId="2715BEA9"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This null result is noteworthy in light of the prominent public discourse linking lockdowns to social division. While lockdowns may have generated salient political conflicts in individual countries — mask mandates in the United States, vaccine pass protests in France, freedom convoys in Canada — these episodic disruptions do not appear to have moved the aggregate polarization index at the country-year level. The within-country variation in stringency over time does not predict within-country changes in social cohesion.</w:t>
      </w:r>
    </w:p>
    <w:p w14:paraId="66CBEE43" w14:textId="084015F1"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Figure 1 provides important context for this null finding. Social cohesion across the OECD has been declining steadily since at least 2010, falling from a mean v2smpolsoc of +0.52 in 2010 to </w:t>
      </w:r>
      <w:r w:rsidRPr="00FE0B4E">
        <w:rPr>
          <w:rFonts w:ascii="Times New Roman" w:hAnsi="Times New Roman" w:cs="Times New Roman" w:hint="eastAsia"/>
          <w:sz w:val="24"/>
        </w:rPr>
        <w:t>−</w:t>
      </w:r>
      <w:r w:rsidRPr="00FE0B4E">
        <w:rPr>
          <w:rFonts w:ascii="Times New Roman" w:hAnsi="Times New Roman" w:cs="Times New Roman"/>
          <w:sz w:val="24"/>
        </w:rPr>
        <w:t>0.26 in 2024 — a cumulative decline of 0.79 units over fifteen years. The pandemic period (2020–2024) shows no visible inflection in this trend. The decline from 2019 (</w:t>
      </w:r>
      <w:r w:rsidRPr="00FE0B4E">
        <w:rPr>
          <w:rFonts w:ascii="Times New Roman" w:hAnsi="Times New Roman" w:cs="Times New Roman" w:hint="eastAsia"/>
          <w:sz w:val="24"/>
        </w:rPr>
        <w:t>−</w:t>
      </w:r>
      <w:r w:rsidRPr="00FE0B4E">
        <w:rPr>
          <w:rFonts w:ascii="Times New Roman" w:hAnsi="Times New Roman" w:cs="Times New Roman"/>
          <w:sz w:val="24"/>
        </w:rPr>
        <w:t>0.08) to 2024 (</w:t>
      </w:r>
      <w:r w:rsidRPr="00FE0B4E">
        <w:rPr>
          <w:rFonts w:ascii="Times New Roman" w:hAnsi="Times New Roman" w:cs="Times New Roman" w:hint="eastAsia"/>
          <w:sz w:val="24"/>
        </w:rPr>
        <w:t>−</w:t>
      </w:r>
      <w:r w:rsidRPr="00FE0B4E">
        <w:rPr>
          <w:rFonts w:ascii="Times New Roman" w:hAnsi="Times New Roman" w:cs="Times New Roman"/>
          <w:sz w:val="24"/>
        </w:rPr>
        <w:t>0.26) is a continuation of the same slope observed in the pre-pandemic decade, not an acceleration. The pandemic, for all its disruption, did not bend the curve of polarization in OECD democracies.</w:t>
      </w:r>
    </w:p>
    <w:p w14:paraId="16E93BEB" w14:textId="21034323" w:rsidR="00353A14"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lastRenderedPageBreak/>
        <w:tab/>
      </w:r>
      <w:r w:rsidRPr="00FE0B4E">
        <w:rPr>
          <w:rFonts w:ascii="Times New Roman" w:hAnsi="Times New Roman" w:cs="Times New Roman"/>
          <w:sz w:val="24"/>
        </w:rPr>
        <w:t xml:space="preserve">In the cross-sectional </w:t>
      </w:r>
      <w:proofErr w:type="spellStart"/>
      <w:r w:rsidRPr="00FE0B4E">
        <w:rPr>
          <w:rFonts w:ascii="Times New Roman" w:hAnsi="Times New Roman" w:cs="Times New Roman"/>
          <w:sz w:val="24"/>
        </w:rPr>
        <w:t>residualized</w:t>
      </w:r>
      <w:proofErr w:type="spellEnd"/>
      <w:r w:rsidRPr="00FE0B4E">
        <w:rPr>
          <w:rFonts w:ascii="Times New Roman" w:hAnsi="Times New Roman" w:cs="Times New Roman"/>
          <w:sz w:val="24"/>
        </w:rPr>
        <w:t xml:space="preserve"> specification (Model 4), which controls for 2019 baseline cohesion via the Frisch-Waugh-Lovell decomposition, the stringency coefficient is again negative and only marginally significant (</w:t>
      </w:r>
      <m:oMath>
        <m:acc>
          <m:accPr>
            <m:ctrlPr>
              <w:rPr>
                <w:rFonts w:ascii="Cambria Math" w:hAnsi="Cambria Math" w:cs="Times New Roman"/>
                <w:i/>
                <w:sz w:val="24"/>
              </w:rPr>
            </m:ctrlPr>
          </m:accPr>
          <m:e>
            <m:r>
              <w:rPr>
                <w:rFonts w:ascii="Cambria Math" w:hAnsi="Cambria Math" w:cs="Times New Roman"/>
                <w:sz w:val="24"/>
              </w:rPr>
              <m:t>β</m:t>
            </m:r>
          </m:e>
        </m:acc>
      </m:oMath>
      <w:r w:rsidRPr="00FE0B4E">
        <w:rPr>
          <w:rFonts w:ascii="Times New Roman" w:hAnsi="Times New Roman" w:cs="Times New Roman"/>
          <w:sz w:val="24"/>
        </w:rPr>
        <w:t xml:space="preserve"> = </w:t>
      </w:r>
      <w:r w:rsidRPr="00FE0B4E">
        <w:rPr>
          <w:rFonts w:ascii="Times New Roman" w:hAnsi="Times New Roman" w:cs="Times New Roman" w:hint="eastAsia"/>
          <w:sz w:val="24"/>
        </w:rPr>
        <w:t>−</w:t>
      </w:r>
      <w:r w:rsidRPr="00FE0B4E">
        <w:rPr>
          <w:rFonts w:ascii="Times New Roman" w:hAnsi="Times New Roman" w:cs="Times New Roman"/>
          <w:sz w:val="24"/>
        </w:rPr>
        <w:t>0.031, p = 0.10). This marginal result is more plausibly interpreted as residual mean reversion — countries that were more polarized in 2019 (which also adopted stricter lockdowns) regressed partially toward the mean — than as evidence that lockdowns improved social cohesion.</w:t>
      </w:r>
    </w:p>
    <w:p w14:paraId="358E18E2" w14:textId="00DACA1E" w:rsidR="00353A14" w:rsidRPr="00353A14" w:rsidRDefault="001976E3" w:rsidP="00353A14">
      <w:pPr>
        <w:spacing w:line="480" w:lineRule="auto"/>
        <w:rPr>
          <w:rFonts w:ascii="Times New Roman" w:hAnsi="Times New Roman" w:cs="Times New Roman"/>
          <w:i/>
          <w:iCs/>
          <w:sz w:val="24"/>
        </w:rPr>
      </w:pPr>
      <w:r w:rsidRPr="00353A14">
        <w:rPr>
          <w:rFonts w:ascii="Times New Roman" w:hAnsi="Times New Roman" w:cs="Times New Roman"/>
          <w:i/>
          <w:iCs/>
          <w:sz w:val="24"/>
        </w:rPr>
        <w:t>The Selection Effect: Social Cohesion Determined the Policy Response</w:t>
      </w:r>
    </w:p>
    <w:p w14:paraId="0E28BB2D" w14:textId="1C204304"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 xml:space="preserve">Having established that neither the virus nor the lockdowns drove polarization, we turn to the question of what determined the policy response itself. Figure 3 plots pre-pandemic social cohesion (V-Dem v2smpolsoc, 2019) against mean lockdown stringency (2020–2021) for all 38 OECD countries. The correlation is strongly negative (r = </w:t>
      </w:r>
      <w:r w:rsidRPr="00FE0B4E">
        <w:rPr>
          <w:rFonts w:ascii="Times New Roman" w:hAnsi="Times New Roman" w:cs="Times New Roman" w:hint="eastAsia"/>
          <w:sz w:val="24"/>
        </w:rPr>
        <w:t>−</w:t>
      </w:r>
      <w:r w:rsidRPr="00FE0B4E">
        <w:rPr>
          <w:rFonts w:ascii="Times New Roman" w:hAnsi="Times New Roman" w:cs="Times New Roman"/>
          <w:sz w:val="24"/>
        </w:rPr>
        <w:t>0.510, p = 0.001): countries that entered the pandemic with greater social cohesion subsequently adopted less stringent lockdown policies.</w:t>
      </w:r>
    </w:p>
    <w:p w14:paraId="071B06B4" w14:textId="1CB7B2C4"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This finding reframes the entire analytical question. The relationship between lockdown stringency and political outcomes is not a story of policy causing polarization; it is a story of polarization shaping policy. Pre-pandemic social conditions selected countries into distinct governance regimes, and this selection explains the cross-sectional association between stringency and polarization that a naive analysis might interpret as </w:t>
      </w:r>
      <w:r w:rsidRPr="00FE0B4E">
        <w:rPr>
          <w:rFonts w:ascii="Times New Roman" w:hAnsi="Times New Roman" w:cs="Times New Roman"/>
          <w:sz w:val="24"/>
        </w:rPr>
        <w:lastRenderedPageBreak/>
        <w:t>causal.</w:t>
      </w:r>
    </w:p>
    <w:p w14:paraId="5B4FC4A4" w14:textId="4E51D987"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The selection partitions the OECD into two governance archetypes. In the "voluntary compliance" quadrant — high cohesion, low stringency — we find Japan, Finland, Denmark, Iceland, New Zealand, Norway, and Sweden. These societies possessed the social capital to coordinate behavioral change without recourse to legal mandates. Citizens voluntarily adopted protective behaviors — masking, distancing, self-isolation — not because of government orders but because of shared norms of collective responsibility. Stringency indices remained low not because these governments were indifferent to public health, but because formal coercion was unnecessary.</w:t>
      </w:r>
    </w:p>
    <w:p w14:paraId="5A2C5587" w14:textId="3512DF18"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In the "coercive response" quadrant — low cohesion, high stringency — we find Chile, Italy, Greece, Colombia, the United Kingdom, the United States, Spain, and Turkey. In these societies, the absence of sufficient social trust meant that voluntary compliance could not be assumed. Governments faced a constrained choice set: either tolerate non-compliance and its epidemiological consequences, or impose mandates backed by legal authority. Most chose the latter. The stringency index in these countries reflects not greater governmental ambition but the structural necessity of substituting formal rules for absent informal norms.</w:t>
      </w:r>
    </w:p>
    <w:p w14:paraId="55F66004" w14:textId="30056766"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Off-diagonal cases enrich the pattern. Canada, Australia, and Ireland (high </w:t>
      </w:r>
      <w:r w:rsidRPr="00FE0B4E">
        <w:rPr>
          <w:rFonts w:ascii="Times New Roman" w:hAnsi="Times New Roman" w:cs="Times New Roman"/>
          <w:sz w:val="24"/>
        </w:rPr>
        <w:lastRenderedPageBreak/>
        <w:t>cohesion, high stringency) adopted strict measures despite adequate social capital — plausibly driven by geographic isolation, early-wave severity, or precautionary governance cultures. Hungary and Poland (low cohesion, low stringency) avoided strict lockdowns despite deep polarization, consistent with populist governments that instrumentalized pandemic skepticism for political gain. South Korea (low cohesion, moderate stringency) achieved containment through technological surveillance rather than either trust or coercion, representing a distinct governance pathway.</w:t>
      </w:r>
    </w:p>
    <w:p w14:paraId="6FE9736C" w14:textId="17716914" w:rsidR="008C5A01"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selection effect also explains the marginal negative coefficient observed in the </w:t>
      </w:r>
      <w:proofErr w:type="spellStart"/>
      <w:r w:rsidRPr="00FE0B4E">
        <w:rPr>
          <w:rFonts w:ascii="Times New Roman" w:hAnsi="Times New Roman" w:cs="Times New Roman"/>
          <w:sz w:val="24"/>
        </w:rPr>
        <w:t>residualized</w:t>
      </w:r>
      <w:proofErr w:type="spellEnd"/>
      <w:r w:rsidRPr="00FE0B4E">
        <w:rPr>
          <w:rFonts w:ascii="Times New Roman" w:hAnsi="Times New Roman" w:cs="Times New Roman"/>
          <w:sz w:val="24"/>
        </w:rPr>
        <w:t xml:space="preserve"> specification (Model 4, p = 0.10). After </w:t>
      </w:r>
      <w:proofErr w:type="spellStart"/>
      <w:r w:rsidRPr="00FE0B4E">
        <w:rPr>
          <w:rFonts w:ascii="Times New Roman" w:hAnsi="Times New Roman" w:cs="Times New Roman"/>
          <w:sz w:val="24"/>
        </w:rPr>
        <w:t>partialling</w:t>
      </w:r>
      <w:proofErr w:type="spellEnd"/>
      <w:r w:rsidRPr="00FE0B4E">
        <w:rPr>
          <w:rFonts w:ascii="Times New Roman" w:hAnsi="Times New Roman" w:cs="Times New Roman"/>
          <w:sz w:val="24"/>
        </w:rPr>
        <w:t xml:space="preserve"> out 2019 baseline cohesion, the residual association between stringency and polarization change is slightly negative — meaning that countries with unexpectedly high stringency (given their baseline) saw slightly less polarization growth. This pattern is consistent with mean reversion rather than a causal protective effect of lockdowns: countries far from the mean in 2019 tended to move back toward it by 2024, regardless of their lockdown strategy.</w:t>
      </w:r>
    </w:p>
    <w:p w14:paraId="5F6F9F11" w14:textId="77777777" w:rsidR="00F21D42" w:rsidRDefault="00F21D42" w:rsidP="00CF516B">
      <w:pPr>
        <w:spacing w:line="480" w:lineRule="auto"/>
        <w:rPr>
          <w:rFonts w:ascii="Times New Roman" w:hAnsi="Times New Roman" w:cs="Times New Roman"/>
          <w:sz w:val="24"/>
        </w:rPr>
      </w:pPr>
    </w:p>
    <w:p w14:paraId="7F70CE6C" w14:textId="77777777" w:rsidR="001976E3" w:rsidRDefault="00F21D42" w:rsidP="001976E3">
      <w:pPr>
        <w:spacing w:line="480" w:lineRule="auto"/>
        <w:rPr>
          <w:rFonts w:ascii="Times New Roman" w:hAnsi="Times New Roman" w:cs="Times New Roman"/>
          <w:b/>
          <w:bCs/>
          <w:sz w:val="24"/>
        </w:rPr>
      </w:pPr>
      <w:r w:rsidRPr="00DE693E">
        <w:rPr>
          <w:rFonts w:ascii="Times New Roman" w:hAnsi="Times New Roman" w:cs="Times New Roman"/>
          <w:b/>
          <w:bCs/>
          <w:sz w:val="24"/>
        </w:rPr>
        <w:t>D</w:t>
      </w:r>
      <w:r w:rsidR="001976E3">
        <w:rPr>
          <w:rFonts w:ascii="Times New Roman" w:hAnsi="Times New Roman" w:cs="Times New Roman"/>
          <w:b/>
          <w:bCs/>
          <w:sz w:val="24"/>
        </w:rPr>
        <w:t>iscussion</w:t>
      </w:r>
    </w:p>
    <w:p w14:paraId="67E14829" w14:textId="35F6A514" w:rsidR="00353A14" w:rsidRDefault="001976E3" w:rsidP="001976E3">
      <w:pPr>
        <w:spacing w:line="480" w:lineRule="auto"/>
        <w:rPr>
          <w:rFonts w:ascii="Times New Roman" w:hAnsi="Times New Roman" w:cs="Times New Roman"/>
          <w:i/>
          <w:iCs/>
          <w:sz w:val="24"/>
        </w:rPr>
      </w:pPr>
      <w:r w:rsidRPr="00353A14">
        <w:rPr>
          <w:rFonts w:ascii="Times New Roman" w:hAnsi="Times New Roman" w:cs="Times New Roman"/>
          <w:i/>
          <w:iCs/>
          <w:sz w:val="24"/>
        </w:rPr>
        <w:t>Parasite-Stress Theory Revisited</w:t>
      </w:r>
    </w:p>
    <w:p w14:paraId="745AF51B" w14:textId="20AB4537"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 xml:space="preserve">The Parasite-Stress Theory of Values predicts that infectious disease threats drive </w:t>
      </w:r>
      <w:r w:rsidRPr="00FE0B4E">
        <w:rPr>
          <w:rFonts w:ascii="Times New Roman" w:hAnsi="Times New Roman" w:cs="Times New Roman"/>
          <w:sz w:val="24"/>
        </w:rPr>
        <w:lastRenderedPageBreak/>
        <w:t xml:space="preserve">societies toward authoritarianism, in-group conformity, and reduced tolerance for dissent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&lt;EndNote&gt;&lt;Cite&gt;&lt;Author&gt;Thornhill&lt;/Author&gt;&lt;Year&gt;2014&lt;/Year&gt;&lt;RecNum&gt;1087&lt;/RecNum&gt;&lt;DisplayText&gt;(1)&lt;/DisplayText&gt;&lt;record&gt;&lt;rec-number&gt;1087&lt;/rec-number&gt;&lt;foreign-keys&gt;&lt;key app="EN" db-id="05x9axpzsz5twaew5s0500tr90zzfepxexte" timestamp="1771127831"&gt;1087&lt;/key&gt;&lt;/foreign-keys&gt;&lt;ref-type name="Book"&gt;6&lt;/ref-type&gt;&lt;contributors&gt;&lt;authors&gt;&lt;author&gt;Thornhill, Randy&lt;/author&gt;&lt;author&gt;Fincher, Corey L.&lt;/author&gt;&lt;/authors&gt;&lt;/contributors&gt;&lt;titles&gt;&lt;title&gt;The Parasite-Stress Theory of Values and Sociality&lt;/title&gt;&lt;/titles&gt;&lt;dates&gt;&lt;year&gt;2014&lt;/year&gt;&lt;/dates&gt;&lt;isbn&gt;978-3-319-08039-0&amp;#xD;978-3-319-08040-6&lt;/isbn&gt;&lt;urls&gt;&lt;/urls&gt;&lt;electronic-resource-num&gt;10.1007/978-3-319-08040-6&lt;/electronic-resource-num&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w:t>
      </w:r>
      <w:r w:rsidR="00E35562">
        <w:rPr>
          <w:rFonts w:ascii="Times New Roman" w:hAnsi="Times New Roman" w:cs="Times New Roman"/>
          <w:sz w:val="24"/>
        </w:rPr>
        <w:fldChar w:fldCharType="end"/>
      </w:r>
      <w:r w:rsidRPr="00FE0B4E">
        <w:rPr>
          <w:rFonts w:ascii="Times New Roman" w:hAnsi="Times New Roman" w:cs="Times New Roman"/>
          <w:sz w:val="24"/>
        </w:rPr>
        <w:t>. Our findings challenge the applicability of this framework to contemporary high-income democracies on two fronts. First, COVID-19 mortality bore no detectable relationship to changes in social polarization — the biological threat channel is null. This is consistent with Pasin et al. (2024)</w:t>
      </w:r>
      <w:r w:rsidR="00E35562">
        <w:rPr>
          <w:rFonts w:ascii="Times New Roman" w:hAnsi="Times New Roman" w:cs="Times New Roman"/>
          <w:sz w:val="24"/>
        </w:rPr>
        <w:t xml:space="preserve"> </w:t>
      </w:r>
      <w:r w:rsidR="00E35562">
        <w:rPr>
          <w:rFonts w:ascii="Times New Roman" w:hAnsi="Times New Roman" w:cs="Times New Roman"/>
          <w:sz w:val="24"/>
        </w:rPr>
        <w:fldChar w:fldCharType="begin">
          <w:fldData xml:space="preserve">PEVuZE5vdGU+PENpdGU+PEF1dGhvcj5QYXNpbjwvQXV0aG9yPjxZZWFyPjIwMjQ8L1llYXI+PFJl
Y051bT4xMTAyPC9SZWNOdW0+PERpc3BsYXlUZXh0PigyMCk8L0Rpc3BsYXlUZXh0PjxyZWNvcmQ+
PHJlYy1udW1iZXI+MTEwMjwvcmVjLW51bWJlcj48Zm9yZWlnbi1rZXlzPjxrZXkgYXBwPSJFTiIg
ZGItaWQ9IjA1eDlheHB6c3o1dHdhZXc1czA1MDB0cjkwenpmZXB4ZXh0ZSIgdGltZXN0YW1wPSIx
NzcxMTQwMjQzIj4xMTAyPC9rZXk+PC9mb3JlaWduLWtleXM+PHJlZi10eXBlIG5hbWU9IkpvdXJu
YWwgQXJ0aWNsZSI+MTc8L3JlZi10eXBlPjxjb250cmlidXRvcnM+PGF1dGhvcnM+PGF1dGhvcj5Q
YXNpbiwgRy4gTC48L2F1dGhvcj48YXV0aG9yPlN6ZWtlbHksIEEuPC9hdXRob3I+PGF1dGhvcj5F
cmlrc3NvbiwgSy48L2F1dGhvcj48YXV0aG9yPkd1aWRvLCBBLjwvYXV0aG9yPjxhdXRob3I+ZGkg
U29ycmVudGlubywgRS4gUC48L2F1dGhvcj48YXV0aG9yPkFuZHJpZ2hldHRvLCBHLjwvYXV0aG9y
PjwvYXV0aG9ycz48L2NvbnRyaWJ1dG9ycz48YXV0aC1hZGRyZXNzPkRlcGFydG1lbnQgb2YgU29j
aWFsIGFuZCBQb2xpdGljYWwgU2NpZW5jZXMsIFVuaXZlcnNpdHkgb2YgTWlsYW4sIE1pbGFuLCBJ
dGFseS4gZ2lhbmx1Y2EucGFzaW4ucmVzZWFyY2hAZ21haWwuY29tLiYjeEQ7SW5zdGl0dXRlIG9m
IENvZ25pdGl2ZSBTY2llbmNlcyBhbmQgVGVjaG5vbG9naWVzLCBOYXRpb25hbCBSZXNlYXJjaCBD
b3VuY2lsIG9mIEl0YWx5LCBSb21lLCBJdGFseS4gZ2lhbmx1Y2EucGFzaW4ucmVzZWFyY2hAZ21h
aWwuY29tLiYjeEQ7Q29sbGVnaW8gQ2FybG8gQWxiZXJ0bywgVHVyaW4sIEl0YWx5LiYjeEQ7SW5z
dGl0dXRlIG9mIENvZ25pdGl2ZSBTY2llbmNlcyBhbmQgVGVjaG5vbG9naWVzLCBOYXRpb25hbCBS
ZXNlYXJjaCBDb3VuY2lsIG9mIEl0YWx5LCBSb21lLCBJdGFseS4mI3hEO0NlbnRlciBmb3IgQ3Vs
dHVyYWwgRXZvbHV0aW9uLCBTdG9ja2hvbG0gVW5pdmVyc2l0eSwgU3RvY2tob2xtLCBTd2VkZW4u
JiN4RDtDRVJFTiBFQSA3NDc3LCBCdXJndW5keSBTY2hvb2wgb2YgQnVzaW5lc3MsIFVuaXZlcnNp
dGUgQm91cmdvZ25lIEZyYW5jaGUtQ29tdGUsIERpam9uLCBGcmFuY2UuJiN4RDtJbnN0aXR1dGUg
Zm9yIEZ1dHVyZXMgU3R1ZGllcywgU3RvY2tob2xtLCBTd2VkZW4uJiN4RDtNYWxhcmRhbGVucyBV
bml2ZXJzaXR5LCBWYXN0ZXJhcywgU3dlZGVuLjwvYXV0aC1hZGRyZXNzPjx0aXRsZXM+PHRpdGxl
PkV2aWRlbmNlIGZyb20gNDMgY291bnRyaWVzIHRoYXQgZGlzZWFzZSBsZWF2ZXMgY3VsdHVyZXMg
dW5jaGFuZ2VkIGluIHRoZSBzaG9ydC10ZXJtPC90aXRsZT48c2Vjb25kYXJ5LXRpdGxlPlNjaSBS
ZXA8L3NlY29uZGFyeS10aXRsZT48L3RpdGxlcz48cGVyaW9kaWNhbD48ZnVsbC10aXRsZT5TY2kg
UmVwPC9mdWxsLXRpdGxlPjwvcGVyaW9kaWNhbD48cGFnZXM+NjUwMjwvcGFnZXM+PHZvbHVtZT4x
NDwvdm9sdW1lPjxudW1iZXI+MTwvbnVtYmVyPjxlZGl0aW9uPjIwMjQwMzE4PC9lZGl0aW9uPjxr
ZXl3b3Jkcz48a2V5d29yZD5IdW1hbnM8L2tleXdvcmQ+PGtleXdvcmQ+KlBhbmRlbWljczwva2V5
d29yZD48a2V5d29yZD4qQ09WSUQtMTkvZXBpZGVtaW9sb2d5PC9rZXl3b3JkPjxrZXl3b3JkPlNv
Y2lhbCBCZWhhdmlvcjwva2V5d29yZD48a2V5d29yZD5Tb2NpYWwgQ2hhbmdlPC9rZXl3b3JkPjxr
ZXl3b3JkPlByZWp1ZGljZTwva2V5d29yZD48L2tleXdvcmRzPjxkYXRlcz48eWVhcj4yMDI0PC95
ZWFyPjxwdWItZGF0ZXM+PGRhdGU+TWFyIDE4PC9kYXRlPjwvcHViLWRhdGVzPjwvZGF0ZXM+PGlz
Ym4+MjA0NS0yMzIyIChFbGVjdHJvbmljKSYjeEQ7MjA0NS0yMzIyIChMaW5raW5nKTwvaXNibj48
YWNjZXNzaW9uLW51bT4zODQ5OTUyODwvYWNjZXNzaW9uLW51bT48dXJscz48cmVsYXRlZC11cmxz
Pjx1cmw+aHR0cHM6Ly93d3cubmNiaS5ubG0ubmloLmdvdi9wdWJtZWQvMzg0OTk1Mjg8L3VybD48
L3JlbGF0ZWQtdXJscz48L3VybHM+PGN1c3RvbTE+VGhlIGF1dGhvcnMgZGVjbGFyZSBubyBjb21w
ZXRpbmcgaW50ZXJlc3RzLjwvY3VzdG9tMT48Y3VzdG9tMj5QTUMxMDk0ODc1NzwvY3VzdG9tMj48
ZWxlY3Ryb25pYy1yZXNvdXJjZS1udW0+MTAuMTAzOC9zNDE1OTgtMDIzLTMzMTU1LTY8L2VsZWN0
cm9uaWMtcmVzb3VyY2UtbnVtPjxyZW1vdGUtZGF0YWJhc2UtbmFtZT5NZWRsaW5lPC9yZW1vdGUt
ZGF0YWJhc2UtbmFtZT48cmVtb3RlLWRhdGFiYXNlLXByb3ZpZGVyPk5MTTwvcmVtb3RlLWRhdGFi
YXNlLXByb3ZpZGVyPjwvcmVjb3JkPjwvQ2l0ZT48L0VuZE5vdGU+AG==
</w:fldData>
        </w:fldChar>
      </w:r>
      <w:r w:rsidR="00E35562">
        <w:rPr>
          <w:rFonts w:ascii="Times New Roman" w:hAnsi="Times New Roman" w:cs="Times New Roman"/>
          <w:sz w:val="24"/>
        </w:rPr>
        <w:instrText xml:space="preserve"> ADDIN EN.CITE </w:instrText>
      </w:r>
      <w:r w:rsidR="00E35562">
        <w:rPr>
          <w:rFonts w:ascii="Times New Roman" w:hAnsi="Times New Roman" w:cs="Times New Roman"/>
          <w:sz w:val="24"/>
        </w:rPr>
        <w:fldChar w:fldCharType="begin">
          <w:fldData xml:space="preserve">PEVuZE5vdGU+PENpdGU+PEF1dGhvcj5QYXNpbjwvQXV0aG9yPjxZZWFyPjIwMjQ8L1llYXI+PFJl
Y051bT4xMTAyPC9SZWNOdW0+PERpc3BsYXlUZXh0PigyMCk8L0Rpc3BsYXlUZXh0PjxyZWNvcmQ+
PHJlYy1udW1iZXI+MTEwMjwvcmVjLW51bWJlcj48Zm9yZWlnbi1rZXlzPjxrZXkgYXBwPSJFTiIg
ZGItaWQ9IjA1eDlheHB6c3o1dHdhZXc1czA1MDB0cjkwenpmZXB4ZXh0ZSIgdGltZXN0YW1wPSIx
NzcxMTQwMjQzIj4xMTAyPC9rZXk+PC9mb3JlaWduLWtleXM+PHJlZi10eXBlIG5hbWU9IkpvdXJu
YWwgQXJ0aWNsZSI+MTc8L3JlZi10eXBlPjxjb250cmlidXRvcnM+PGF1dGhvcnM+PGF1dGhvcj5Q
YXNpbiwgRy4gTC48L2F1dGhvcj48YXV0aG9yPlN6ZWtlbHksIEEuPC9hdXRob3I+PGF1dGhvcj5F
cmlrc3NvbiwgSy48L2F1dGhvcj48YXV0aG9yPkd1aWRvLCBBLjwvYXV0aG9yPjxhdXRob3I+ZGkg
U29ycmVudGlubywgRS4gUC48L2F1dGhvcj48YXV0aG9yPkFuZHJpZ2hldHRvLCBHLjwvYXV0aG9y
PjwvYXV0aG9ycz48L2NvbnRyaWJ1dG9ycz48YXV0aC1hZGRyZXNzPkRlcGFydG1lbnQgb2YgU29j
aWFsIGFuZCBQb2xpdGljYWwgU2NpZW5jZXMsIFVuaXZlcnNpdHkgb2YgTWlsYW4sIE1pbGFuLCBJ
dGFseS4gZ2lhbmx1Y2EucGFzaW4ucmVzZWFyY2hAZ21haWwuY29tLiYjeEQ7SW5zdGl0dXRlIG9m
IENvZ25pdGl2ZSBTY2llbmNlcyBhbmQgVGVjaG5vbG9naWVzLCBOYXRpb25hbCBSZXNlYXJjaCBD
b3VuY2lsIG9mIEl0YWx5LCBSb21lLCBJdGFseS4gZ2lhbmx1Y2EucGFzaW4ucmVzZWFyY2hAZ21h
aWwuY29tLiYjeEQ7Q29sbGVnaW8gQ2FybG8gQWxiZXJ0bywgVHVyaW4sIEl0YWx5LiYjeEQ7SW5z
dGl0dXRlIG9mIENvZ25pdGl2ZSBTY2llbmNlcyBhbmQgVGVjaG5vbG9naWVzLCBOYXRpb25hbCBS
ZXNlYXJjaCBDb3VuY2lsIG9mIEl0YWx5LCBSb21lLCBJdGFseS4mI3hEO0NlbnRlciBmb3IgQ3Vs
dHVyYWwgRXZvbHV0aW9uLCBTdG9ja2hvbG0gVW5pdmVyc2l0eSwgU3RvY2tob2xtLCBTd2VkZW4u
JiN4RDtDRVJFTiBFQSA3NDc3LCBCdXJndW5keSBTY2hvb2wgb2YgQnVzaW5lc3MsIFVuaXZlcnNp
dGUgQm91cmdvZ25lIEZyYW5jaGUtQ29tdGUsIERpam9uLCBGcmFuY2UuJiN4RDtJbnN0aXR1dGUg
Zm9yIEZ1dHVyZXMgU3R1ZGllcywgU3RvY2tob2xtLCBTd2VkZW4uJiN4RDtNYWxhcmRhbGVucyBV
bml2ZXJzaXR5LCBWYXN0ZXJhcywgU3dlZGVuLjwvYXV0aC1hZGRyZXNzPjx0aXRsZXM+PHRpdGxl
PkV2aWRlbmNlIGZyb20gNDMgY291bnRyaWVzIHRoYXQgZGlzZWFzZSBsZWF2ZXMgY3VsdHVyZXMg
dW5jaGFuZ2VkIGluIHRoZSBzaG9ydC10ZXJtPC90aXRsZT48c2Vjb25kYXJ5LXRpdGxlPlNjaSBS
ZXA8L3NlY29uZGFyeS10aXRsZT48L3RpdGxlcz48cGVyaW9kaWNhbD48ZnVsbC10aXRsZT5TY2kg
UmVwPC9mdWxsLXRpdGxlPjwvcGVyaW9kaWNhbD48cGFnZXM+NjUwMjwvcGFnZXM+PHZvbHVtZT4x
NDwvdm9sdW1lPjxudW1iZXI+MTwvbnVtYmVyPjxlZGl0aW9uPjIwMjQwMzE4PC9lZGl0aW9uPjxr
ZXl3b3Jkcz48a2V5d29yZD5IdW1hbnM8L2tleXdvcmQ+PGtleXdvcmQ+KlBhbmRlbWljczwva2V5
d29yZD48a2V5d29yZD4qQ09WSUQtMTkvZXBpZGVtaW9sb2d5PC9rZXl3b3JkPjxrZXl3b3JkPlNv
Y2lhbCBCZWhhdmlvcjwva2V5d29yZD48a2V5d29yZD5Tb2NpYWwgQ2hhbmdlPC9rZXl3b3JkPjxr
ZXl3b3JkPlByZWp1ZGljZTwva2V5d29yZD48L2tleXdvcmRzPjxkYXRlcz48eWVhcj4yMDI0PC95
ZWFyPjxwdWItZGF0ZXM+PGRhdGU+TWFyIDE4PC9kYXRlPjwvcHViLWRhdGVzPjwvZGF0ZXM+PGlz
Ym4+MjA0NS0yMzIyIChFbGVjdHJvbmljKSYjeEQ7MjA0NS0yMzIyIChMaW5raW5nKTwvaXNibj48
YWNjZXNzaW9uLW51bT4zODQ5OTUyODwvYWNjZXNzaW9uLW51bT48dXJscz48cmVsYXRlZC11cmxz
Pjx1cmw+aHR0cHM6Ly93d3cubmNiaS5ubG0ubmloLmdvdi9wdWJtZWQvMzg0OTk1Mjg8L3VybD48
L3JlbGF0ZWQtdXJscz48L3VybHM+PGN1c3RvbTE+VGhlIGF1dGhvcnMgZGVjbGFyZSBubyBjb21w
ZXRpbmcgaW50ZXJlc3RzLjwvY3VzdG9tMT48Y3VzdG9tMj5QTUMxMDk0ODc1NzwvY3VzdG9tMj48
ZWxlY3Ryb25pYy1yZXNvdXJjZS1udW0+MTAuMTAzOC9zNDE1OTgtMDIzLTMzMTU1LTY8L2VsZWN0
cm9uaWMtcmVzb3VyY2UtbnVtPjxyZW1vdGUtZGF0YWJhc2UtbmFtZT5NZWRsaW5lPC9yZW1vdGUt
ZGF0YWJhc2UtbmFtZT48cmVtb3RlLWRhdGFiYXNlLXByb3ZpZGVyPk5MTTwvcmVtb3RlLWRhdGFi
YXNlLXByb3ZpZGVyPjwvcmVjb3JkPjwvQ2l0ZT48L0VuZE5vdGU+AG==
</w:fldData>
        </w:fldChar>
      </w:r>
      <w:r w:rsidR="00E35562">
        <w:rPr>
          <w:rFonts w:ascii="Times New Roman" w:hAnsi="Times New Roman" w:cs="Times New Roman"/>
          <w:sz w:val="24"/>
        </w:rPr>
        <w:instrText xml:space="preserve"> ADDIN EN.CITE.DATA </w:instrText>
      </w:r>
      <w:r w:rsidR="00E35562">
        <w:rPr>
          <w:rFonts w:ascii="Times New Roman" w:hAnsi="Times New Roman" w:cs="Times New Roman"/>
          <w:sz w:val="24"/>
        </w:rPr>
      </w:r>
      <w:r w:rsidR="00E35562">
        <w:rPr>
          <w:rFonts w:ascii="Times New Roman" w:hAnsi="Times New Roman" w:cs="Times New Roman"/>
          <w:sz w:val="24"/>
        </w:rPr>
        <w:fldChar w:fldCharType="end"/>
      </w:r>
      <w:r w:rsidR="00E35562">
        <w:rPr>
          <w:rFonts w:ascii="Times New Roman" w:hAnsi="Times New Roman" w:cs="Times New Roman"/>
          <w:sz w:val="24"/>
        </w:rPr>
      </w:r>
      <w:r w:rsidR="00E35562">
        <w:rPr>
          <w:rFonts w:ascii="Times New Roman" w:hAnsi="Times New Roman" w:cs="Times New Roman"/>
          <w:sz w:val="24"/>
        </w:rPr>
        <w:fldChar w:fldCharType="separate"/>
      </w:r>
      <w:r w:rsidR="00E35562">
        <w:rPr>
          <w:rFonts w:ascii="Times New Roman" w:hAnsi="Times New Roman" w:cs="Times New Roman"/>
          <w:noProof/>
          <w:sz w:val="24"/>
        </w:rPr>
        <w:t>(20)</w:t>
      </w:r>
      <w:r w:rsidR="00E35562">
        <w:rPr>
          <w:rFonts w:ascii="Times New Roman" w:hAnsi="Times New Roman" w:cs="Times New Roman"/>
          <w:sz w:val="24"/>
        </w:rPr>
        <w:fldChar w:fldCharType="end"/>
      </w:r>
      <w:r w:rsidRPr="00FE0B4E">
        <w:rPr>
          <w:rFonts w:ascii="Times New Roman" w:hAnsi="Times New Roman" w:cs="Times New Roman"/>
          <w:sz w:val="24"/>
        </w:rPr>
        <w:t xml:space="preserve">, who examined survey data from 29,761 individuals across 43 countries before and after the onset of COVID-19, finding that macro-cultural dimensions — collectivism, conformity, outgroup prejudice — remained unchanged despite the most severe global pathogen shock in a century. Second, the coercive policy instruments deployed in response to the pandemic — instruments that might plausibly function as a proxy for the "authoritarian shift" the theory predicts — also failed to move the needle. As Hackman and Hruschka (2013)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&lt;EndNote&gt;&lt;Cite&gt;&lt;Author&gt;Currie&lt;/Author&gt;&lt;Year&gt;2012&lt;/Year&gt;&lt;RecNum&gt;1099&lt;/RecNum&gt;&lt;DisplayText&gt;(3)&lt;/DisplayText&gt;&lt;record&gt;&lt;rec-number&gt;1099&lt;/rec-number&gt;&lt;foreign-keys&gt;&lt;key app="EN" db-id="05x9axpzsz5twaew5s0500tr90zzfepxexte" timestamp="1771140112"&gt;1099&lt;/key&gt;&lt;/foreign-keys&gt;&lt;ref-type name="Journal Article"&gt;17&lt;/ref-type&gt;&lt;contributors&gt;&lt;authors&gt;&lt;author&gt;Currie, T. E.&lt;/author&gt;&lt;author&gt;Mace, R.&lt;/author&gt;&lt;/authors&gt;&lt;/contributors&gt;&lt;auth-address&gt;Human Evolutionary Ecology Group, Department of Anthropology, University College London, London WC1H 0BW, United Kingdom. t.currie@ucl.ac.uk&lt;/auth-address&gt;&lt;titles&gt;&lt;title&gt;Analyses do not support the parasite-stress theory of human sociality&lt;/title&gt;&lt;secondary-title&gt;Behav Brain Sci&lt;/secondary-title&gt;&lt;/titles&gt;&lt;periodical&gt;&lt;full-title&gt;Behav Brain Sci&lt;/full-title&gt;&lt;/periodical&gt;&lt;pages&gt;83-5&lt;/pages&gt;&lt;volume&gt;35&lt;/volume&gt;&lt;number&gt;2&lt;/number&gt;&lt;edition&gt;20120131&lt;/edition&gt;&lt;keywords&gt;&lt;keyword&gt;Communicable Diseases/*psychology&lt;/keyword&gt;&lt;keyword&gt;*Family Relations&lt;/keyword&gt;&lt;keyword&gt;Humans&lt;/keyword&gt;&lt;keyword&gt;Parasitic Diseases/*psychology&lt;/keyword&gt;&lt;keyword&gt;*Religion and Psychology&lt;/keyword&gt;&lt;keyword&gt;*Social Behavior&lt;/keyword&gt;&lt;keyword&gt;*Stress, Psychological&lt;/keyword&gt;&lt;/keywords&gt;&lt;dates&gt;&lt;year&gt;2012&lt;/year&gt;&lt;pub-dates&gt;&lt;date&gt;Apr&lt;/date&gt;&lt;/pub-dates&gt;&lt;/dates&gt;&lt;isbn&gt;1469-1825 (Electronic)&amp;#xD;0140-525X (Linking)&lt;/isbn&gt;&lt;accession-num&gt;22289294&lt;/accession-num&gt;&lt;urls&gt;&lt;related-urls&gt;&lt;url&gt;https://www.ncbi.nlm.nih.gov/pubmed/22289294&lt;/url&gt;&lt;/related-urls&gt;&lt;/urls&gt;&lt;electronic-resource-num&gt;10.1017/S0140525X11000963&lt;/electronic-resource-num&gt;&lt;remote-database-name&gt;Medline&lt;/remote-database-name&gt;&lt;remote-database-provider&gt;NLM&lt;/remote-database-provider&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(3)</w:t>
      </w:r>
      <w:r w:rsidR="00E35562">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and Pollet et al. (2014)</w:t>
      </w:r>
      <w:r w:rsidR="00E35562">
        <w:rPr>
          <w:rFonts w:ascii="Times New Roman" w:hAnsi="Times New Roman" w:cs="Times New Roman"/>
          <w:sz w:val="24"/>
        </w:rPr>
        <w:t xml:space="preserve">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&lt;EndNote&gt;&lt;Cite&gt;&lt;Author&gt;Pollet&lt;/Author&gt;&lt;Year&gt;2014&lt;/Year&gt;&lt;RecNum&gt;1100&lt;/RecNum&gt;&lt;DisplayText&gt;(4)&lt;/DisplayText&gt;&lt;record&gt;&lt;rec-number&gt;1100&lt;/rec-number&gt;&lt;foreign-keys&gt;&lt;key app="EN" db-id="05x9axpzsz5twaew5s0500tr90zzfepxexte" timestamp="1771140158"&gt;1100&lt;/key&gt;&lt;/foreign-keys&gt;&lt;ref-type name="Journal Article"&gt;17&lt;/ref-type&gt;&lt;contributors&gt;&lt;authors&gt;&lt;author&gt;Pollet, Thomas V.&lt;/author&gt;&lt;author&gt;Tybur, Joshua M.&lt;/author&gt;&lt;author&gt;Frankenhuis, Willem E.&lt;/author&gt;&lt;author&gt;Rickard, Ian J.&lt;/author&gt;&lt;/authors&gt;&lt;/contributors&gt;&lt;titles&gt;&lt;title&gt;What Can Cross-Cultural Correlations Teach Us about Human Nature?&lt;/title&gt;&lt;secondary-title&gt;Human Nature&lt;/secondary-title&gt;&lt;/titles&gt;&lt;periodical&gt;&lt;full-title&gt;Human Nature&lt;/full-title&gt;&lt;/periodical&gt;&lt;pages&gt;410-429&lt;/pages&gt;&lt;volume&gt;25&lt;/volume&gt;&lt;number&gt;3&lt;/number&gt;&lt;section&gt;410&lt;/section&gt;&lt;dates&gt;&lt;year&gt;2014&lt;/year&gt;&lt;/dates&gt;&lt;isbn&gt;1045-6767&amp;#xD;1936-4776&lt;/isbn&gt;&lt;urls&gt;&lt;/urls&gt;&lt;electronic-resource-num&gt;10.1007/s12110-014-9206-3&lt;/electronic-resource-num&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(4)</w:t>
      </w:r>
      <w:r w:rsidR="00E35562">
        <w:rPr>
          <w:rFonts w:ascii="Times New Roman" w:hAnsi="Times New Roman" w:cs="Times New Roman"/>
          <w:sz w:val="24"/>
        </w:rPr>
        <w:fldChar w:fldCharType="end"/>
      </w:r>
      <w:r w:rsidRPr="00FE0B4E">
        <w:rPr>
          <w:rFonts w:ascii="Times New Roman" w:hAnsi="Times New Roman" w:cs="Times New Roman"/>
          <w:sz w:val="24"/>
        </w:rPr>
        <w:t xml:space="preserve"> have argued on methodological grounds, the parasite-stress framework may describe long-run ecological correlations without identifying a causal mechanism that operates in real time. Our results provide a direct empirical confirmation of this critique.</w:t>
      </w:r>
    </w:p>
    <w:p w14:paraId="3A4094F5" w14:textId="7DDA19FE" w:rsidR="001976E3"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This double null result does not invalidate the evolutionary logic of the theory. It does, however, establish a clear boundary condition: in societies with robust democratic institutions, independent judiciaries, free media, and high baseline life expectancy, neither pathogen fear nor the emergency powers it occasions appear sufficient to reshape the </w:t>
      </w:r>
      <w:r w:rsidRPr="00FE0B4E">
        <w:rPr>
          <w:rFonts w:ascii="Times New Roman" w:hAnsi="Times New Roman" w:cs="Times New Roman"/>
          <w:sz w:val="24"/>
        </w:rPr>
        <w:lastRenderedPageBreak/>
        <w:t>social fabric. Modern institutions absorb both the psychological shock of disease and the political shock of emergency governance without transmitting either into lasting structural change.</w:t>
      </w:r>
    </w:p>
    <w:p w14:paraId="5A9F4183" w14:textId="462E6683" w:rsidR="00353A14" w:rsidRPr="001976E3" w:rsidRDefault="001976E3" w:rsidP="00353A14">
      <w:pPr>
        <w:spacing w:line="480" w:lineRule="auto"/>
        <w:rPr>
          <w:rFonts w:ascii="Times New Roman" w:hAnsi="Times New Roman" w:cs="Times New Roman"/>
          <w:sz w:val="24"/>
        </w:rPr>
      </w:pPr>
      <w:r w:rsidRPr="00353A14">
        <w:rPr>
          <w:rFonts w:ascii="Times New Roman" w:hAnsi="Times New Roman" w:cs="Times New Roman"/>
          <w:i/>
          <w:iCs/>
          <w:sz w:val="24"/>
        </w:rPr>
        <w:t>The Pandemic as Stress Test</w:t>
      </w:r>
    </w:p>
    <w:p w14:paraId="56F3254A" w14:textId="2A55C595"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If the pandemic did not cause polarization, what did it do? Our findings suggest it functioned as a diagnostic — a stress test that revealed the load-bearing capacity of each democracy's social infrastructure, without itself adding to the structural load.</w:t>
      </w:r>
    </w:p>
    <w:p w14:paraId="61FBD027" w14:textId="1A8576EE"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selection effect documented in Figure 3 (r = </w:t>
      </w:r>
      <w:r w:rsidRPr="00FE0B4E">
        <w:rPr>
          <w:rFonts w:ascii="Times New Roman" w:hAnsi="Times New Roman" w:cs="Times New Roman" w:hint="eastAsia"/>
          <w:sz w:val="24"/>
        </w:rPr>
        <w:t>−</w:t>
      </w:r>
      <w:r w:rsidRPr="00FE0B4E">
        <w:rPr>
          <w:rFonts w:ascii="Times New Roman" w:hAnsi="Times New Roman" w:cs="Times New Roman"/>
          <w:sz w:val="24"/>
        </w:rPr>
        <w:t>0.51, p = 0.001) is the central evidence for this interpretation. The single strongest predictor of a country's lockdown strategy was not its epidemiological situation, its government's ideology, or its healthcare capacity — it was the level of social trust its citizens held toward one another before the crisis began. This finding reframes lockdown stringency from a policy choice to a structural revelation. Countries did not choose high stringency; their social conditions chose it for them.</w:t>
      </w:r>
    </w:p>
    <w:p w14:paraId="43809F3D" w14:textId="135F27D6"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For high-trust nations — Japan, Finland, Denmark, New Zealand, and Sweden — low lockdown stringency should not be interpreted as policy laxity or governmental indifference. Rather, it reflected what </w:t>
      </w:r>
      <w:r w:rsidRPr="0015521E">
        <w:rPr>
          <w:rFonts w:ascii="Times New Roman" w:hAnsi="Times New Roman" w:cs="Times New Roman"/>
          <w:sz w:val="24"/>
        </w:rPr>
        <w:t>Fukuyama</w:t>
      </w:r>
      <w:r w:rsidRPr="00FE0B4E">
        <w:rPr>
          <w:rFonts w:ascii="Times New Roman" w:hAnsi="Times New Roman" w:cs="Times New Roman"/>
          <w:sz w:val="24"/>
        </w:rPr>
        <w:t xml:space="preserve"> (1995)</w:t>
      </w:r>
      <w:r w:rsidR="00E35562">
        <w:rPr>
          <w:rFonts w:ascii="Times New Roman" w:hAnsi="Times New Roman" w:cs="Times New Roman"/>
          <w:sz w:val="24"/>
        </w:rPr>
        <w:t xml:space="preserve"> </w:t>
      </w:r>
      <w:r w:rsidR="005F188F">
        <w:rPr>
          <w:rFonts w:ascii="Times New Roman" w:hAnsi="Times New Roman" w:cs="Times New Roman"/>
          <w:sz w:val="24"/>
        </w:rPr>
        <w:fldChar w:fldCharType="begin"/>
      </w:r>
      <w:r w:rsidR="005F188F">
        <w:rPr>
          <w:rFonts w:ascii="Times New Roman" w:hAnsi="Times New Roman" w:cs="Times New Roman"/>
          <w:sz w:val="24"/>
        </w:rPr>
        <w:instrText xml:space="preserve"> ADDIN EN.CITE &lt;EndNote&gt;&lt;Cite&gt;&lt;Author&gt;Fukuyama&lt;/Author&gt;&lt;Year&gt;1995&lt;/Year&gt;&lt;RecNum&gt;1123&lt;/RecNum&gt;&lt;DisplayText&gt;(21)&lt;/DisplayText&gt;&lt;record&gt;&lt;rec-number&gt;1123&lt;/rec-number&gt;&lt;foreign-keys&gt;&lt;key app="EN" db-id="05x9axpzsz5twaew5s0500tr90zzfepxexte" timestamp="1771217983"&gt;1123&lt;/key&gt;&lt;/foreign-keys&gt;&lt;ref-type name="Book"&gt;6&lt;/ref-type&gt;&lt;contributors&gt;&lt;authors&gt;&lt;author&gt;Fukuyama, Francis&lt;/author&gt;&lt;/authors&gt;&lt;/contributors&gt;&lt;titles&gt;&lt;title&gt;Trust : the social virtues and the creation of prosperity&lt;/title&gt;&lt;/titles&gt;&lt;pages&gt;xv, 457 p.&lt;/pages&gt;&lt;keywords&gt;&lt;keyword&gt;Economics Moral and ethical aspects.&lt;/keyword&gt;&lt;keyword&gt;Trust.&lt;/keyword&gt;&lt;keyword&gt;Virtue.&lt;/keyword&gt;&lt;keyword&gt;Economic history 1945-&lt;/keyword&gt;&lt;/keywords&gt;&lt;dates&gt;&lt;year&gt;1995&lt;/year&gt;&lt;/dates&gt;&lt;pub-location&gt;New York&lt;/pub-location&gt;&lt;publisher&gt;Free Press&lt;/publisher&gt;&lt;isbn&gt;0029109760&amp;#xD;9780029109762&lt;/isbn&gt;&lt;accession-num&gt;3978907&lt;/accession-num&gt;&lt;call-num&gt;HB72 .F85 1995&lt;/call-num&gt;&lt;urls&gt;&lt;/urls&gt;&lt;/record&gt;&lt;/Cite&gt;&lt;/EndNote&gt;</w:instrText>
      </w:r>
      <w:r w:rsidR="005F188F">
        <w:rPr>
          <w:rFonts w:ascii="Times New Roman" w:hAnsi="Times New Roman" w:cs="Times New Roman"/>
          <w:sz w:val="24"/>
        </w:rPr>
        <w:fldChar w:fldCharType="separate"/>
      </w:r>
      <w:r w:rsidR="005F188F">
        <w:rPr>
          <w:rFonts w:ascii="Times New Roman" w:hAnsi="Times New Roman" w:cs="Times New Roman"/>
          <w:noProof/>
          <w:sz w:val="24"/>
        </w:rPr>
        <w:t>(21)</w:t>
      </w:r>
      <w:r w:rsidR="005F188F">
        <w:rPr>
          <w:rFonts w:ascii="Times New Roman" w:hAnsi="Times New Roman" w:cs="Times New Roman"/>
          <w:sz w:val="24"/>
        </w:rPr>
        <w:fldChar w:fldCharType="end"/>
      </w:r>
      <w:r w:rsidRPr="00FE0B4E">
        <w:rPr>
          <w:rFonts w:ascii="Times New Roman" w:hAnsi="Times New Roman" w:cs="Times New Roman"/>
          <w:sz w:val="24"/>
        </w:rPr>
        <w:t xml:space="preserve"> termed the capacity of high-trust societies to achieve collective outcomes at lower transaction costs — a principle he </w:t>
      </w:r>
      <w:r w:rsidRPr="00FE0B4E">
        <w:rPr>
          <w:rFonts w:ascii="Times New Roman" w:hAnsi="Times New Roman" w:cs="Times New Roman"/>
          <w:sz w:val="24"/>
        </w:rPr>
        <w:lastRenderedPageBreak/>
        <w:t xml:space="preserve">applied directly to the pandemic context, arguing that social trust, not regime type, was the critical variable separating successful from unsuccessful responses </w:t>
      </w:r>
      <w:r w:rsidR="00E35562">
        <w:rPr>
          <w:rFonts w:ascii="Times New Roman" w:hAnsi="Times New Roman" w:cs="Times New Roman"/>
          <w:sz w:val="24"/>
        </w:rPr>
        <w:fldChar w:fldCharType="begin"/>
      </w:r>
      <w:r w:rsidR="005F188F">
        <w:rPr>
          <w:rFonts w:ascii="Times New Roman" w:hAnsi="Times New Roman" w:cs="Times New Roman"/>
          <w:sz w:val="24"/>
        </w:rPr>
        <w:instrText xml:space="preserve"> ADDIN EN.CITE &lt;EndNote&gt;&lt;Cite&gt;&lt;Author&gt;Jankulovski&lt;/Author&gt;&lt;Year&gt;2025&lt;/Year&gt;&lt;RecNum&gt;1122&lt;/RecNum&gt;&lt;DisplayText&gt;(22)&lt;/DisplayText&gt;&lt;record&gt;&lt;rec-number&gt;1122&lt;/rec-number&gt;&lt;foreign-keys&gt;&lt;key app="EN" db-id="05x9axpzsz5twaew5s0500tr90zzfepxexte" timestamp="1771211584"&gt;1122&lt;/key&gt;&lt;/foreign-keys&gt;&lt;ref-type name="Journal Article"&gt;17&lt;/ref-type&gt;&lt;contributors&gt;&lt;authors&gt;&lt;author&gt;Jankulovski, Stevce&lt;/author&gt;&lt;/authors&gt;&lt;/contributors&gt;&lt;titles&gt;&lt;title&gt;The Challenges of International Relations in the Post-Covid Era&lt;/title&gt;&lt;secondary-title&gt;International Journal of Economics, Management and Tourism&lt;/secondary-title&gt;&lt;/titles&gt;&lt;periodical&gt;&lt;full-title&gt;International Journal of Economics, Management and Tourism&lt;/full-title&gt;&lt;/periodical&gt;&lt;pages&gt;117-125&lt;/pages&gt;&lt;volume&gt;5&lt;/volume&gt;&lt;number&gt;1&lt;/number&gt;&lt;section&gt;117&lt;/section&gt;&lt;dates&gt;&lt;year&gt;2025&lt;/year&gt;&lt;/dates&gt;&lt;isbn&gt;26713802&amp;#xD;26713810&lt;/isbn&gt;&lt;urls&gt;&lt;/urls&gt;&lt;electronic-resource-num&gt;10.46763/IJEMT2551117j&lt;/electronic-resource-num&gt;&lt;/record&gt;&lt;/Cite&gt;&lt;/EndNote&gt;</w:instrText>
      </w:r>
      <w:r w:rsidR="00E35562">
        <w:rPr>
          <w:rFonts w:ascii="Times New Roman" w:hAnsi="Times New Roman" w:cs="Times New Roman"/>
          <w:sz w:val="24"/>
        </w:rPr>
        <w:fldChar w:fldCharType="separate"/>
      </w:r>
      <w:r w:rsidR="005F188F">
        <w:rPr>
          <w:rFonts w:ascii="Times New Roman" w:hAnsi="Times New Roman" w:cs="Times New Roman"/>
          <w:noProof/>
          <w:sz w:val="24"/>
        </w:rPr>
        <w:t>(22)</w:t>
      </w:r>
      <w:r w:rsidR="00E35562">
        <w:rPr>
          <w:rFonts w:ascii="Times New Roman" w:hAnsi="Times New Roman" w:cs="Times New Roman"/>
          <w:sz w:val="24"/>
        </w:rPr>
        <w:fldChar w:fldCharType="end"/>
      </w:r>
      <w:r w:rsidRPr="00FE0B4E">
        <w:rPr>
          <w:rFonts w:ascii="Times New Roman" w:hAnsi="Times New Roman" w:cs="Times New Roman"/>
          <w:sz w:val="24"/>
        </w:rPr>
        <w:t xml:space="preserve">. This mechanism is now empirically well-documented. Bargain and </w:t>
      </w:r>
      <w:proofErr w:type="spellStart"/>
      <w:r w:rsidRPr="00FE0B4E">
        <w:rPr>
          <w:rFonts w:ascii="Times New Roman" w:hAnsi="Times New Roman" w:cs="Times New Roman"/>
          <w:sz w:val="24"/>
        </w:rPr>
        <w:t>Aminjonov</w:t>
      </w:r>
      <w:proofErr w:type="spellEnd"/>
      <w:r w:rsidRPr="00FE0B4E">
        <w:rPr>
          <w:rFonts w:ascii="Times New Roman" w:hAnsi="Times New Roman" w:cs="Times New Roman"/>
          <w:sz w:val="24"/>
        </w:rPr>
        <w:t xml:space="preserve"> (2020) </w:t>
      </w:r>
      <w:r w:rsidR="00E35562">
        <w:rPr>
          <w:rFonts w:ascii="Times New Roman" w:hAnsi="Times New Roman" w:cs="Times New Roman"/>
          <w:sz w:val="24"/>
        </w:rPr>
        <w:fldChar w:fldCharType="begin"/>
      </w:r>
      <w:r w:rsidR="005F188F">
        <w:rPr>
          <w:rFonts w:ascii="Times New Roman" w:hAnsi="Times New Roman" w:cs="Times New Roman"/>
          <w:sz w:val="24"/>
        </w:rPr>
        <w:instrText xml:space="preserve"> ADDIN EN.CITE &lt;EndNote&gt;&lt;Cite&gt;&lt;Author&gt;Bargain&lt;/Author&gt;&lt;Year&gt;2020&lt;/Year&gt;&lt;RecNum&gt;1111&lt;/RecNum&gt;&lt;DisplayText&gt;(23)&lt;/DisplayText&gt;&lt;record&gt;&lt;rec-number&gt;1111&lt;/rec-number&gt;&lt;foreign-keys&gt;&lt;key app="EN" db-id="05x9axpzsz5twaew5s0500tr90zzfepxexte" timestamp="1771142142"&gt;1111&lt;/key&gt;&lt;/foreign-keys&gt;&lt;ref-type name="Journal Article"&gt;17&lt;/ref-type&gt;&lt;contributors&gt;&lt;authors&gt;&lt;author&gt;Bargain, Olivier&lt;/author&gt;&lt;author&gt;Aminjonov, Ulugbek&lt;/author&gt;&lt;/authors&gt;&lt;/contributors&gt;&lt;titles&gt;&lt;title&gt;Trust and compliance to public health policies in times of COVID-19&lt;/title&gt;&lt;secondary-title&gt;Journal of Public Economics&lt;/secondary-title&gt;&lt;/titles&gt;&lt;periodical&gt;&lt;full-title&gt;Journal of Public Economics&lt;/full-title&gt;&lt;/periodical&gt;&lt;volume&gt;192&lt;/volume&gt;&lt;section&gt;104316&lt;/section&gt;&lt;dates&gt;&lt;year&gt;2020&lt;/year&gt;&lt;/dates&gt;&lt;isbn&gt;00472727&lt;/isbn&gt;&lt;urls&gt;&lt;/urls&gt;&lt;electronic-resource-num&gt;10.1016/j.jpubeco.2020.104316&lt;/electronic-resource-num&gt;&lt;/record&gt;&lt;/Cite&gt;&lt;/EndNote&gt;</w:instrText>
      </w:r>
      <w:r w:rsidR="00E35562">
        <w:rPr>
          <w:rFonts w:ascii="Times New Roman" w:hAnsi="Times New Roman" w:cs="Times New Roman"/>
          <w:sz w:val="24"/>
        </w:rPr>
        <w:fldChar w:fldCharType="separate"/>
      </w:r>
      <w:r w:rsidR="005F188F">
        <w:rPr>
          <w:rFonts w:ascii="Times New Roman" w:hAnsi="Times New Roman" w:cs="Times New Roman"/>
          <w:noProof/>
          <w:sz w:val="24"/>
        </w:rPr>
        <w:t>(23)</w:t>
      </w:r>
      <w:r w:rsidR="00E35562">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show that European regions with higher institutional trust exhibited significantly greater voluntary reductions in mobility during the pandemic, independent of the stringency of formal mandates. Durante, Guiso, and Gulino (2021) </w:t>
      </w:r>
      <w:r w:rsidR="00E35562">
        <w:rPr>
          <w:rFonts w:ascii="Times New Roman" w:hAnsi="Times New Roman" w:cs="Times New Roman"/>
          <w:sz w:val="24"/>
        </w:rPr>
        <w:fldChar w:fldCharType="begin"/>
      </w:r>
      <w:r w:rsidR="005F188F">
        <w:rPr>
          <w:rFonts w:ascii="Times New Roman" w:hAnsi="Times New Roman" w:cs="Times New Roman"/>
          <w:sz w:val="24"/>
        </w:rPr>
        <w:instrText xml:space="preserve"> ADDIN EN.CITE &lt;EndNote&gt;&lt;Cite&gt;&lt;Author&gt;Durante&lt;/Author&gt;&lt;Year&gt;2021&lt;/Year&gt;&lt;RecNum&gt;1114&lt;/RecNum&gt;&lt;DisplayText&gt;(24)&lt;/DisplayText&gt;&lt;record&gt;&lt;rec-number&gt;1114&lt;/rec-number&gt;&lt;foreign-keys&gt;&lt;key app="EN" db-id="05x9axpzsz5twaew5s0500tr90zzfepxexte" timestamp="1771142240"&gt;1114&lt;/key&gt;&lt;/foreign-keys&gt;&lt;ref-type name="Journal Article"&gt;17&lt;/ref-type&gt;&lt;contributors&gt;&lt;authors&gt;&lt;author&gt;Durante, Ruben&lt;/author&gt;&lt;author&gt;Guiso, Luigi&lt;/author&gt;&lt;author&gt;Gulino, Giorgio&lt;/author&gt;&lt;/authors&gt;&lt;/contributors&gt;&lt;titles&gt;&lt;title&gt;Asocial capital: Civic culture and social distancing during COVID-19&lt;/title&gt;&lt;secondary-title&gt;Journal of Public Economics&lt;/secondary-title&gt;&lt;/titles&gt;&lt;periodical&gt;&lt;full-title&gt;Journal of Public Economics&lt;/full-title&gt;&lt;/periodical&gt;&lt;volume&gt;194&lt;/volume&gt;&lt;section&gt;104342&lt;/section&gt;&lt;dates&gt;&lt;year&gt;2021&lt;/year&gt;&lt;/dates&gt;&lt;isbn&gt;00472727&lt;/isbn&gt;&lt;urls&gt;&lt;/urls&gt;&lt;electronic-resource-num&gt;10.1016/j.jpubeco.2020.104342&lt;/electronic-resource-num&gt;&lt;/record&gt;&lt;/Cite&gt;&lt;/EndNote&gt;</w:instrText>
      </w:r>
      <w:r w:rsidR="00E35562">
        <w:rPr>
          <w:rFonts w:ascii="Times New Roman" w:hAnsi="Times New Roman" w:cs="Times New Roman"/>
          <w:sz w:val="24"/>
        </w:rPr>
        <w:fldChar w:fldCharType="separate"/>
      </w:r>
      <w:r w:rsidR="005F188F">
        <w:rPr>
          <w:rFonts w:ascii="Times New Roman" w:hAnsi="Times New Roman" w:cs="Times New Roman"/>
          <w:noProof/>
          <w:sz w:val="24"/>
        </w:rPr>
        <w:t>(24)</w:t>
      </w:r>
      <w:r w:rsidR="00E35562">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find that Italian municipalities with stronger civic traditions practiced social distancing before government orders were issued — trust preceded coercion rather than following it. At the aggregate level, Bartscher, Seitz, </w:t>
      </w:r>
      <w:proofErr w:type="spellStart"/>
      <w:r w:rsidRPr="00FE0B4E">
        <w:rPr>
          <w:rFonts w:ascii="Times New Roman" w:hAnsi="Times New Roman" w:cs="Times New Roman"/>
          <w:sz w:val="24"/>
        </w:rPr>
        <w:t>Siegloch</w:t>
      </w:r>
      <w:proofErr w:type="spellEnd"/>
      <w:r w:rsidRPr="00FE0B4E">
        <w:rPr>
          <w:rFonts w:ascii="Times New Roman" w:hAnsi="Times New Roman" w:cs="Times New Roman"/>
          <w:sz w:val="24"/>
        </w:rPr>
        <w:t xml:space="preserve">, Slotwinski, and </w:t>
      </w:r>
      <w:proofErr w:type="spellStart"/>
      <w:r w:rsidRPr="00FE0B4E">
        <w:rPr>
          <w:rFonts w:ascii="Times New Roman" w:hAnsi="Times New Roman" w:cs="Times New Roman"/>
          <w:sz w:val="24"/>
        </w:rPr>
        <w:t>Wehrhöfer</w:t>
      </w:r>
      <w:proofErr w:type="spellEnd"/>
      <w:r w:rsidRPr="00FE0B4E">
        <w:rPr>
          <w:rFonts w:ascii="Times New Roman" w:hAnsi="Times New Roman" w:cs="Times New Roman"/>
          <w:sz w:val="24"/>
        </w:rPr>
        <w:t xml:space="preserve"> (2021) </w:t>
      </w:r>
      <w:r w:rsidR="00E35562">
        <w:rPr>
          <w:rFonts w:ascii="Times New Roman" w:hAnsi="Times New Roman" w:cs="Times New Roman"/>
          <w:sz w:val="24"/>
        </w:rPr>
        <w:fldChar w:fldCharType="begin"/>
      </w:r>
      <w:r w:rsidR="005F188F">
        <w:rPr>
          <w:rFonts w:ascii="Times New Roman" w:hAnsi="Times New Roman" w:cs="Times New Roman"/>
          <w:sz w:val="24"/>
        </w:rPr>
        <w:instrText xml:space="preserve"> ADDIN EN.CITE &lt;EndNote&gt;&lt;Cite&gt;&lt;Author&gt;Bartscher&lt;/Author&gt;&lt;Year&gt;2021&lt;/Year&gt;&lt;RecNum&gt;1110&lt;/RecNum&gt;&lt;DisplayText&gt;(25)&lt;/DisplayText&gt;&lt;record&gt;&lt;rec-number&gt;1110&lt;/rec-number&gt;&lt;foreign-keys&gt;&lt;key app="EN" db-id="05x9axpzsz5twaew5s0500tr90zzfepxexte" timestamp="1771142055"&gt;1110&lt;/key&gt;&lt;/foreign-keys&gt;&lt;ref-type name="Journal Article"&gt;17&lt;/ref-type&gt;&lt;contributors&gt;&lt;authors&gt;&lt;author&gt;Bartscher, Alina Kristin&lt;/author&gt;&lt;author&gt;Seitz, Sebastian&lt;/author&gt;&lt;author&gt;Siegloch, Sebastian&lt;/author&gt;&lt;author&gt;Slotwinski, Michaela&lt;/author&gt;&lt;author&gt;Wehrhöfer, Nils&lt;/author&gt;&lt;/authors&gt;&lt;/contributors&gt;&lt;titles&gt;&lt;title&gt;Social capital and the spread of covid-19: Insights from european countries&lt;/title&gt;&lt;secondary-title&gt;Journal of Health Economics&lt;/secondary-title&gt;&lt;/titles&gt;&lt;periodical&gt;&lt;full-title&gt;Journal of Health Economics&lt;/full-title&gt;&lt;/periodical&gt;&lt;volume&gt;80&lt;/volume&gt;&lt;section&gt;102531&lt;/section&gt;&lt;dates&gt;&lt;year&gt;2021&lt;/year&gt;&lt;/dates&gt;&lt;isbn&gt;01676296&lt;/isbn&gt;&lt;urls&gt;&lt;/urls&gt;&lt;electronic-resource-num&gt;10.1016/j.jhealeco.2021.102531&lt;/electronic-resource-num&gt;&lt;/record&gt;&lt;/Cite&gt;&lt;/EndNote&gt;</w:instrText>
      </w:r>
      <w:r w:rsidR="00E35562">
        <w:rPr>
          <w:rFonts w:ascii="Times New Roman" w:hAnsi="Times New Roman" w:cs="Times New Roman"/>
          <w:sz w:val="24"/>
        </w:rPr>
        <w:fldChar w:fldCharType="separate"/>
      </w:r>
      <w:r w:rsidR="005F188F">
        <w:rPr>
          <w:rFonts w:ascii="Times New Roman" w:hAnsi="Times New Roman" w:cs="Times New Roman"/>
          <w:noProof/>
          <w:sz w:val="24"/>
        </w:rPr>
        <w:t>(25)</w:t>
      </w:r>
      <w:r w:rsidR="00E35562">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demonstrate that social capital predicted slower COVID-19 transmission across European countries through precisely this voluntary compliance channel. These findings operationalize the theoretical insight of Van Bavel et al. (2020)</w:t>
      </w:r>
      <w:r w:rsidR="00E35562">
        <w:rPr>
          <w:rFonts w:ascii="Times New Roman" w:hAnsi="Times New Roman" w:cs="Times New Roman"/>
          <w:sz w:val="24"/>
        </w:rPr>
        <w:t xml:space="preserve"> </w:t>
      </w:r>
      <w:r w:rsidR="00E35562">
        <w:rPr>
          <w:rFonts w:ascii="Times New Roman" w:hAnsi="Times New Roman" w:cs="Times New Roman"/>
          <w:sz w:val="24"/>
        </w:rPr>
        <w:fldChar w:fldCharType="begin">
          <w:fldData xml:space="preserve">PEVuZE5vdGU+PENpdGU+PEF1dGhvcj5CYXZlbDwvQXV0aG9yPjxZZWFyPjIwMjA8L1llYXI+PFJl
Y051bT4xMTA5PC9SZWNOdW0+PERpc3BsYXlUZXh0PigxNSk8L0Rpc3BsYXlUZXh0PjxyZWNvcmQ+
PHJlYy1udW1iZXI+MTEwOTwvcmVjLW51bWJlcj48Zm9yZWlnbi1rZXlzPjxrZXkgYXBwPSJFTiIg
ZGItaWQ9IjA1eDlheHB6c3o1dHdhZXc1czA1MDB0cjkwenpmZXB4ZXh0ZSIgdGltZXN0YW1wPSIx
NzcxMTQyMDI1Ij4xMTA5PC9rZXk+PC9mb3JlaWduLWtleXM+PHJlZi10eXBlIG5hbWU9IkpvdXJu
YWwgQXJ0aWNsZSI+MTc8L3JlZi10eXBlPjxjb250cmlidXRvcnM+PGF1dGhvcnM+PGF1dGhvcj5C
YXZlbCwgSi4gSi4gVi48L2F1dGhvcj48YXV0aG9yPkJhaWNrZXIsIEsuPC9hdXRob3I+PGF1dGhv
cj5Cb2dnaW8sIFAuIFMuPC9hdXRob3I+PGF1dGhvcj5DYXByYXJvLCBWLjwvYXV0aG9yPjxhdXRo
b3I+Q2ljaG9ja2EsIEEuPC9hdXRob3I+PGF1dGhvcj5DaWthcmEsIE0uPC9hdXRob3I+PGF1dGhv
cj5Dcm9ja2V0dCwgTS4gSi48L2F1dGhvcj48YXV0aG9yPkNydW0sIEEuIEouPC9hdXRob3I+PGF1
dGhvcj5Eb3VnbGFzLCBLLiBNLjwvYXV0aG9yPjxhdXRob3I+RHJ1Y2ttYW4sIEouIE4uPC9hdXRo
b3I+PGF1dGhvcj5EcnVyeSwgSi48L2F1dGhvcj48YXV0aG9yPkR1YmUsIE8uPC9hdXRob3I+PGF1
dGhvcj5FbGxlbWVycywgTi48L2F1dGhvcj48YXV0aG9yPkZpbmtlbCwgRS4gSi48L2F1dGhvcj48
YXV0aG9yPkZvd2xlciwgSi4gSC48L2F1dGhvcj48YXV0aG9yPkdlbGZhbmQsIE0uPC9hdXRob3I+
PGF1dGhvcj5IYW4sIFMuPC9hdXRob3I+PGF1dGhvcj5IYXNsYW0sIFMuIEEuPC9hdXRob3I+PGF1
dGhvcj5KZXR0ZW4sIEouPC9hdXRob3I+PGF1dGhvcj5LaXRheWFtYSwgUy48L2F1dGhvcj48YXV0
aG9yPk1vYmJzLCBELjwvYXV0aG9yPjxhdXRob3I+TmFwcGVyLCBMLiBFLjwvYXV0aG9yPjxhdXRo
b3I+UGFja2VyLCBELiBKLjwvYXV0aG9yPjxhdXRob3I+UGVubnljb29rLCBHLjwvYXV0aG9yPjxh
dXRob3I+UGV0ZXJzLCBFLjwvYXV0aG9yPjxhdXRob3I+UGV0dHksIFIuIEUuPC9hdXRob3I+PGF1
dGhvcj5SYW5kLCBELiBHLjwvYXV0aG9yPjxhdXRob3I+UmVpY2hlciwgUy4gRC48L2F1dGhvcj48
YXV0aG9yPlNjaG5hbGwsIFMuPC9hdXRob3I+PGF1dGhvcj5TaGFyaWZmLCBBLjwvYXV0aG9yPjxh
dXRob3I+U2tpdGthLCBMLiBKLjwvYXV0aG9yPjxhdXRob3I+U21pdGgsIFMuIFMuPC9hdXRob3I+
PGF1dGhvcj5TdW5zdGVpbiwgQy4gUi48L2F1dGhvcj48YXV0aG9yPlRhYnJpLCBOLjwvYXV0aG9y
PjxhdXRob3I+VHVja2VyLCBKLiBBLjwvYXV0aG9yPjxhdXRob3I+TGluZGVuLCBTLiBWLjwvYXV0
aG9yPjxhdXRob3I+TGFuZ2UsIFAuIFYuPC9hdXRob3I+PGF1dGhvcj5XZWVkZW4sIEsuIEEuPC9h
dXRob3I+PGF1dGhvcj5Xb2hsLCBNLiBKLiBBLjwvYXV0aG9yPjxhdXRob3I+WmFraSwgSi48L2F1
dGhvcj48YXV0aG9yPlppb24sIFMuIFIuPC9hdXRob3I+PGF1dGhvcj5XaWxsZXIsIFIuPC9hdXRo
b3I+PC9hdXRob3JzPjwvY29udHJpYnV0b3JzPjxhdXRoLWFkZHJlc3M+RGVwYXJ0bWVudCBvZiBQ
c3ljaG9sb2d5ICZhbXA7IE5ldXJhbCBTY2llbmNlLCBOZXcgWW9yayBVbml2ZXJzaXR5LCBOZXcg
WW9yaywgTlksIFVTQS4gamF5LnZhbmJhdmVsQG55dS5lZHUuJiN4RDtVbml2ZXJzaXR5IG9mIENo
aWNhZ28gSGFycmlzIFNjaG9vbCBvZiBQdWJsaWMgUG9saWN5LCBDaGljYWdvLCBJTCwgVVNBLiYj
eEQ7U29jaWFsIGFuZCBDb2duaXRpdmUgTmV1cm9zY2llbmNlIExhYm9yYXRvcnksIENlbnRlciBm
b3IgSGVhbHRoIGFuZCBCaW9sb2dpY2FsIFNjaWVuY2VzLCBNYWNrZW56aWUgUHJlc2J5dGVyaWFu
IFVuaXZlcnNpdHksIFNhbyBQYXVsbywgQnJhemlsLiYjeEQ7RGVwYXJ0bWVudCBvZiBFY29ub21p
Y3MsIE1pZGRsZXNleCBVbml2ZXJzaXR5IExvbmRvbiwgTG9uZG9uLCBVSy4mI3hEO1NjaG9vbCBv
ZiBQc3ljaG9sb2d5LCBVbml2ZXJzaXR5IG9mIEtlbnQsIEtlbnQsIFVLLiYjeEQ7RGVwYXJ0bWVu
dCBvZiBQc3ljaG9sb2d5LCBOaWNvbGF1cyBDb3Blcm5pY3VzIFVuaXZlcnNpdHksIFRvcnVuLCBQ
b2xhbmQuJiN4RDtEZXBhcnRtZW50IG9mIFBzeWNob2xvZ3ksIEhhcnZhcmQgVW5pdmVyc2l0eSwg
Q2FtYnJpZGdlLCBNQSwgVVNBLiYjeEQ7RGVwYXJ0bWVudCBvZiBQc3ljaG9sb2d5LCBZYWxlIFVu
aXZlcnNpdHksIE5ldyBIYXZlbiwgQ1QsIFVTQS4mI3hEO0RlcGFydG1lbnQgb2YgUHN5Y2hvbG9n
eSwgU3RhbmZvcmQgVW5pdmVyc2l0eSwgU3RhbmZvcmQsIENBLCBVU0EuJiN4RDtEZXBhcnRtZW50
IG9mIFBvbGl0aWNhbCBTY2llbmNlLCBOb3J0aHdlc3Rlcm4gVW5pdmVyc2l0eSwgQ2hpY2Fnbywg
SUwsIFVTQS4mI3hEO0RlcGFydG1lbnQgb2YgU29jaWFsIFBzeWNob2xvZ3ksIFVuaXZlcnNpdHkg
b2YgU3Vzc2V4LCBTdXNzZXgsIFVLLiYjeEQ7RmFjdWx0eSBvZiBTb2NpYWwgU2NpZW5jZXMsIFV0
cmVjaHQgVW5pdmVyc2l0eSwgVXRyZWNodCwgVGhlIE5ldGhlcmxhbmRzLiYjeEQ7RGVwYXJ0bWVu
dCBvZiBQc3ljaG9sb2d5IGFuZCB0aGUgS2VsbG9nZyBTY2hvb2wgb2YgTWFuYWdlbWVudCwgTm9y
dGh3ZXN0ZXJuIFVuaXZlcnNpdHksIENoaWNhZ28sIElMLCBVU0EuJiN4RDtEaXZpc2lvbiBvZiBJ
bmZlY3Rpb3VzIERpc2Vhc2VzIGFuZCBHbG9iYWwgUHVibGljIEhlYWx0aCBhbmQgRGVwYXJ0bWVu
dCBvZiBQb2xpdGljYWwgU2NpZW5jZSwgVW5pdmVyc2l0eSBvZiBDYWxpZm9ybmlhLCBTYW4gRGll
Z28sIFNhbiBEaWVnbywgQ0EsIFVTQS4mI3hEO0RlcGFydG1lbnQgb2YgUHN5Y2hvbG9neSwgVW5p
dmVyc2l0eSBvZiBNYXJ5bGFuZCwgQ29sbGVnZSBQYXJrLCBNRCwgVVNBLiYjeEQ7U2Nob29sIG9m
IFBzeWNob2xvZ2ljYWwgYW5kIENvZ25pdGl2ZSBTY2llbmNlcywgUEtVLUlERy9NY0dvdmVybiBJ
bnN0aXR1dGUgZm9yIEJyYWluIFJlc2VhcmNoLCBQZWtpbmcgVW5pdmVyc2l0eSwgQmVpamluZywg
Q2hpbmEuJiN4RDtVbml2ZXJzaXR5IG9mIFF1ZWVuc2xhbmQsIEJyaXNiYW5lLCBBdXN0cmFsaWEu
JiN4RDtTY2hvb2wgb2YgUHN5Y2hvbG9neSwgVW5pdmVyc2l0eSBvZiBRdWVlbnNsYW5kLCBCcmlz
YmFuZSwgQXVzdHJhbGlhLiYjeEQ7RGVwYXJ0bWVudCBvZiBQc3ljaG9sb2d5LCBVbml2ZXJzaXR5
IG9mIE1pY2hpZ2FuLCBBbm4gQXJib3IsIE1JLCBVU0EuJiN4RDtEZXBhcnRtZW50IG9mIEh1bWFu
aXRpZXMgYW5kIFNvY2lhbCBTY2llbmNlcyBhbmQgQ29tcHV0YXRpb24gYW5kIE5ldXJhbCBTeXN0
ZW1zIFByb2dyYW0sIENhbGlmb3JuaWEgSW5zdGl0dXRlIG9mIFRlY2hub2xvZ3ksIFBhc2FkZW5h
LCBDQSwgVVNBLiYjeEQ7RGVwYXJ0bWVudCBvZiBQc3ljaG9sb2d5IGFuZCBIZWFsdGgsIE1lZGlj
aW5lICZhbXA7IFNvY2lldHkgUHJvZ3JhbSwgTGVoaWdoIFVuaXZlcnNpdHksIEJldGhsZWhlbSwg
UEEsIFVTQS4mI3hEO0RlcGFydG1lbnQgb2YgUHN5Y2hvbG9neSwgTGVoaWdoIFVuaXZlcnNpdHks
IEJldGhsZWhlbSwgUEEsIFVTQS4mI3hEO0hpbGwvTGV2ZW5lIFNjaG9vbHMgb2YgQnVzaW5lc3Ms
IFVuaXZlcnNpdHkgb2YgUmVnaW5hLCBSZWdpbmEsIFNhc2thdGNoZXdhbiwgQ2FuYWRhLiYjeEQ7
U2Nob29sIG9mIEpvdXJuYWxpc20gYW5kIENvbW11bmljYXRpb24sIFVuaXZlcnNpdHkgb2YgT3Jl
Z29uLCBFdWdlbmUsIE9SLCBVU0EuJiN4RDtEZXBhcnRtZW50IG9mIFBzeWNob2xvZ3ksIFRoZSBP
aGlvIFN0YXRlIFVuaXZlcnNpdHksIENvbHVtYnVzLCBPSCwgVVNBLiYjeEQ7U2xvYW4gU2Nob29s
IGFuZCBEZXBhcnRtZW50IG9mIEJyYWluIGFuZCBDb2duaXRpdmUgU2NpZW5jZXMsIE1hc3NhY2h1
c2V0dHMgSW5zdGl0dXRlIG9mIFRlY2hub2xvZ3ksIEJvc3RvbiwgTUEsIFVTQS4mI3hEO1NjaG9v
bCBvZiBQc3ljaG9sb2d5IGFuZCBOZXVyb3NjaWVuY2UsIFVuaXZlcnNpdHkgb2YgU3QuIEFuZHJl
d3MsIFN0IEFuZHJld3MsIFVLLiYjeEQ7RGVwYXJ0bWVudCBvZiBQc3ljaG9sb2d5IFVuaXZlcnNp
dHkgb2YgQ2FtYnJpZGdlLCBDYW1icmlkZ2UsIFVLLiYjeEQ7QmVubmV0dCBJbnN0aXR1dGUgZm9y
IFB1YmxpYyBQb2xpY3ksIFVuaXZlcnNpdHkgb2YgQ2FtYnJpZGdlLCBDYW1icmlkZ2UsIFVLLiYj
eEQ7RGVwYXJ0bWVudCBvZiBQc3ljaG9sb2d5LCBVbml2ZXJzaXR5IG9mIEJyaXRpc2ggQ29sdW1i
aWEsIFZhbmNvdXZlciwgQnJpdGlzaCBDb2x1bWJpYSwgQ2FuYWRhLiYjeEQ7RGVwYXJ0bWVudCBv
ZiBQc3ljaG9sb2d5LCBVbml2ZXJzaXR5IG9mIElsbGlub2lzIGF0IENoaWNhZ28sIENoaWNhZ28s
IElMLCBVU0EuJiN4RDtEZXBhcnRtZW50IG9mIFNvY2lvbG9neSwgVW5pdmVyc2l0eSBvZiBDYWxp
Zm9ybmlhLCBCZXJrZWxleSwgQmVya2VsZXksIENBLCBVU0EuJiN4RDtIYXJ2YXJkIExhdyBTY2hv
b2wsIEhhcnZhcmQgVW5pdmVyc2l0eSwgQ2FtYnJpZGdlLCBNQSwgVW5pdGVkIFN0YXRlcy4mI3hE
O0RlcGFydG1lbnQgb2YgUHN5Y2hvbG9neSwgQ2FybGV0b24gVW5pdmVyc2l0eSwgT3R0YXdhLCBP
bnRhcmlvLCBDYW5hZGEuJiN4RDtEZXBhcnRtZW50IG9mIFBvbGl0aWNzLCBOZXcgWW9yayBVbml2
ZXJzaXR5LCBOZXcgWW9yaywgTlksIFVTQS4mI3hEO0luc3RpdHV0ZSBmb3IgQnJhaW4gYW5kIEJl
aGF2aW9yIEFtc3RlcmRhbSwgRGVwYXJ0bWVudCBvZiBFeHBlcmltZW50YWwgYW5kIEFwcGxpZWQg
UHN5Y2hvbG9neSwgVnJpamUgVW5pdmVyc2l0ZWl0IEFtc3RlcmRhbSwgQW1zdGVyZGFtLCBUaGUg
TmV0aGVybGFuZHMuJiN4RDtEZXBhcnRtZW50IG9mIFNvY2lvbG9neSwgQ29ybmVsbCBVbml2ZXJz
aXR5LCBJdGhhY2EsIE5ZLCBVU0EuJiN4RDtEZXBhcnRtZW50IG9mIFNvY2lvbG9neSwgU3RhbmZv
cmQgVW5pdmVyc2l0eSwgU3RhbmZvcmQsIENBLCBVU0EuIHdpbGxlckBzdGFuZm9yZC5lZHUuPC9h
dXRoLWFkZHJlc3M+PHRpdGxlcz48dGl0bGU+VXNpbmcgc29jaWFsIGFuZCBiZWhhdmlvdXJhbCBz
Y2llbmNlIHRvIHN1cHBvcnQgQ09WSUQtMTkgcGFuZGVtaWMgcmVzcG9uc2U8L3RpdGxlPjxzZWNv
bmRhcnktdGl0bGU+TmF0IEh1bSBCZWhhdjwvc2Vjb25kYXJ5LXRpdGxlPjwvdGl0bGVzPjxwZXJp
b2RpY2FsPjxmdWxsLXRpdGxlPk5hdCBIdW0gQmVoYXY8L2Z1bGwtdGl0bGU+PC9wZXJpb2RpY2Fs
PjxwYWdlcz40NjAtNDcxPC9wYWdlcz48dm9sdW1lPjQ8L3ZvbHVtZT48bnVtYmVyPjU8L251bWJl
cj48ZWRpdGlvbj4yMDIwMDQzMDwvZWRpdGlvbj48a2V5d29yZHM+PGtleXdvcmQ+QWRhcHRhdGlv
biwgUHN5Y2hvbG9naWNhbDwva2V5d29yZD48a2V5d29yZD5CZXRhY29yb25hdmlydXM8L2tleXdv
cmQ+PGtleXdvcmQ+Q292aWQtMTk8L2tleXdvcmQ+PGtleXdvcmQ+Q29tbXVuaWNhYmxlIERpc2Vh
c2UgQ29udHJvbDwva2V5d29yZD48a2V5d29yZD4qQ29yb25hdmlydXM8L2tleXdvcmQ+PGtleXdv
cmQ+Q29yb25hdmlydXMgSW5mZWN0aW9ucy9kaWFnbm9zaXMvZXBpZGVtaW9sb2d5LypwcmV2ZW50
aW9uICZhbXA7IGNvbnRyb2wvdHJhbnNtaXNzaW9uPC9rZXl3b3JkPjxrZXl3b3JkPkRlY2lzaW9u
IE1ha2luZzwva2V5d29yZD48a2V5d29yZD5FcGlkZW1pb2xvZ2ljYWwgTW9uaXRvcmluZzwva2V5
d29yZD48a2V5d29yZD5HbG9iYWwgSGVhbHRoPC9rZXl3b3JkPjxrZXl3b3JkPipIZWFsdGggS25v
d2xlZGdlLCBBdHRpdHVkZXMsIFByYWN0aWNlPC9rZXl3b3JkPjxrZXl3b3JkPipIdW1hbiBBY3Rp
dml0aWVzPC9rZXl3b3JkPjxrZXl3b3JkPkh1bWFuczwva2V5d29yZD48a2V5d29yZD5MZWFkZXJz
aGlwPC9rZXl3b3JkPjxrZXl3b3JkPlBhbmRlbWljcy8qcHJldmVudGlvbiAmYW1wOyBjb250cm9s
PC9rZXl3b3JkPjxrZXl3b3JkPlBuZXVtb25pYSwgVmlyYWwvZXBpZGVtaW9sb2d5LypwcmV2ZW50
aW9uICZhbXA7IGNvbnRyb2wvdHJhbnNtaXNzaW9uPC9rZXl3b3JkPjxrZXl3b3JkPlB1YmxpYyBI
ZWFsdGg8L2tleXdvcmQ+PGtleXdvcmQ+KlF1YXJhbnRpbmU8L2tleXdvcmQ+PGtleXdvcmQ+U0FS
Uy1Db1YtMjwva2V5d29yZD48a2V5d29yZD5Tb2NpYWwgTWVkaWE8L2tleXdvcmQ+PGtleXdvcmQ+
U3RyZXNzLCBQc3ljaG9sb2dpY2FsPC9rZXl3b3JkPjwva2V5d29yZHM+PGRhdGVzPjx5ZWFyPjIw
MjA8L3llYXI+PHB1Yi1kYXRlcz48ZGF0ZT5NYXk8L2RhdGU+PC9wdWItZGF0ZXM+PC9kYXRlcz48
aXNibj4yMzk3LTMzNzQgKEVsZWN0cm9uaWMpJiN4RDsyMzk3LTMzNzQgKExpbmtpbmcpPC9pc2Ju
PjxhY2Nlc3Npb24tbnVtPjMyMzU1Mjk5PC9hY2Nlc3Npb24tbnVtPjx1cmxzPjxyZWxhdGVkLXVy
bHM+PHVybD5odHRwczovL3d3dy5uY2JpLm5sbS5uaWguZ292L3B1Ym1lZC8zMjM1NTI5OTwvdXJs
PjwvcmVsYXRlZC11cmxzPjwvdXJscz48ZWxlY3Ryb25pYy1yZXNvdXJjZS1udW0+MTAuMTAzOC9z
NDE1NjItMDIwLTA4ODQtejwvZWxlY3Ryb25pYy1yZXNvdXJjZS1udW0+PHJlbW90ZS1kYXRhYmFz
ZS1uYW1lPk1lZGxpbmU8L3JlbW90ZS1kYXRhYmFzZS1uYW1lPjxyZW1vdGUtZGF0YWJhc2UtcHJv
dmlkZXI+TkxNPC9yZW1vdGUtZGF0YWJhc2UtcHJvdmlkZXI+PC9yZWNvcmQ+PC9DaXRlPjwvRW5k
Tm90ZT4A
</w:fldData>
        </w:fldChar>
      </w:r>
      <w:r w:rsidR="00E35562">
        <w:rPr>
          <w:rFonts w:ascii="Times New Roman" w:hAnsi="Times New Roman" w:cs="Times New Roman"/>
          <w:sz w:val="24"/>
        </w:rPr>
        <w:instrText xml:space="preserve"> ADDIN EN.CITE </w:instrText>
      </w:r>
      <w:r w:rsidR="00E35562">
        <w:rPr>
          <w:rFonts w:ascii="Times New Roman" w:hAnsi="Times New Roman" w:cs="Times New Roman"/>
          <w:sz w:val="24"/>
        </w:rPr>
        <w:fldChar w:fldCharType="begin">
          <w:fldData xml:space="preserve">PEVuZE5vdGU+PENpdGU+PEF1dGhvcj5CYXZlbDwvQXV0aG9yPjxZZWFyPjIwMjA8L1llYXI+PFJl
Y051bT4xMTA5PC9SZWNOdW0+PERpc3BsYXlUZXh0PigxNSk8L0Rpc3BsYXlUZXh0PjxyZWNvcmQ+
PHJlYy1udW1iZXI+MTEwOTwvcmVjLW51bWJlcj48Zm9yZWlnbi1rZXlzPjxrZXkgYXBwPSJFTiIg
ZGItaWQ9IjA1eDlheHB6c3o1dHdhZXc1czA1MDB0cjkwenpmZXB4ZXh0ZSIgdGltZXN0YW1wPSIx
NzcxMTQyMDI1Ij4xMTA5PC9rZXk+PC9mb3JlaWduLWtleXM+PHJlZi10eXBlIG5hbWU9IkpvdXJu
YWwgQXJ0aWNsZSI+MTc8L3JlZi10eXBlPjxjb250cmlidXRvcnM+PGF1dGhvcnM+PGF1dGhvcj5C
YXZlbCwgSi4gSi4gVi48L2F1dGhvcj48YXV0aG9yPkJhaWNrZXIsIEsuPC9hdXRob3I+PGF1dGhv
cj5Cb2dnaW8sIFAuIFMuPC9hdXRob3I+PGF1dGhvcj5DYXByYXJvLCBWLjwvYXV0aG9yPjxhdXRo
b3I+Q2ljaG9ja2EsIEEuPC9hdXRob3I+PGF1dGhvcj5DaWthcmEsIE0uPC9hdXRob3I+PGF1dGhv
cj5Dcm9ja2V0dCwgTS4gSi48L2F1dGhvcj48YXV0aG9yPkNydW0sIEEuIEouPC9hdXRob3I+PGF1
dGhvcj5Eb3VnbGFzLCBLLiBNLjwvYXV0aG9yPjxhdXRob3I+RHJ1Y2ttYW4sIEouIE4uPC9hdXRo
b3I+PGF1dGhvcj5EcnVyeSwgSi48L2F1dGhvcj48YXV0aG9yPkR1YmUsIE8uPC9hdXRob3I+PGF1
dGhvcj5FbGxlbWVycywgTi48L2F1dGhvcj48YXV0aG9yPkZpbmtlbCwgRS4gSi48L2F1dGhvcj48
YXV0aG9yPkZvd2xlciwgSi4gSC48L2F1dGhvcj48YXV0aG9yPkdlbGZhbmQsIE0uPC9hdXRob3I+
PGF1dGhvcj5IYW4sIFMuPC9hdXRob3I+PGF1dGhvcj5IYXNsYW0sIFMuIEEuPC9hdXRob3I+PGF1
dGhvcj5KZXR0ZW4sIEouPC9hdXRob3I+PGF1dGhvcj5LaXRheWFtYSwgUy48L2F1dGhvcj48YXV0
aG9yPk1vYmJzLCBELjwvYXV0aG9yPjxhdXRob3I+TmFwcGVyLCBMLiBFLjwvYXV0aG9yPjxhdXRo
b3I+UGFja2VyLCBELiBKLjwvYXV0aG9yPjxhdXRob3I+UGVubnljb29rLCBHLjwvYXV0aG9yPjxh
dXRob3I+UGV0ZXJzLCBFLjwvYXV0aG9yPjxhdXRob3I+UGV0dHksIFIuIEUuPC9hdXRob3I+PGF1
dGhvcj5SYW5kLCBELiBHLjwvYXV0aG9yPjxhdXRob3I+UmVpY2hlciwgUy4gRC48L2F1dGhvcj48
YXV0aG9yPlNjaG5hbGwsIFMuPC9hdXRob3I+PGF1dGhvcj5TaGFyaWZmLCBBLjwvYXV0aG9yPjxh
dXRob3I+U2tpdGthLCBMLiBKLjwvYXV0aG9yPjxhdXRob3I+U21pdGgsIFMuIFMuPC9hdXRob3I+
PGF1dGhvcj5TdW5zdGVpbiwgQy4gUi48L2F1dGhvcj48YXV0aG9yPlRhYnJpLCBOLjwvYXV0aG9y
PjxhdXRob3I+VHVja2VyLCBKLiBBLjwvYXV0aG9yPjxhdXRob3I+TGluZGVuLCBTLiBWLjwvYXV0
aG9yPjxhdXRob3I+TGFuZ2UsIFAuIFYuPC9hdXRob3I+PGF1dGhvcj5XZWVkZW4sIEsuIEEuPC9h
dXRob3I+PGF1dGhvcj5Xb2hsLCBNLiBKLiBBLjwvYXV0aG9yPjxhdXRob3I+WmFraSwgSi48L2F1
dGhvcj48YXV0aG9yPlppb24sIFMuIFIuPC9hdXRob3I+PGF1dGhvcj5XaWxsZXIsIFIuPC9hdXRo
b3I+PC9hdXRob3JzPjwvY29udHJpYnV0b3JzPjxhdXRoLWFkZHJlc3M+RGVwYXJ0bWVudCBvZiBQ
c3ljaG9sb2d5ICZhbXA7IE5ldXJhbCBTY2llbmNlLCBOZXcgWW9yayBVbml2ZXJzaXR5LCBOZXcg
WW9yaywgTlksIFVTQS4gamF5LnZhbmJhdmVsQG55dS5lZHUuJiN4RDtVbml2ZXJzaXR5IG9mIENo
aWNhZ28gSGFycmlzIFNjaG9vbCBvZiBQdWJsaWMgUG9saWN5LCBDaGljYWdvLCBJTCwgVVNBLiYj
eEQ7U29jaWFsIGFuZCBDb2duaXRpdmUgTmV1cm9zY2llbmNlIExhYm9yYXRvcnksIENlbnRlciBm
b3IgSGVhbHRoIGFuZCBCaW9sb2dpY2FsIFNjaWVuY2VzLCBNYWNrZW56aWUgUHJlc2J5dGVyaWFu
IFVuaXZlcnNpdHksIFNhbyBQYXVsbywgQnJhemlsLiYjeEQ7RGVwYXJ0bWVudCBvZiBFY29ub21p
Y3MsIE1pZGRsZXNleCBVbml2ZXJzaXR5IExvbmRvbiwgTG9uZG9uLCBVSy4mI3hEO1NjaG9vbCBv
ZiBQc3ljaG9sb2d5LCBVbml2ZXJzaXR5IG9mIEtlbnQsIEtlbnQsIFVLLiYjeEQ7RGVwYXJ0bWVu
dCBvZiBQc3ljaG9sb2d5LCBOaWNvbGF1cyBDb3Blcm5pY3VzIFVuaXZlcnNpdHksIFRvcnVuLCBQ
b2xhbmQuJiN4RDtEZXBhcnRtZW50IG9mIFBzeWNob2xvZ3ksIEhhcnZhcmQgVW5pdmVyc2l0eSwg
Q2FtYnJpZGdlLCBNQSwgVVNBLiYjeEQ7RGVwYXJ0bWVudCBvZiBQc3ljaG9sb2d5LCBZYWxlIFVu
aXZlcnNpdHksIE5ldyBIYXZlbiwgQ1QsIFVTQS4mI3hEO0RlcGFydG1lbnQgb2YgUHN5Y2hvbG9n
eSwgU3RhbmZvcmQgVW5pdmVyc2l0eSwgU3RhbmZvcmQsIENBLCBVU0EuJiN4RDtEZXBhcnRtZW50
IG9mIFBvbGl0aWNhbCBTY2llbmNlLCBOb3J0aHdlc3Rlcm4gVW5pdmVyc2l0eSwgQ2hpY2Fnbywg
SUwsIFVTQS4mI3hEO0RlcGFydG1lbnQgb2YgU29jaWFsIFBzeWNob2xvZ3ksIFVuaXZlcnNpdHkg
b2YgU3Vzc2V4LCBTdXNzZXgsIFVLLiYjeEQ7RmFjdWx0eSBvZiBTb2NpYWwgU2NpZW5jZXMsIFV0
cmVjaHQgVW5pdmVyc2l0eSwgVXRyZWNodCwgVGhlIE5ldGhlcmxhbmRzLiYjeEQ7RGVwYXJ0bWVu
dCBvZiBQc3ljaG9sb2d5IGFuZCB0aGUgS2VsbG9nZyBTY2hvb2wgb2YgTWFuYWdlbWVudCwgTm9y
dGh3ZXN0ZXJuIFVuaXZlcnNpdHksIENoaWNhZ28sIElMLCBVU0EuJiN4RDtEaXZpc2lvbiBvZiBJ
bmZlY3Rpb3VzIERpc2Vhc2VzIGFuZCBHbG9iYWwgUHVibGljIEhlYWx0aCBhbmQgRGVwYXJ0bWVu
dCBvZiBQb2xpdGljYWwgU2NpZW5jZSwgVW5pdmVyc2l0eSBvZiBDYWxpZm9ybmlhLCBTYW4gRGll
Z28sIFNhbiBEaWVnbywgQ0EsIFVTQS4mI3hEO0RlcGFydG1lbnQgb2YgUHN5Y2hvbG9neSwgVW5p
dmVyc2l0eSBvZiBNYXJ5bGFuZCwgQ29sbGVnZSBQYXJrLCBNRCwgVVNBLiYjeEQ7U2Nob29sIG9m
IFBzeWNob2xvZ2ljYWwgYW5kIENvZ25pdGl2ZSBTY2llbmNlcywgUEtVLUlERy9NY0dvdmVybiBJ
bnN0aXR1dGUgZm9yIEJyYWluIFJlc2VhcmNoLCBQZWtpbmcgVW5pdmVyc2l0eSwgQmVpamluZywg
Q2hpbmEuJiN4RDtVbml2ZXJzaXR5IG9mIFF1ZWVuc2xhbmQsIEJyaXNiYW5lLCBBdXN0cmFsaWEu
JiN4RDtTY2hvb2wgb2YgUHN5Y2hvbG9neSwgVW5pdmVyc2l0eSBvZiBRdWVlbnNsYW5kLCBCcmlz
YmFuZSwgQXVzdHJhbGlhLiYjeEQ7RGVwYXJ0bWVudCBvZiBQc3ljaG9sb2d5LCBVbml2ZXJzaXR5
IG9mIE1pY2hpZ2FuLCBBbm4gQXJib3IsIE1JLCBVU0EuJiN4RDtEZXBhcnRtZW50IG9mIEh1bWFu
aXRpZXMgYW5kIFNvY2lhbCBTY2llbmNlcyBhbmQgQ29tcHV0YXRpb24gYW5kIE5ldXJhbCBTeXN0
ZW1zIFByb2dyYW0sIENhbGlmb3JuaWEgSW5zdGl0dXRlIG9mIFRlY2hub2xvZ3ksIFBhc2FkZW5h
LCBDQSwgVVNBLiYjeEQ7RGVwYXJ0bWVudCBvZiBQc3ljaG9sb2d5IGFuZCBIZWFsdGgsIE1lZGlj
aW5lICZhbXA7IFNvY2lldHkgUHJvZ3JhbSwgTGVoaWdoIFVuaXZlcnNpdHksIEJldGhsZWhlbSwg
UEEsIFVTQS4mI3hEO0RlcGFydG1lbnQgb2YgUHN5Y2hvbG9neSwgTGVoaWdoIFVuaXZlcnNpdHks
IEJldGhsZWhlbSwgUEEsIFVTQS4mI3hEO0hpbGwvTGV2ZW5lIFNjaG9vbHMgb2YgQnVzaW5lc3Ms
IFVuaXZlcnNpdHkgb2YgUmVnaW5hLCBSZWdpbmEsIFNhc2thdGNoZXdhbiwgQ2FuYWRhLiYjeEQ7
U2Nob29sIG9mIEpvdXJuYWxpc20gYW5kIENvbW11bmljYXRpb24sIFVuaXZlcnNpdHkgb2YgT3Jl
Z29uLCBFdWdlbmUsIE9SLCBVU0EuJiN4RDtEZXBhcnRtZW50IG9mIFBzeWNob2xvZ3ksIFRoZSBP
aGlvIFN0YXRlIFVuaXZlcnNpdHksIENvbHVtYnVzLCBPSCwgVVNBLiYjeEQ7U2xvYW4gU2Nob29s
IGFuZCBEZXBhcnRtZW50IG9mIEJyYWluIGFuZCBDb2duaXRpdmUgU2NpZW5jZXMsIE1hc3NhY2h1
c2V0dHMgSW5zdGl0dXRlIG9mIFRlY2hub2xvZ3ksIEJvc3RvbiwgTUEsIFVTQS4mI3hEO1NjaG9v
bCBvZiBQc3ljaG9sb2d5IGFuZCBOZXVyb3NjaWVuY2UsIFVuaXZlcnNpdHkgb2YgU3QuIEFuZHJl
d3MsIFN0IEFuZHJld3MsIFVLLiYjeEQ7RGVwYXJ0bWVudCBvZiBQc3ljaG9sb2d5IFVuaXZlcnNp
dHkgb2YgQ2FtYnJpZGdlLCBDYW1icmlkZ2UsIFVLLiYjeEQ7QmVubmV0dCBJbnN0aXR1dGUgZm9y
IFB1YmxpYyBQb2xpY3ksIFVuaXZlcnNpdHkgb2YgQ2FtYnJpZGdlLCBDYW1icmlkZ2UsIFVLLiYj
eEQ7RGVwYXJ0bWVudCBvZiBQc3ljaG9sb2d5LCBVbml2ZXJzaXR5IG9mIEJyaXRpc2ggQ29sdW1i
aWEsIFZhbmNvdXZlciwgQnJpdGlzaCBDb2x1bWJpYSwgQ2FuYWRhLiYjeEQ7RGVwYXJ0bWVudCBv
ZiBQc3ljaG9sb2d5LCBVbml2ZXJzaXR5IG9mIElsbGlub2lzIGF0IENoaWNhZ28sIENoaWNhZ28s
IElMLCBVU0EuJiN4RDtEZXBhcnRtZW50IG9mIFNvY2lvbG9neSwgVW5pdmVyc2l0eSBvZiBDYWxp
Zm9ybmlhLCBCZXJrZWxleSwgQmVya2VsZXksIENBLCBVU0EuJiN4RDtIYXJ2YXJkIExhdyBTY2hv
b2wsIEhhcnZhcmQgVW5pdmVyc2l0eSwgQ2FtYnJpZGdlLCBNQSwgVW5pdGVkIFN0YXRlcy4mI3hE
O0RlcGFydG1lbnQgb2YgUHN5Y2hvbG9neSwgQ2FybGV0b24gVW5pdmVyc2l0eSwgT3R0YXdhLCBP
bnRhcmlvLCBDYW5hZGEuJiN4RDtEZXBhcnRtZW50IG9mIFBvbGl0aWNzLCBOZXcgWW9yayBVbml2
ZXJzaXR5LCBOZXcgWW9yaywgTlksIFVTQS4mI3hEO0luc3RpdHV0ZSBmb3IgQnJhaW4gYW5kIEJl
aGF2aW9yIEFtc3RlcmRhbSwgRGVwYXJ0bWVudCBvZiBFeHBlcmltZW50YWwgYW5kIEFwcGxpZWQg
UHN5Y2hvbG9neSwgVnJpamUgVW5pdmVyc2l0ZWl0IEFtc3RlcmRhbSwgQW1zdGVyZGFtLCBUaGUg
TmV0aGVybGFuZHMuJiN4RDtEZXBhcnRtZW50IG9mIFNvY2lvbG9neSwgQ29ybmVsbCBVbml2ZXJz
aXR5LCBJdGhhY2EsIE5ZLCBVU0EuJiN4RDtEZXBhcnRtZW50IG9mIFNvY2lvbG9neSwgU3RhbmZv
cmQgVW5pdmVyc2l0eSwgU3RhbmZvcmQsIENBLCBVU0EuIHdpbGxlckBzdGFuZm9yZC5lZHUuPC9h
dXRoLWFkZHJlc3M+PHRpdGxlcz48dGl0bGU+VXNpbmcgc29jaWFsIGFuZCBiZWhhdmlvdXJhbCBz
Y2llbmNlIHRvIHN1cHBvcnQgQ09WSUQtMTkgcGFuZGVtaWMgcmVzcG9uc2U8L3RpdGxlPjxzZWNv
bmRhcnktdGl0bGU+TmF0IEh1bSBCZWhhdjwvc2Vjb25kYXJ5LXRpdGxlPjwvdGl0bGVzPjxwZXJp
b2RpY2FsPjxmdWxsLXRpdGxlPk5hdCBIdW0gQmVoYXY8L2Z1bGwtdGl0bGU+PC9wZXJpb2RpY2Fs
PjxwYWdlcz40NjAtNDcxPC9wYWdlcz48dm9sdW1lPjQ8L3ZvbHVtZT48bnVtYmVyPjU8L251bWJl
cj48ZWRpdGlvbj4yMDIwMDQzMDwvZWRpdGlvbj48a2V5d29yZHM+PGtleXdvcmQ+QWRhcHRhdGlv
biwgUHN5Y2hvbG9naWNhbDwva2V5d29yZD48a2V5d29yZD5CZXRhY29yb25hdmlydXM8L2tleXdv
cmQ+PGtleXdvcmQ+Q292aWQtMTk8L2tleXdvcmQ+PGtleXdvcmQ+Q29tbXVuaWNhYmxlIERpc2Vh
c2UgQ29udHJvbDwva2V5d29yZD48a2V5d29yZD4qQ29yb25hdmlydXM8L2tleXdvcmQ+PGtleXdv
cmQ+Q29yb25hdmlydXMgSW5mZWN0aW9ucy9kaWFnbm9zaXMvZXBpZGVtaW9sb2d5LypwcmV2ZW50
aW9uICZhbXA7IGNvbnRyb2wvdHJhbnNtaXNzaW9uPC9rZXl3b3JkPjxrZXl3b3JkPkRlY2lzaW9u
IE1ha2luZzwva2V5d29yZD48a2V5d29yZD5FcGlkZW1pb2xvZ2ljYWwgTW9uaXRvcmluZzwva2V5
d29yZD48a2V5d29yZD5HbG9iYWwgSGVhbHRoPC9rZXl3b3JkPjxrZXl3b3JkPipIZWFsdGggS25v
d2xlZGdlLCBBdHRpdHVkZXMsIFByYWN0aWNlPC9rZXl3b3JkPjxrZXl3b3JkPipIdW1hbiBBY3Rp
dml0aWVzPC9rZXl3b3JkPjxrZXl3b3JkPkh1bWFuczwva2V5d29yZD48a2V5d29yZD5MZWFkZXJz
aGlwPC9rZXl3b3JkPjxrZXl3b3JkPlBhbmRlbWljcy8qcHJldmVudGlvbiAmYW1wOyBjb250cm9s
PC9rZXl3b3JkPjxrZXl3b3JkPlBuZXVtb25pYSwgVmlyYWwvZXBpZGVtaW9sb2d5LypwcmV2ZW50
aW9uICZhbXA7IGNvbnRyb2wvdHJhbnNtaXNzaW9uPC9rZXl3b3JkPjxrZXl3b3JkPlB1YmxpYyBI
ZWFsdGg8L2tleXdvcmQ+PGtleXdvcmQ+KlF1YXJhbnRpbmU8L2tleXdvcmQ+PGtleXdvcmQ+U0FS
Uy1Db1YtMjwva2V5d29yZD48a2V5d29yZD5Tb2NpYWwgTWVkaWE8L2tleXdvcmQ+PGtleXdvcmQ+
U3RyZXNzLCBQc3ljaG9sb2dpY2FsPC9rZXl3b3JkPjwva2V5d29yZHM+PGRhdGVzPjx5ZWFyPjIw
MjA8L3llYXI+PHB1Yi1kYXRlcz48ZGF0ZT5NYXk8L2RhdGU+PC9wdWItZGF0ZXM+PC9kYXRlcz48
aXNibj4yMzk3LTMzNzQgKEVsZWN0cm9uaWMpJiN4RDsyMzk3LTMzNzQgKExpbmtpbmcpPC9pc2Ju
PjxhY2Nlc3Npb24tbnVtPjMyMzU1Mjk5PC9hY2Nlc3Npb24tbnVtPjx1cmxzPjxyZWxhdGVkLXVy
bHM+PHVybD5odHRwczovL3d3dy5uY2JpLm5sbS5uaWguZ292L3B1Ym1lZC8zMjM1NTI5OTwvdXJs
PjwvcmVsYXRlZC11cmxzPjwvdXJscz48ZWxlY3Ryb25pYy1yZXNvdXJjZS1udW0+MTAuMTAzOC9z
NDE1NjItMDIwLTA4ODQtejwvZWxlY3Ryb25pYy1yZXNvdXJjZS1udW0+PHJlbW90ZS1kYXRhYmFz
ZS1uYW1lPk1lZGxpbmU8L3JlbW90ZS1kYXRhYmFzZS1uYW1lPjxyZW1vdGUtZGF0YWJhc2UtcHJv
dmlkZXI+TkxNPC9yZW1vdGUtZGF0YWJhc2UtcHJvdmlkZXI+PC9yZWNvcmQ+PC9DaXRlPjwvRW5k
Tm90ZT4A
</w:fldData>
        </w:fldChar>
      </w:r>
      <w:r w:rsidR="00E35562">
        <w:rPr>
          <w:rFonts w:ascii="Times New Roman" w:hAnsi="Times New Roman" w:cs="Times New Roman"/>
          <w:sz w:val="24"/>
        </w:rPr>
        <w:instrText xml:space="preserve"> ADDIN EN.CITE.DATA </w:instrText>
      </w:r>
      <w:r w:rsidR="00E35562">
        <w:rPr>
          <w:rFonts w:ascii="Times New Roman" w:hAnsi="Times New Roman" w:cs="Times New Roman"/>
          <w:sz w:val="24"/>
        </w:rPr>
      </w:r>
      <w:r w:rsidR="00E35562">
        <w:rPr>
          <w:rFonts w:ascii="Times New Roman" w:hAnsi="Times New Roman" w:cs="Times New Roman"/>
          <w:sz w:val="24"/>
        </w:rPr>
        <w:fldChar w:fldCharType="end"/>
      </w:r>
      <w:r w:rsidR="00E35562">
        <w:rPr>
          <w:rFonts w:ascii="Times New Roman" w:hAnsi="Times New Roman" w:cs="Times New Roman"/>
          <w:sz w:val="24"/>
        </w:rPr>
      </w:r>
      <w:r w:rsidR="00E35562">
        <w:rPr>
          <w:rFonts w:ascii="Times New Roman" w:hAnsi="Times New Roman" w:cs="Times New Roman"/>
          <w:sz w:val="24"/>
        </w:rPr>
        <w:fldChar w:fldCharType="separate"/>
      </w:r>
      <w:r w:rsidR="00E35562">
        <w:rPr>
          <w:rFonts w:ascii="Times New Roman" w:hAnsi="Times New Roman" w:cs="Times New Roman"/>
          <w:noProof/>
          <w:sz w:val="24"/>
        </w:rPr>
        <w:t>(15)</w:t>
      </w:r>
      <w:r w:rsidR="00E35562">
        <w:rPr>
          <w:rFonts w:ascii="Times New Roman" w:hAnsi="Times New Roman" w:cs="Times New Roman"/>
          <w:sz w:val="24"/>
        </w:rPr>
        <w:fldChar w:fldCharType="end"/>
      </w:r>
      <w:r w:rsidRPr="00FE0B4E">
        <w:rPr>
          <w:rFonts w:ascii="Times New Roman" w:hAnsi="Times New Roman" w:cs="Times New Roman"/>
          <w:sz w:val="24"/>
        </w:rPr>
        <w:t>, who argued in their landmark review that social norms and trust in institutions are among the most powerful determinants of health behavior during pandemics. The nations in our "voluntary compliance" quadrant possessed these resources in abundance. Their light-touch governance was not a failure of state capacity but its highest expression: the ability to coordinate a population-level behavioral response through shared norms and mutual obligation, without recourse to the blunt instrument of legal enforcement.</w:t>
      </w:r>
    </w:p>
    <w:p w14:paraId="49498F43" w14:textId="5A74532D"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lastRenderedPageBreak/>
        <w:tab/>
      </w:r>
      <w:r w:rsidRPr="00FE0B4E">
        <w:rPr>
          <w:rFonts w:ascii="Times New Roman" w:hAnsi="Times New Roman" w:cs="Times New Roman"/>
          <w:sz w:val="24"/>
        </w:rPr>
        <w:t>For low-trust nations — the United States, Italy, Chile, Turkey — the pandemic revealed a deficit that predated the crisis by years. These societies could not generate voluntary compliance because the prerequisite — mutual trust across social and political lines — was already depleted. Coercion was not a policy failure; it was a structural necessity. The mandates, curfews, and enforcement actions that characterized these countries' pandemic responses were symptoms of low social capital, not causes of its further erosion. Crucially, these countries were not polarized because they locked down hard. They locked down hard because they were polarized.</w:t>
      </w:r>
    </w:p>
    <w:p w14:paraId="249CAA7B" w14:textId="602837C9" w:rsidR="00353A14"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This distinction has implications for how we conceptualize state capacity. The conventional understanding of state capacity emphasizes the ability to enforce compliance — to tax, to regulate, to coerce. Our findings suggest a complementary dimension that might be termed relational capacity: the ability to elicit voluntary cooperation in the absence of formal enforcement. By this measure, the most capable states during the pandemic were not those with the strongest enforcement apparatus but those that never needed to deploy it.</w:t>
      </w:r>
    </w:p>
    <w:p w14:paraId="53144903" w14:textId="2E92D676" w:rsidR="00353A14" w:rsidRPr="001976E3" w:rsidRDefault="001976E3" w:rsidP="00353A14">
      <w:pPr>
        <w:spacing w:line="480" w:lineRule="auto"/>
        <w:rPr>
          <w:rFonts w:ascii="Times New Roman" w:hAnsi="Times New Roman" w:cs="Times New Roman"/>
          <w:sz w:val="24"/>
        </w:rPr>
      </w:pPr>
      <w:r w:rsidRPr="00353A14">
        <w:rPr>
          <w:rFonts w:ascii="Times New Roman" w:hAnsi="Times New Roman" w:cs="Times New Roman"/>
          <w:i/>
          <w:iCs/>
          <w:sz w:val="24"/>
        </w:rPr>
        <w:t>The Stubbornness of Structural Polarization</w:t>
      </w:r>
    </w:p>
    <w:p w14:paraId="1057E925" w14:textId="77777777"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 xml:space="preserve">Perhaps the most striking finding is not what the pandemic caused but what it failed to alter. Figure 1 documents a steady, monotonic decline in social cohesion across the OECD </w:t>
      </w:r>
      <w:r w:rsidRPr="00FE0B4E">
        <w:rPr>
          <w:rFonts w:ascii="Times New Roman" w:hAnsi="Times New Roman" w:cs="Times New Roman"/>
          <w:sz w:val="24"/>
        </w:rPr>
        <w:lastRenderedPageBreak/>
        <w:t xml:space="preserve">from 2010 to 2024 — a decline that the pandemic neither accelerated nor arrested. The mean v2smpolsoc dropped by 0.79 units over fifteen years, at a roughly constant rate, with no visible inflection </w:t>
      </w:r>
      <w:proofErr w:type="gramStart"/>
      <w:r w:rsidRPr="00FE0B4E">
        <w:rPr>
          <w:rFonts w:ascii="Times New Roman" w:hAnsi="Times New Roman" w:cs="Times New Roman"/>
          <w:sz w:val="24"/>
        </w:rPr>
        <w:t>at</w:t>
      </w:r>
      <w:proofErr w:type="gramEnd"/>
      <w:r w:rsidRPr="00FE0B4E">
        <w:rPr>
          <w:rFonts w:ascii="Times New Roman" w:hAnsi="Times New Roman" w:cs="Times New Roman"/>
          <w:sz w:val="24"/>
        </w:rPr>
        <w:t xml:space="preserve"> 2020.</w:t>
      </w:r>
    </w:p>
    <w:p w14:paraId="5E6617B3" w14:textId="44B6B63C" w:rsidR="001976E3"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This finding speaks to the structural nature of polarization in advanced democracies. The forces driving social division — economic inequality, cultural sorting, media fragmentation, algorithmic amplification, declining institutional trust — operate on timescales and through mechanisms that a single exogenous shock, however severe, cannot easily override. Iyengar et al. </w:t>
      </w:r>
      <w:r w:rsidR="00E35562">
        <w:rPr>
          <w:rFonts w:ascii="Times New Roman" w:hAnsi="Times New Roman" w:cs="Times New Roman"/>
          <w:sz w:val="24"/>
        </w:rPr>
        <w:fldChar w:fldCharType="begin"/>
      </w:r>
      <w:r w:rsidR="00E35562">
        <w:rPr>
          <w:rFonts w:ascii="Times New Roman" w:hAnsi="Times New Roman" w:cs="Times New Roman"/>
          <w:sz w:val="24"/>
        </w:rPr>
        <w:instrText xml:space="preserve"> ADDIN EN.CITE &lt;EndNote&gt;&lt;Cite&gt;&lt;Author&gt;Iyengar&lt;/Author&gt;&lt;Year&gt;2019&lt;/Year&gt;&lt;RecNum&gt;1115&lt;/RecNum&gt;&lt;DisplayText&gt;(12)&lt;/DisplayText&gt;&lt;record&gt;&lt;rec-number&gt;1115&lt;/rec-number&gt;&lt;foreign-keys&gt;&lt;key app="EN" db-id="05x9axpzsz5twaew5s0500tr90zzfepxexte" timestamp="1771142279"&gt;1115&lt;/key&gt;&lt;/foreign-keys&gt;&lt;ref-type name="Journal Article"&gt;17&lt;/ref-type&gt;&lt;contributors&gt;&lt;authors&gt;&lt;author&gt;Iyengar, Shanto&lt;/author&gt;&lt;author&gt;Lelkes, Yphtach&lt;/author&gt;&lt;author&gt;Levendusky, Matthew&lt;/author&gt;&lt;author&gt;Malhotra, Neil&lt;/author&gt;&lt;author&gt;Westwood, Sean J.&lt;/author&gt;&lt;/authors&gt;&lt;/contributors&gt;&lt;titles&gt;&lt;title&gt;The Origins and Consequences of Affective Polarization in the United States&lt;/title&gt;&lt;secondary-title&gt;Annual Review of Political Science&lt;/secondary-title&gt;&lt;/titles&gt;&lt;periodical&gt;&lt;full-title&gt;Annual Review of Political Science&lt;/full-title&gt;&lt;/periodical&gt;&lt;pages&gt;129-146&lt;/pages&gt;&lt;volume&gt;22&lt;/volume&gt;&lt;number&gt;1&lt;/number&gt;&lt;section&gt;129&lt;/section&gt;&lt;dates&gt;&lt;year&gt;2019&lt;/year&gt;&lt;/dates&gt;&lt;isbn&gt;1094-2939&amp;#xD;1545-1577&lt;/isbn&gt;&lt;urls&gt;&lt;/urls&gt;&lt;electronic-resource-num&gt;10.1146/annurev-polisci-051117-073034&lt;/electronic-resource-num&gt;&lt;/record&gt;&lt;/Cite&gt;&lt;/EndNote&gt;</w:instrText>
      </w:r>
      <w:r w:rsidR="00E35562">
        <w:rPr>
          <w:rFonts w:ascii="Times New Roman" w:hAnsi="Times New Roman" w:cs="Times New Roman"/>
          <w:sz w:val="24"/>
        </w:rPr>
        <w:fldChar w:fldCharType="separate"/>
      </w:r>
      <w:r w:rsidR="00E35562">
        <w:rPr>
          <w:rFonts w:ascii="Times New Roman" w:hAnsi="Times New Roman" w:cs="Times New Roman"/>
          <w:noProof/>
          <w:sz w:val="24"/>
        </w:rPr>
        <w:t>(12)</w:t>
      </w:r>
      <w:r w:rsidR="00E35562">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trace the rise of affective polarization in the United States to partisan sorting processes unfolding over four decades, while McCarty, Poole, and Rosenthal </w:t>
      </w:r>
      <w:r w:rsidR="00E35562">
        <w:rPr>
          <w:rFonts w:ascii="Times New Roman" w:hAnsi="Times New Roman" w:cs="Times New Roman"/>
          <w:sz w:val="24"/>
        </w:rPr>
        <w:fldChar w:fldCharType="begin"/>
      </w:r>
      <w:r w:rsidR="005F188F">
        <w:rPr>
          <w:rFonts w:ascii="Times New Roman" w:hAnsi="Times New Roman" w:cs="Times New Roman"/>
          <w:sz w:val="24"/>
        </w:rPr>
        <w:instrText xml:space="preserve"> ADDIN EN.CITE &lt;EndNote&gt;&lt;Cite&gt;&lt;Author&gt;McCarty&lt;/Author&gt;&lt;Year&gt;2016&lt;/Year&gt;&lt;RecNum&gt;1118&lt;/RecNum&gt;&lt;DisplayText&gt;(26)&lt;/DisplayText&gt;&lt;record&gt;&lt;rec-number&gt;1118&lt;/rec-number&gt;&lt;foreign-keys&gt;&lt;key app="EN" db-id="05x9axpzsz5twaew5s0500tr90zzfepxexte" timestamp="1771142463"&gt;1118&lt;/key&gt;&lt;/foreign-keys&gt;&lt;ref-type name="Book"&gt;6&lt;/ref-type&gt;&lt;contributors&gt;&lt;authors&gt;&lt;author&gt;McCarty, Nolan M.&lt;/author&gt;&lt;author&gt;Poole, Keith T.&lt;/author&gt;&lt;author&gt;Rosenthal, Howard&lt;/author&gt;&lt;/authors&gt;&lt;/contributors&gt;&lt;titles&gt;&lt;title&gt;Polarized America : the dance of ideology and unequal riches&lt;/title&gt;&lt;secondary-title&gt;Walras-Pareto lectures&lt;/secondary-title&gt;&lt;/titles&gt;&lt;pages&gt;xiv, 255 pages&lt;/pages&gt;&lt;edition&gt;Second edition.&lt;/edition&gt;&lt;keywords&gt;&lt;keyword&gt;Equality United States.&lt;/keyword&gt;&lt;keyword&gt;Polarization (Social sciences) United States.&lt;/keyword&gt;&lt;keyword&gt;Income distribution United States.&lt;/keyword&gt;&lt;keyword&gt;United States Politics and government 1989-&lt;/keyword&gt;&lt;/keywords&gt;&lt;dates&gt;&lt;year&gt;2016&lt;/year&gt;&lt;/dates&gt;&lt;pub-location&gt;Cambridge, MA&lt;/pub-location&gt;&lt;publisher&gt;MIT Press&lt;/publisher&gt;&lt;isbn&gt;9780262528627&lt;/isbn&gt;&lt;accession-num&gt;18828506&lt;/accession-num&gt;&lt;call-num&gt;HN90.S6 M37 2016&lt;/call-num&gt;&lt;urls&gt;&lt;/urls&gt;&lt;/record&gt;&lt;/Cite&gt;&lt;/EndNote&gt;</w:instrText>
      </w:r>
      <w:r w:rsidR="00E35562">
        <w:rPr>
          <w:rFonts w:ascii="Times New Roman" w:hAnsi="Times New Roman" w:cs="Times New Roman"/>
          <w:sz w:val="24"/>
        </w:rPr>
        <w:fldChar w:fldCharType="separate"/>
      </w:r>
      <w:r w:rsidR="005F188F">
        <w:rPr>
          <w:rFonts w:ascii="Times New Roman" w:hAnsi="Times New Roman" w:cs="Times New Roman"/>
          <w:noProof/>
          <w:sz w:val="24"/>
        </w:rPr>
        <w:t>(26)</w:t>
      </w:r>
      <w:r w:rsidR="00E35562">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demonstrate that economic inequality and elite ideological divergence are its primary structural drivers. Boxell, Gentzkow, and Shapiro </w:t>
      </w:r>
      <w:r w:rsidR="00E35562">
        <w:rPr>
          <w:rFonts w:ascii="Times New Roman" w:hAnsi="Times New Roman" w:cs="Times New Roman"/>
          <w:sz w:val="24"/>
        </w:rPr>
        <w:fldChar w:fldCharType="begin"/>
      </w:r>
      <w:r w:rsidR="005F188F">
        <w:rPr>
          <w:rFonts w:ascii="Times New Roman" w:hAnsi="Times New Roman" w:cs="Times New Roman"/>
          <w:sz w:val="24"/>
        </w:rPr>
        <w:instrText xml:space="preserve"> ADDIN EN.CITE &lt;EndNote&gt;&lt;Cite&gt;&lt;Author&gt;Boxell&lt;/Author&gt;&lt;Year&gt;2017&lt;/Year&gt;&lt;RecNum&gt;1117&lt;/RecNum&gt;&lt;DisplayText&gt;(27)&lt;/DisplayText&gt;&lt;record&gt;&lt;rec-number&gt;1117&lt;/rec-number&gt;&lt;foreign-keys&gt;&lt;key app="EN" db-id="05x9axpzsz5twaew5s0500tr90zzfepxexte" timestamp="1771142343"&gt;1117&lt;/key&gt;&lt;/foreign-keys&gt;&lt;ref-type name="Journal Article"&gt;17&lt;/ref-type&gt;&lt;contributors&gt;&lt;authors&gt;&lt;author&gt;Boxell, Levi&lt;/author&gt;&lt;author&gt;Gentzkow, Matthew&lt;/author&gt;&lt;author&gt;Shapiro, Jesse M.&lt;/author&gt;&lt;/authors&gt;&lt;/contributors&gt;&lt;titles&gt;&lt;title&gt;Greater Internet use is not associated with faster growth in political polarization among US demographic groups&lt;/title&gt;&lt;secondary-title&gt;Proceedings of the National Academy of Sciences&lt;/secondary-title&gt;&lt;/titles&gt;&lt;periodical&gt;&lt;full-title&gt;Proceedings of the National Academy of Sciences&lt;/full-title&gt;&lt;/periodical&gt;&lt;pages&gt;10612-10617&lt;/pages&gt;&lt;volume&gt;114&lt;/volume&gt;&lt;number&gt;40&lt;/number&gt;&lt;section&gt;10612&lt;/section&gt;&lt;dates&gt;&lt;year&gt;2017&lt;/year&gt;&lt;/dates&gt;&lt;isbn&gt;0027-8424&amp;#xD;1091-6490&lt;/isbn&gt;&lt;urls&gt;&lt;/urls&gt;&lt;electronic-resource-num&gt;10.1073/pnas.1706588114&lt;/electronic-resource-num&gt;&lt;/record&gt;&lt;/Cite&gt;&lt;/EndNote&gt;</w:instrText>
      </w:r>
      <w:r w:rsidR="00E35562">
        <w:rPr>
          <w:rFonts w:ascii="Times New Roman" w:hAnsi="Times New Roman" w:cs="Times New Roman"/>
          <w:sz w:val="24"/>
        </w:rPr>
        <w:fldChar w:fldCharType="separate"/>
      </w:r>
      <w:r w:rsidR="005F188F">
        <w:rPr>
          <w:rFonts w:ascii="Times New Roman" w:hAnsi="Times New Roman" w:cs="Times New Roman"/>
          <w:noProof/>
          <w:sz w:val="24"/>
        </w:rPr>
        <w:t>(27)</w:t>
      </w:r>
      <w:r w:rsidR="00E35562">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add the provocative finding that polarization in the United States grew fastest among demographic groups least likely to use the internet, challenging the intuition that social media is the proximate cause and reinforcing the primacy of deeper structural forces. If these slow-moving fundamentals are the true engines of polarization, it follows that a pandemic — however socially disruptive in the short term — would leave the trajectory largely undisturbed. This is precisely what Figure 1 documents.</w:t>
      </w:r>
    </w:p>
    <w:p w14:paraId="7E7C4998" w14:textId="22727208" w:rsidR="00353A14" w:rsidRDefault="001976E3" w:rsidP="00353A14">
      <w:pPr>
        <w:spacing w:line="480" w:lineRule="auto"/>
        <w:rPr>
          <w:rFonts w:ascii="Times New Roman" w:hAnsi="Times New Roman" w:cs="Times New Roman"/>
          <w:i/>
          <w:iCs/>
          <w:sz w:val="24"/>
        </w:rPr>
      </w:pPr>
      <w:r w:rsidRPr="00353A14">
        <w:rPr>
          <w:rFonts w:ascii="Times New Roman" w:hAnsi="Times New Roman" w:cs="Times New Roman"/>
          <w:i/>
          <w:iCs/>
          <w:sz w:val="24"/>
        </w:rPr>
        <w:t>Limitations</w:t>
      </w:r>
    </w:p>
    <w:p w14:paraId="1AF9021F" w14:textId="2AE4FA51" w:rsidR="001976E3" w:rsidRPr="001976E3" w:rsidRDefault="00FE0B4E" w:rsidP="001976E3">
      <w:pPr>
        <w:spacing w:line="480" w:lineRule="auto"/>
        <w:rPr>
          <w:rFonts w:ascii="Times New Roman" w:hAnsi="Times New Roman" w:cs="Times New Roman"/>
          <w:sz w:val="24"/>
        </w:rPr>
      </w:pPr>
      <w:r w:rsidRPr="00FE0B4E">
        <w:rPr>
          <w:rFonts w:ascii="Times New Roman" w:hAnsi="Times New Roman" w:cs="Times New Roman"/>
          <w:sz w:val="24"/>
        </w:rPr>
        <w:lastRenderedPageBreak/>
        <w:t>Several limitations warrant acknowledgment. First, our sample is restricted to 38 OECD member states. While this provides a coherent set of high-income democracies, it limits generalizability to developing nations and autocracies, where both the biological impact and the political dynamics of the pandemic may differ substantially. Second, the analysis remains observational. The selection effect is compelling but correlational; we cannot exclude the possibility that unobserved variables drive both pre-pandemic cohesion and lockdown strategy simultaneously. Third, V-Dem indicators are expert-coded annual assessments that may not capture rapid, within-year fluctuations in social sentiment. Survey-based measures of interpersonal trust and political attitudes might reveal dynamics invisible at the annual institutional level. Fourth, the Stringency Index is a composite measure that aggregates diverse policy instruments — school closures, workplace restrictions, travel bans — which may have heterogeneous effects. Finally, the negative within-R-squared values in some TWFE specifications indicate that the fixed effects absorb most meaningful variation, leaving limited identifying variation for the exposure variables — a common challenge in short panels with slow-moving outcomes.</w:t>
      </w:r>
    </w:p>
    <w:p w14:paraId="09B89DD7" w14:textId="03FDC454" w:rsidR="00353A14" w:rsidRPr="001976E3" w:rsidRDefault="001976E3" w:rsidP="00353A14">
      <w:pPr>
        <w:spacing w:line="480" w:lineRule="auto"/>
        <w:rPr>
          <w:rFonts w:ascii="Times New Roman" w:hAnsi="Times New Roman" w:cs="Times New Roman"/>
          <w:sz w:val="24"/>
        </w:rPr>
      </w:pPr>
      <w:r w:rsidRPr="00353A14">
        <w:rPr>
          <w:rFonts w:ascii="Times New Roman" w:hAnsi="Times New Roman" w:cs="Times New Roman"/>
          <w:b/>
          <w:bCs/>
          <w:sz w:val="24"/>
        </w:rPr>
        <w:t>Conclusion</w:t>
      </w:r>
    </w:p>
    <w:p w14:paraId="08369EE1" w14:textId="77777777"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 xml:space="preserve">This paper set out to test whether the COVID-19 pandemic drove social polarization in the developed world, and if so, through what mechanism — the virus or the lockdowns. </w:t>
      </w:r>
      <w:r w:rsidRPr="00FE0B4E">
        <w:rPr>
          <w:rFonts w:ascii="Times New Roman" w:hAnsi="Times New Roman" w:cs="Times New Roman"/>
          <w:sz w:val="24"/>
        </w:rPr>
        <w:lastRenderedPageBreak/>
        <w:t>The answer is neither.</w:t>
      </w:r>
    </w:p>
    <w:p w14:paraId="07C90C3B" w14:textId="28937A3C"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Across 38 OECD countries over the period 2019–2024, we find no evidence that COVID-19 mortality predicted changes in social cohesion. Nor do we find evidence that lockdown stringency accelerated polarization; the coefficient is negative and non-significant, inconsistent with the claim that coercive pandemic governance deepened social divisions. The decline in social cohesion observed across the OECD is structural, pre-dating the pandemic by at least a decade, and continuing through it at an unaltered pace. The pandemic, for all its disruption, did not detectably change the political trajectory of these societies.</w:t>
      </w:r>
    </w:p>
    <w:p w14:paraId="2532136D" w14:textId="2CB5AC77"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What the pandemic did reveal was the asymmetry of democratic governance under crisis. The single strongest predictor of lockdown stringency was not the severity of the outbreak but the level of pre-existing social cohesion (r = </w:t>
      </w:r>
      <w:r w:rsidRPr="00FE0B4E">
        <w:rPr>
          <w:rFonts w:ascii="Times New Roman" w:hAnsi="Times New Roman" w:cs="Times New Roman" w:hint="eastAsia"/>
          <w:sz w:val="24"/>
        </w:rPr>
        <w:t>−</w:t>
      </w:r>
      <w:r w:rsidRPr="00FE0B4E">
        <w:rPr>
          <w:rFonts w:ascii="Times New Roman" w:hAnsi="Times New Roman" w:cs="Times New Roman"/>
          <w:sz w:val="24"/>
        </w:rPr>
        <w:t>0.51, p = 0.001). Societies rich in social capital — Japan, the Nordic countries, New Zealand — could afford to govern lightly, achieving public health objectives through voluntary compliance. Societies poor in social capital — the United States, Southern Europe, Latin America — were compelled to govern heavily, not because their leaders chose authoritarianism but because their social conditions left no alternative. Coercion was not the cause of distrust; it was its consequence.</w:t>
      </w:r>
    </w:p>
    <w:p w14:paraId="1F9E2111" w14:textId="77777777" w:rsidR="00FE0B4E" w:rsidRDefault="00FE0B4E" w:rsidP="00FE0B4E">
      <w:pPr>
        <w:spacing w:line="480" w:lineRule="auto"/>
        <w:rPr>
          <w:rFonts w:ascii="Times New Roman" w:hAnsi="Times New Roman" w:cs="Times New Roman"/>
          <w:sz w:val="24"/>
        </w:rPr>
      </w:pPr>
      <w:r>
        <w:rPr>
          <w:rFonts w:ascii="Times New Roman" w:hAnsi="Times New Roman" w:cs="Times New Roman"/>
          <w:sz w:val="24"/>
        </w:rPr>
        <w:lastRenderedPageBreak/>
        <w:tab/>
      </w:r>
      <w:r w:rsidRPr="00FE0B4E">
        <w:rPr>
          <w:rFonts w:ascii="Times New Roman" w:hAnsi="Times New Roman" w:cs="Times New Roman"/>
          <w:sz w:val="24"/>
        </w:rPr>
        <w:t xml:space="preserve">The implication for future crisis preparedness is sobering. Pandemic planning has overwhelmingly focused on medical infrastructure: surveillance systems, vaccine pipelines, hospital surge capacity, stockpiles of personal protective equipment. Our findings suggest that the binding constraint on effective democratic crisis response is not medical but social. The countries that navigated the pandemic with the least friction were not those with the best epidemiological preparedness but those with the deepest reserves of mutual trust. Social capital, unlike ventilators, cannot be manufactured in an emergency. It is accumulated slowly, through decades of institutional performance, equitable governance, and civic participation — and once depleted, it is not easily restored. If the next global crisis arrives in a society already fractured by distrust, the same constrained choice will </w:t>
      </w:r>
      <w:proofErr w:type="gramStart"/>
      <w:r w:rsidRPr="00FE0B4E">
        <w:rPr>
          <w:rFonts w:ascii="Times New Roman" w:hAnsi="Times New Roman" w:cs="Times New Roman"/>
          <w:sz w:val="24"/>
        </w:rPr>
        <w:t>recur:</w:t>
      </w:r>
      <w:proofErr w:type="gramEnd"/>
      <w:r w:rsidRPr="00FE0B4E">
        <w:rPr>
          <w:rFonts w:ascii="Times New Roman" w:hAnsi="Times New Roman" w:cs="Times New Roman"/>
          <w:sz w:val="24"/>
        </w:rPr>
        <w:t xml:space="preserve"> tolerate the consequences of </w:t>
      </w:r>
      <w:proofErr w:type="gramStart"/>
      <w:r w:rsidRPr="00FE0B4E">
        <w:rPr>
          <w:rFonts w:ascii="Times New Roman" w:hAnsi="Times New Roman" w:cs="Times New Roman"/>
          <w:sz w:val="24"/>
        </w:rPr>
        <w:t>non-compliance, or</w:t>
      </w:r>
      <w:proofErr w:type="gramEnd"/>
      <w:r w:rsidRPr="00FE0B4E">
        <w:rPr>
          <w:rFonts w:ascii="Times New Roman" w:hAnsi="Times New Roman" w:cs="Times New Roman"/>
          <w:sz w:val="24"/>
        </w:rPr>
        <w:t xml:space="preserve"> impose mandates that confirm and deepen the very alienation they seek to overcome. The pandemic changed nothing — and that is precisely the problem.</w:t>
      </w:r>
    </w:p>
    <w:p w14:paraId="648E78D4" w14:textId="77777777" w:rsidR="00FE0B4E" w:rsidRDefault="00FE0B4E" w:rsidP="00FE0B4E">
      <w:pPr>
        <w:spacing w:line="480" w:lineRule="auto"/>
        <w:rPr>
          <w:rFonts w:ascii="Times New Roman" w:hAnsi="Times New Roman" w:cs="Times New Roman"/>
          <w:sz w:val="24"/>
        </w:rPr>
      </w:pPr>
    </w:p>
    <w:p w14:paraId="2B05BD2B" w14:textId="10674353" w:rsidR="007903A6" w:rsidRPr="00656CB4" w:rsidRDefault="007903A6" w:rsidP="00FE0B4E">
      <w:pPr>
        <w:spacing w:line="480" w:lineRule="auto"/>
        <w:rPr>
          <w:rFonts w:ascii="Times New Roman" w:hAnsi="Times New Roman" w:cs="Times New Roman"/>
          <w:b/>
          <w:bCs/>
          <w:sz w:val="24"/>
        </w:rPr>
      </w:pPr>
      <w:r w:rsidRPr="00656CB4">
        <w:rPr>
          <w:rFonts w:ascii="Times New Roman" w:hAnsi="Times New Roman" w:cs="Times New Roman"/>
          <w:b/>
          <w:bCs/>
          <w:sz w:val="24"/>
        </w:rPr>
        <w:t>References</w:t>
      </w:r>
    </w:p>
    <w:p w14:paraId="6B216B18" w14:textId="77777777" w:rsidR="007278E2" w:rsidRPr="007278E2" w:rsidRDefault="00581EDD" w:rsidP="007278E2">
      <w:pPr>
        <w:pStyle w:val="EndNoteBibliography"/>
        <w:rPr>
          <w:noProof/>
        </w:rPr>
      </w:pPr>
      <w:r>
        <w:rPr>
          <w:rFonts w:ascii="Times New Roman" w:hAnsi="Times New Roman" w:cs="Times New Roman"/>
          <w:sz w:val="24"/>
        </w:rPr>
        <w:fldChar w:fldCharType="begin"/>
      </w:r>
      <w:r>
        <w:rPr>
          <w:rFonts w:ascii="Times New Roman" w:hAnsi="Times New Roman" w:cs="Times New Roman"/>
          <w:sz w:val="24"/>
        </w:rPr>
        <w:instrText xml:space="preserve"> ADDIN EN.REFLIST </w:instrText>
      </w:r>
      <w:r>
        <w:rPr>
          <w:rFonts w:ascii="Times New Roman" w:hAnsi="Times New Roman" w:cs="Times New Roman"/>
          <w:sz w:val="24"/>
        </w:rPr>
        <w:fldChar w:fldCharType="separate"/>
      </w:r>
      <w:r w:rsidR="007278E2" w:rsidRPr="007278E2">
        <w:rPr>
          <w:noProof/>
        </w:rPr>
        <w:t>1.</w:t>
      </w:r>
      <w:r w:rsidR="007278E2" w:rsidRPr="007278E2">
        <w:rPr>
          <w:noProof/>
        </w:rPr>
        <w:tab/>
        <w:t>Thornhill R, Fincher CL. The Parasite-Stress Theory of Values and Sociality2014.</w:t>
      </w:r>
    </w:p>
    <w:p w14:paraId="2667D1DA" w14:textId="77777777" w:rsidR="007278E2" w:rsidRPr="007278E2" w:rsidRDefault="007278E2" w:rsidP="007278E2">
      <w:pPr>
        <w:pStyle w:val="EndNoteBibliography"/>
        <w:rPr>
          <w:noProof/>
        </w:rPr>
      </w:pPr>
      <w:r w:rsidRPr="007278E2">
        <w:rPr>
          <w:noProof/>
        </w:rPr>
        <w:t>2.</w:t>
      </w:r>
      <w:r w:rsidRPr="007278E2">
        <w:rPr>
          <w:noProof/>
        </w:rPr>
        <w:tab/>
        <w:t>Murray DR, Schaller M. Historical Prevalence of Infectious Diseases Within 230 Geopolitical Regions: A Tool for Investigating Origins of Culture. Journal of Cross-Cultural Psychology. 2009;41(1):99-108.</w:t>
      </w:r>
    </w:p>
    <w:p w14:paraId="77C0F977" w14:textId="77777777" w:rsidR="007278E2" w:rsidRPr="007278E2" w:rsidRDefault="007278E2" w:rsidP="007278E2">
      <w:pPr>
        <w:pStyle w:val="EndNoteBibliography"/>
        <w:rPr>
          <w:noProof/>
        </w:rPr>
      </w:pPr>
      <w:r w:rsidRPr="007278E2">
        <w:rPr>
          <w:noProof/>
        </w:rPr>
        <w:t>3.</w:t>
      </w:r>
      <w:r w:rsidRPr="007278E2">
        <w:rPr>
          <w:noProof/>
        </w:rPr>
        <w:tab/>
        <w:t>Currie TE, Mace R. Analyses do not support the parasite-stress theory of human sociality. Behav Brain Sci. 2012;35(2):83-5.</w:t>
      </w:r>
    </w:p>
    <w:p w14:paraId="7E88DEE3" w14:textId="77777777" w:rsidR="007278E2" w:rsidRPr="007278E2" w:rsidRDefault="007278E2" w:rsidP="007278E2">
      <w:pPr>
        <w:pStyle w:val="EndNoteBibliography"/>
        <w:rPr>
          <w:noProof/>
        </w:rPr>
      </w:pPr>
      <w:r w:rsidRPr="007278E2">
        <w:rPr>
          <w:noProof/>
        </w:rPr>
        <w:lastRenderedPageBreak/>
        <w:t>4.</w:t>
      </w:r>
      <w:r w:rsidRPr="007278E2">
        <w:rPr>
          <w:noProof/>
        </w:rPr>
        <w:tab/>
        <w:t>Pollet TV, Tybur JM, Frankenhuis WE, Rickard IJ. What Can Cross-Cultural Correlations Teach Us about Human Nature? Human Nature. 2014;25(3):410-29.</w:t>
      </w:r>
    </w:p>
    <w:p w14:paraId="0AC1A4FC" w14:textId="77777777" w:rsidR="007278E2" w:rsidRPr="007278E2" w:rsidRDefault="007278E2" w:rsidP="007278E2">
      <w:pPr>
        <w:pStyle w:val="EndNoteBibliography"/>
        <w:rPr>
          <w:noProof/>
        </w:rPr>
      </w:pPr>
      <w:r w:rsidRPr="007278E2">
        <w:rPr>
          <w:noProof/>
        </w:rPr>
        <w:t>5.</w:t>
      </w:r>
      <w:r w:rsidRPr="007278E2">
        <w:rPr>
          <w:noProof/>
        </w:rPr>
        <w:tab/>
        <w:t>Tybur JM, Inbar Y, Aarøe L, Barclay P, Barlow FK, de Barra M, et al. Parasite stress and pathogen avoidance relate to distinct dimensions of political ideology across 30 nations. Proceedings of the National Academy of Sciences. 2016;113(44):12408-13.</w:t>
      </w:r>
    </w:p>
    <w:p w14:paraId="3FD423B6" w14:textId="77777777" w:rsidR="007278E2" w:rsidRPr="007278E2" w:rsidRDefault="007278E2" w:rsidP="007278E2">
      <w:pPr>
        <w:pStyle w:val="EndNoteBibliography"/>
        <w:rPr>
          <w:noProof/>
        </w:rPr>
      </w:pPr>
      <w:r w:rsidRPr="007278E2">
        <w:rPr>
          <w:noProof/>
        </w:rPr>
        <w:t>6.</w:t>
      </w:r>
      <w:r w:rsidRPr="007278E2">
        <w:rPr>
          <w:noProof/>
        </w:rPr>
        <w:tab/>
        <w:t>Maerz SF, Lührmann A, Lachapelle J, Edgell AB. Worth the sacrifice? Illiberal and authoritarian practices during Covid-19. 2020.</w:t>
      </w:r>
    </w:p>
    <w:p w14:paraId="0CDC3B36" w14:textId="77777777" w:rsidR="007278E2" w:rsidRPr="007278E2" w:rsidRDefault="007278E2" w:rsidP="007278E2">
      <w:pPr>
        <w:pStyle w:val="EndNoteBibliography"/>
        <w:rPr>
          <w:noProof/>
        </w:rPr>
      </w:pPr>
      <w:r w:rsidRPr="007278E2">
        <w:rPr>
          <w:noProof/>
        </w:rPr>
        <w:t>7.</w:t>
      </w:r>
      <w:r w:rsidRPr="007278E2">
        <w:rPr>
          <w:noProof/>
        </w:rPr>
        <w:tab/>
        <w:t>Thomson S, Ip EC. COVID-19 emergency measures and the impending authoritarian pandemic. Journal of Law and the Biosciences. 2020;7(1).</w:t>
      </w:r>
    </w:p>
    <w:p w14:paraId="3006E798" w14:textId="77777777" w:rsidR="007278E2" w:rsidRPr="007278E2" w:rsidRDefault="007278E2" w:rsidP="007278E2">
      <w:pPr>
        <w:pStyle w:val="EndNoteBibliography"/>
        <w:rPr>
          <w:noProof/>
        </w:rPr>
      </w:pPr>
      <w:r w:rsidRPr="007278E2">
        <w:rPr>
          <w:noProof/>
        </w:rPr>
        <w:t>8.</w:t>
      </w:r>
      <w:r w:rsidRPr="007278E2">
        <w:rPr>
          <w:noProof/>
        </w:rPr>
        <w:tab/>
        <w:t>Edgell AB, Grahn S, Lachapelle J, Lührmann A, Maerz SF. An update on pandemic backsliding: Democracy four months after the beginning of the Covid-19 pandemic.: V-Dem Institute, University of Gothenburg.; 2021.</w:t>
      </w:r>
    </w:p>
    <w:p w14:paraId="65A0E6DB" w14:textId="42D7AAEC" w:rsidR="007278E2" w:rsidRPr="007278E2" w:rsidRDefault="007278E2" w:rsidP="007278E2">
      <w:pPr>
        <w:pStyle w:val="EndNoteBibliography"/>
        <w:rPr>
          <w:noProof/>
        </w:rPr>
      </w:pPr>
      <w:r w:rsidRPr="007278E2">
        <w:rPr>
          <w:noProof/>
        </w:rPr>
        <w:t>9.</w:t>
      </w:r>
      <w:r w:rsidRPr="007278E2">
        <w:rPr>
          <w:noProof/>
        </w:rPr>
        <w:tab/>
        <w:t xml:space="preserve">Repucci S, Slipowitz A. Freedom in the World 2021: Democracy under siege.: Freedom House; 2021 [Available from: </w:t>
      </w:r>
      <w:hyperlink r:id="rId9" w:history="1">
        <w:r w:rsidRPr="007278E2">
          <w:rPr>
            <w:rStyle w:val="aa"/>
            <w:noProof/>
          </w:rPr>
          <w:t>https://freedomhouse.org/report/freedom-world/2021/democracy-under-siege</w:t>
        </w:r>
      </w:hyperlink>
      <w:r w:rsidRPr="007278E2">
        <w:rPr>
          <w:noProof/>
        </w:rPr>
        <w:t>.</w:t>
      </w:r>
    </w:p>
    <w:p w14:paraId="12984584" w14:textId="77777777" w:rsidR="007278E2" w:rsidRPr="007278E2" w:rsidRDefault="007278E2" w:rsidP="007278E2">
      <w:pPr>
        <w:pStyle w:val="EndNoteBibliography"/>
        <w:rPr>
          <w:noProof/>
        </w:rPr>
      </w:pPr>
      <w:r w:rsidRPr="007278E2">
        <w:rPr>
          <w:noProof/>
        </w:rPr>
        <w:t>10.</w:t>
      </w:r>
      <w:r w:rsidRPr="007278E2">
        <w:rPr>
          <w:noProof/>
        </w:rPr>
        <w:tab/>
        <w:t>Levitsky S, Ziblatt D. How democracies die. First edition. ed. New York: Crown; 2018. 312 pages p.</w:t>
      </w:r>
    </w:p>
    <w:p w14:paraId="4AAD86F9" w14:textId="77777777" w:rsidR="007278E2" w:rsidRPr="007278E2" w:rsidRDefault="007278E2" w:rsidP="007278E2">
      <w:pPr>
        <w:pStyle w:val="EndNoteBibliography"/>
        <w:rPr>
          <w:noProof/>
        </w:rPr>
      </w:pPr>
      <w:r w:rsidRPr="007278E2">
        <w:rPr>
          <w:noProof/>
        </w:rPr>
        <w:t>11.</w:t>
      </w:r>
      <w:r w:rsidRPr="007278E2">
        <w:rPr>
          <w:noProof/>
        </w:rPr>
        <w:tab/>
        <w:t>Norris P, Inglehart R. Cultural Backlash2019.</w:t>
      </w:r>
    </w:p>
    <w:p w14:paraId="2C47AD65" w14:textId="77777777" w:rsidR="007278E2" w:rsidRPr="007278E2" w:rsidRDefault="007278E2" w:rsidP="007278E2">
      <w:pPr>
        <w:pStyle w:val="EndNoteBibliography"/>
        <w:rPr>
          <w:noProof/>
        </w:rPr>
      </w:pPr>
      <w:r w:rsidRPr="007278E2">
        <w:rPr>
          <w:noProof/>
        </w:rPr>
        <w:t>12.</w:t>
      </w:r>
      <w:r w:rsidRPr="007278E2">
        <w:rPr>
          <w:noProof/>
        </w:rPr>
        <w:tab/>
        <w:t>Iyengar S, Lelkes Y, Levendusky M, Malhotra N, Westwood SJ. The Origins and Consequences of Affective Polarization in the United States. Annual Review of Political Science. 2019;22(1):129-46.</w:t>
      </w:r>
    </w:p>
    <w:p w14:paraId="5BF04862" w14:textId="77777777" w:rsidR="007278E2" w:rsidRPr="007278E2" w:rsidRDefault="007278E2" w:rsidP="007278E2">
      <w:pPr>
        <w:pStyle w:val="EndNoteBibliography"/>
        <w:rPr>
          <w:noProof/>
        </w:rPr>
      </w:pPr>
      <w:r w:rsidRPr="007278E2">
        <w:rPr>
          <w:noProof/>
        </w:rPr>
        <w:t>13.</w:t>
      </w:r>
      <w:r w:rsidRPr="007278E2">
        <w:rPr>
          <w:noProof/>
        </w:rPr>
        <w:tab/>
        <w:t>Boxell L, Gentzkow M, Shapiro JM. Cross-Country Trends in Affective Polarization. Review of Economics and Statistics. 2024;106(2):557-65.</w:t>
      </w:r>
    </w:p>
    <w:p w14:paraId="408B45CC" w14:textId="77777777" w:rsidR="007278E2" w:rsidRPr="007278E2" w:rsidRDefault="007278E2" w:rsidP="007278E2">
      <w:pPr>
        <w:pStyle w:val="EndNoteBibliography"/>
        <w:rPr>
          <w:noProof/>
        </w:rPr>
      </w:pPr>
      <w:r w:rsidRPr="007278E2">
        <w:rPr>
          <w:noProof/>
        </w:rPr>
        <w:t>14.</w:t>
      </w:r>
      <w:r w:rsidRPr="007278E2">
        <w:rPr>
          <w:noProof/>
        </w:rPr>
        <w:tab/>
        <w:t>Lührmann A, Lindberg SI. A third wave of autocratization is here: what is new about it? Democratization. 2019;26(7):1095-113.</w:t>
      </w:r>
    </w:p>
    <w:p w14:paraId="31989CA3" w14:textId="77777777" w:rsidR="007278E2" w:rsidRPr="007278E2" w:rsidRDefault="007278E2" w:rsidP="007278E2">
      <w:pPr>
        <w:pStyle w:val="EndNoteBibliography"/>
        <w:rPr>
          <w:noProof/>
        </w:rPr>
      </w:pPr>
      <w:r w:rsidRPr="007278E2">
        <w:rPr>
          <w:noProof/>
        </w:rPr>
        <w:t>15.</w:t>
      </w:r>
      <w:r w:rsidRPr="007278E2">
        <w:rPr>
          <w:noProof/>
        </w:rPr>
        <w:tab/>
        <w:t>Bavel JJV, Baicker K, Boggio PS, Capraro V, Cichocka A, Cikara M, et al. Using social and behavioural science to support COVID-19 pandemic response. Nat Hum Behav. 2020;4(5):460-71.</w:t>
      </w:r>
    </w:p>
    <w:p w14:paraId="7D61F170" w14:textId="77777777" w:rsidR="007278E2" w:rsidRPr="007278E2" w:rsidRDefault="007278E2" w:rsidP="007278E2">
      <w:pPr>
        <w:pStyle w:val="EndNoteBibliography"/>
        <w:rPr>
          <w:noProof/>
        </w:rPr>
      </w:pPr>
      <w:r w:rsidRPr="007278E2">
        <w:rPr>
          <w:noProof/>
        </w:rPr>
        <w:t>16.</w:t>
      </w:r>
      <w:r w:rsidRPr="007278E2">
        <w:rPr>
          <w:noProof/>
        </w:rPr>
        <w:tab/>
        <w:t>Coppedge M, Gerring J, Knutsen CH, Lindberg SI, Teorell J, Altman D, et al. V-Dem [Country-Year/Country-Date] Dataset v15. Varieties of Democracy (V-Dem) Institute; 2025.</w:t>
      </w:r>
    </w:p>
    <w:p w14:paraId="2F0441BA" w14:textId="5ABFA569" w:rsidR="007278E2" w:rsidRPr="007278E2" w:rsidRDefault="007278E2" w:rsidP="007278E2">
      <w:pPr>
        <w:pStyle w:val="EndNoteBibliography"/>
        <w:rPr>
          <w:noProof/>
        </w:rPr>
      </w:pPr>
      <w:r w:rsidRPr="007278E2">
        <w:rPr>
          <w:noProof/>
        </w:rPr>
        <w:t>17.</w:t>
      </w:r>
      <w:r w:rsidRPr="007278E2">
        <w:rPr>
          <w:noProof/>
        </w:rPr>
        <w:tab/>
        <w:t xml:space="preserve">Guha-Sapir D, Below R, Hoyois P. EM-DAT: The CRED/OFDA International Disaster Database Brussels, Belgium: Université catholique de Louvain (UCLouvain), Centre for Research on the Epidemiology of Disasters (CRED); 2025 [Available from: </w:t>
      </w:r>
      <w:hyperlink r:id="rId10" w:history="1">
        <w:r w:rsidRPr="007278E2">
          <w:rPr>
            <w:rStyle w:val="aa"/>
            <w:noProof/>
          </w:rPr>
          <w:t>https://www.emdat.be</w:t>
        </w:r>
      </w:hyperlink>
      <w:r w:rsidRPr="007278E2">
        <w:rPr>
          <w:noProof/>
        </w:rPr>
        <w:t>.</w:t>
      </w:r>
    </w:p>
    <w:p w14:paraId="3485F165" w14:textId="77777777" w:rsidR="007278E2" w:rsidRPr="007278E2" w:rsidRDefault="007278E2" w:rsidP="007278E2">
      <w:pPr>
        <w:pStyle w:val="EndNoteBibliography"/>
        <w:rPr>
          <w:noProof/>
        </w:rPr>
      </w:pPr>
      <w:r w:rsidRPr="007278E2">
        <w:rPr>
          <w:noProof/>
        </w:rPr>
        <w:t>18.</w:t>
      </w:r>
      <w:r w:rsidRPr="007278E2">
        <w:rPr>
          <w:noProof/>
        </w:rPr>
        <w:tab/>
        <w:t xml:space="preserve">Hale T, Angrist N, Goldszmidt R, Kira B, Petherick A, Phillips T, et al. A global panel database of pandemic policies (Oxford COVID-19 Government Response Tracker). Nat Hum </w:t>
      </w:r>
      <w:r w:rsidRPr="007278E2">
        <w:rPr>
          <w:noProof/>
        </w:rPr>
        <w:lastRenderedPageBreak/>
        <w:t>Behav. 2021;5(4):529-38.</w:t>
      </w:r>
    </w:p>
    <w:p w14:paraId="7C6E1712" w14:textId="77777777" w:rsidR="007278E2" w:rsidRPr="007278E2" w:rsidRDefault="007278E2" w:rsidP="007278E2">
      <w:pPr>
        <w:pStyle w:val="EndNoteBibliography"/>
        <w:rPr>
          <w:noProof/>
        </w:rPr>
      </w:pPr>
      <w:r w:rsidRPr="007278E2">
        <w:rPr>
          <w:noProof/>
        </w:rPr>
        <w:t>19.</w:t>
      </w:r>
      <w:r w:rsidRPr="007278E2">
        <w:rPr>
          <w:noProof/>
        </w:rPr>
        <w:tab/>
        <w:t>Mathieu E, Ritchie H, Ortiz-Ospina E, Roser M, Hasell J, Appel C, et al. A global database of COVID-19 vaccinations. Nat Hum Behav. 2021;5(7):947-53.</w:t>
      </w:r>
    </w:p>
    <w:p w14:paraId="66638764" w14:textId="77777777" w:rsidR="007278E2" w:rsidRPr="007278E2" w:rsidRDefault="007278E2" w:rsidP="007278E2">
      <w:pPr>
        <w:pStyle w:val="EndNoteBibliography"/>
        <w:rPr>
          <w:noProof/>
        </w:rPr>
      </w:pPr>
      <w:r w:rsidRPr="007278E2">
        <w:rPr>
          <w:noProof/>
        </w:rPr>
        <w:t>20.</w:t>
      </w:r>
      <w:r w:rsidRPr="007278E2">
        <w:rPr>
          <w:noProof/>
        </w:rPr>
        <w:tab/>
        <w:t>Pasin GL, Szekely A, Eriksson K, Guido A, di Sorrentino EP, Andrighetto G. Evidence from 43 countries that disease leaves cultures unchanged in the short-term. Sci Rep. 2024;14(1):6502.</w:t>
      </w:r>
    </w:p>
    <w:p w14:paraId="0653BAB1" w14:textId="77777777" w:rsidR="007278E2" w:rsidRPr="007278E2" w:rsidRDefault="007278E2" w:rsidP="007278E2">
      <w:pPr>
        <w:pStyle w:val="EndNoteBibliography"/>
        <w:rPr>
          <w:noProof/>
        </w:rPr>
      </w:pPr>
      <w:r w:rsidRPr="007278E2">
        <w:rPr>
          <w:noProof/>
        </w:rPr>
        <w:t>21.</w:t>
      </w:r>
      <w:r w:rsidRPr="007278E2">
        <w:rPr>
          <w:noProof/>
        </w:rPr>
        <w:tab/>
        <w:t>Fukuyama F. Trust : the social virtues and the creation of prosperity. New York: Free Press; 1995. xv, 457 p. p.</w:t>
      </w:r>
    </w:p>
    <w:p w14:paraId="568DFE61" w14:textId="77777777" w:rsidR="007278E2" w:rsidRPr="007278E2" w:rsidRDefault="007278E2" w:rsidP="007278E2">
      <w:pPr>
        <w:pStyle w:val="EndNoteBibliography"/>
        <w:rPr>
          <w:noProof/>
        </w:rPr>
      </w:pPr>
      <w:r w:rsidRPr="007278E2">
        <w:rPr>
          <w:noProof/>
        </w:rPr>
        <w:t>22.</w:t>
      </w:r>
      <w:r w:rsidRPr="007278E2">
        <w:rPr>
          <w:noProof/>
        </w:rPr>
        <w:tab/>
        <w:t>Jankulovski S. The Challenges of International Relations in the Post-Covid Era. International Journal of Economics, Management and Tourism. 2025;5(1):117-25.</w:t>
      </w:r>
    </w:p>
    <w:p w14:paraId="1EE262F0" w14:textId="77777777" w:rsidR="007278E2" w:rsidRPr="007278E2" w:rsidRDefault="007278E2" w:rsidP="007278E2">
      <w:pPr>
        <w:pStyle w:val="EndNoteBibliography"/>
        <w:rPr>
          <w:noProof/>
        </w:rPr>
      </w:pPr>
      <w:r w:rsidRPr="007278E2">
        <w:rPr>
          <w:noProof/>
        </w:rPr>
        <w:t>23.</w:t>
      </w:r>
      <w:r w:rsidRPr="007278E2">
        <w:rPr>
          <w:noProof/>
        </w:rPr>
        <w:tab/>
        <w:t>Bargain O, Aminjonov U. Trust and compliance to public health policies in times of COVID-19. Journal of Public Economics. 2020;192.</w:t>
      </w:r>
    </w:p>
    <w:p w14:paraId="12191A1C" w14:textId="77777777" w:rsidR="007278E2" w:rsidRPr="007278E2" w:rsidRDefault="007278E2" w:rsidP="007278E2">
      <w:pPr>
        <w:pStyle w:val="EndNoteBibliography"/>
        <w:rPr>
          <w:noProof/>
        </w:rPr>
      </w:pPr>
      <w:r w:rsidRPr="007278E2">
        <w:rPr>
          <w:noProof/>
        </w:rPr>
        <w:t>24.</w:t>
      </w:r>
      <w:r w:rsidRPr="007278E2">
        <w:rPr>
          <w:noProof/>
        </w:rPr>
        <w:tab/>
        <w:t>Durante R, Guiso L, Gulino G. Asocial capital: Civic culture and social distancing during COVID-19. Journal of Public Economics. 2021;194.</w:t>
      </w:r>
    </w:p>
    <w:p w14:paraId="188711F3" w14:textId="77777777" w:rsidR="007278E2" w:rsidRPr="007278E2" w:rsidRDefault="007278E2" w:rsidP="007278E2">
      <w:pPr>
        <w:pStyle w:val="EndNoteBibliography"/>
        <w:rPr>
          <w:noProof/>
        </w:rPr>
      </w:pPr>
      <w:r w:rsidRPr="007278E2">
        <w:rPr>
          <w:noProof/>
        </w:rPr>
        <w:t>25.</w:t>
      </w:r>
      <w:r w:rsidRPr="007278E2">
        <w:rPr>
          <w:noProof/>
        </w:rPr>
        <w:tab/>
        <w:t>Bartscher AK, Seitz S, Siegloch S, Slotwinski M, Wehrhöfer N. Social capital and the spread of covid-19: Insights from european countries. Journal of Health Economics. 2021;80.</w:t>
      </w:r>
    </w:p>
    <w:p w14:paraId="62EA7B57" w14:textId="77777777" w:rsidR="007278E2" w:rsidRPr="007278E2" w:rsidRDefault="007278E2" w:rsidP="007278E2">
      <w:pPr>
        <w:pStyle w:val="EndNoteBibliography"/>
        <w:rPr>
          <w:noProof/>
        </w:rPr>
      </w:pPr>
      <w:r w:rsidRPr="007278E2">
        <w:rPr>
          <w:noProof/>
        </w:rPr>
        <w:t>26.</w:t>
      </w:r>
      <w:r w:rsidRPr="007278E2">
        <w:rPr>
          <w:noProof/>
        </w:rPr>
        <w:tab/>
        <w:t>McCarty NM, Poole KT, Rosenthal H. Polarized America : the dance of ideology and unequal riches. Second edition. ed. Cambridge, MA: MIT Press; 2016. xiv, 255 pages p.</w:t>
      </w:r>
    </w:p>
    <w:p w14:paraId="13B6C4F4" w14:textId="77777777" w:rsidR="007278E2" w:rsidRPr="007278E2" w:rsidRDefault="007278E2" w:rsidP="007278E2">
      <w:pPr>
        <w:pStyle w:val="EndNoteBibliography"/>
        <w:rPr>
          <w:noProof/>
        </w:rPr>
      </w:pPr>
      <w:r w:rsidRPr="007278E2">
        <w:rPr>
          <w:noProof/>
        </w:rPr>
        <w:t>27.</w:t>
      </w:r>
      <w:r w:rsidRPr="007278E2">
        <w:rPr>
          <w:noProof/>
        </w:rPr>
        <w:tab/>
        <w:t>Boxell L, Gentzkow M, Shapiro JM. Greater Internet use is not associated with faster growth in political polarization among US demographic groups. Proceedings of the National Academy of Sciences. 2017;114(40):10612-7.</w:t>
      </w:r>
    </w:p>
    <w:p w14:paraId="508A5B5F" w14:textId="595457BD" w:rsidR="00581EDD" w:rsidRDefault="00581EDD" w:rsidP="00581EDD">
      <w:pPr>
        <w:spacing w:line="480" w:lineRule="auto"/>
        <w:rPr>
          <w:rFonts w:ascii="Times New Roman" w:hAnsi="Times New Roman" w:cs="Times New Roman"/>
          <w:sz w:val="24"/>
        </w:rPr>
      </w:pPr>
      <w:r>
        <w:rPr>
          <w:rFonts w:ascii="Times New Roman" w:hAnsi="Times New Roman" w:cs="Times New Roman"/>
          <w:sz w:val="24"/>
        </w:rPr>
        <w:fldChar w:fldCharType="end"/>
      </w:r>
    </w:p>
    <w:p w14:paraId="508F191B" w14:textId="30C75236" w:rsidR="00581EDD" w:rsidRDefault="00581EDD" w:rsidP="00581EDD">
      <w:pPr>
        <w:spacing w:line="480" w:lineRule="auto"/>
        <w:rPr>
          <w:rFonts w:ascii="Times New Roman" w:hAnsi="Times New Roman" w:cs="Times New Roman"/>
          <w:sz w:val="24"/>
        </w:rPr>
        <w:sectPr w:rsidR="00581EDD" w:rsidSect="00765611">
          <w:pgSz w:w="11906" w:h="16838"/>
          <w:pgMar w:top="1985" w:right="1701" w:bottom="1701" w:left="1701" w:header="851" w:footer="992" w:gutter="0"/>
          <w:lnNumType w:countBy="1" w:restart="continuous"/>
          <w:cols w:space="425"/>
          <w:docGrid w:type="lines" w:linePitch="360"/>
        </w:sectPr>
      </w:pPr>
    </w:p>
    <w:p w14:paraId="5CB8EC3A" w14:textId="640ADA74" w:rsidR="000405E8" w:rsidRDefault="0099517D" w:rsidP="0099517D">
      <w:pPr>
        <w:rPr>
          <w:rFonts w:ascii="Times New Roman" w:hAnsi="Times New Roman" w:cs="Times New Roman"/>
          <w:sz w:val="24"/>
        </w:rPr>
      </w:pPr>
      <w:r w:rsidRPr="00656CB4">
        <w:rPr>
          <w:rFonts w:ascii="Times New Roman" w:hAnsi="Times New Roman" w:cs="Times New Roman"/>
          <w:b/>
          <w:bCs/>
          <w:sz w:val="24"/>
        </w:rPr>
        <w:lastRenderedPageBreak/>
        <w:t>Table 1.</w:t>
      </w:r>
      <w:r w:rsidR="00656CB4">
        <w:rPr>
          <w:rFonts w:ascii="Times New Roman" w:hAnsi="Times New Roman" w:cs="Times New Roman"/>
          <w:sz w:val="24"/>
        </w:rPr>
        <w:t xml:space="preserve"> </w:t>
      </w:r>
      <w:r w:rsidR="00656CB4" w:rsidRPr="00656CB4">
        <w:rPr>
          <w:rFonts w:ascii="Times New Roman" w:hAnsi="Times New Roman" w:cs="Times New Roman"/>
          <w:sz w:val="24"/>
        </w:rPr>
        <w:t>Associations of COVID-19 mortality and lockdown stringency with social polarization in 38 OECD countries (2019–2024)</w:t>
      </w:r>
    </w:p>
    <w:tbl>
      <w:tblPr>
        <w:tblW w:w="7904" w:type="dxa"/>
        <w:jc w:val="center"/>
        <w:tblCellMar>
          <w:left w:w="99" w:type="dxa"/>
          <w:right w:w="99" w:type="dxa"/>
        </w:tblCellMar>
        <w:tblLook w:val="04A0" w:firstRow="1" w:lastRow="0" w:firstColumn="1" w:lastColumn="0" w:noHBand="0" w:noVBand="1"/>
      </w:tblPr>
      <w:tblGrid>
        <w:gridCol w:w="3058"/>
        <w:gridCol w:w="1278"/>
        <w:gridCol w:w="1198"/>
        <w:gridCol w:w="1125"/>
        <w:gridCol w:w="1518"/>
      </w:tblGrid>
      <w:tr w:rsidR="00F44841" w:rsidRPr="00F44841" w14:paraId="277D5A3F" w14:textId="77777777" w:rsidTr="007278E2">
        <w:trPr>
          <w:trHeight w:val="680"/>
          <w:jc w:val="center"/>
        </w:trPr>
        <w:tc>
          <w:tcPr>
            <w:tcW w:w="3058" w:type="dxa"/>
            <w:tcBorders>
              <w:top w:val="single" w:sz="4" w:space="0" w:color="auto"/>
              <w:left w:val="nil"/>
              <w:bottom w:val="single" w:sz="4" w:space="0" w:color="auto"/>
              <w:right w:val="nil"/>
            </w:tcBorders>
            <w:noWrap/>
            <w:vAlign w:val="center"/>
            <w:hideMark/>
          </w:tcPr>
          <w:p w14:paraId="058370E5"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Predictor</w:t>
            </w:r>
          </w:p>
        </w:tc>
        <w:tc>
          <w:tcPr>
            <w:tcW w:w="1278" w:type="dxa"/>
            <w:tcBorders>
              <w:top w:val="single" w:sz="4" w:space="0" w:color="auto"/>
              <w:left w:val="nil"/>
              <w:bottom w:val="single" w:sz="4" w:space="0" w:color="auto"/>
              <w:right w:val="nil"/>
            </w:tcBorders>
            <w:vAlign w:val="center"/>
            <w:hideMark/>
          </w:tcPr>
          <w:p w14:paraId="1E8EB3D8"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1</w:t>
            </w:r>
            <w:r w:rsidRPr="00F44841">
              <w:rPr>
                <w:rFonts w:ascii="Times New Roman" w:eastAsia="ＭＳ Ｐゴシック" w:hAnsi="Times New Roman" w:cs="Times New Roman"/>
                <w:color w:val="1F1F1F"/>
                <w:kern w:val="0"/>
                <w:sz w:val="24"/>
              </w:rPr>
              <w:br/>
              <w:t>(Biological Threat)</w:t>
            </w:r>
          </w:p>
        </w:tc>
        <w:tc>
          <w:tcPr>
            <w:tcW w:w="1198" w:type="dxa"/>
            <w:tcBorders>
              <w:top w:val="single" w:sz="4" w:space="0" w:color="auto"/>
              <w:left w:val="nil"/>
              <w:bottom w:val="single" w:sz="4" w:space="0" w:color="auto"/>
              <w:right w:val="nil"/>
            </w:tcBorders>
            <w:vAlign w:val="center"/>
            <w:hideMark/>
          </w:tcPr>
          <w:p w14:paraId="63963737"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2</w:t>
            </w:r>
            <w:r w:rsidRPr="00F44841">
              <w:rPr>
                <w:rFonts w:ascii="Times New Roman" w:eastAsia="ＭＳ Ｐゴシック" w:hAnsi="Times New Roman" w:cs="Times New Roman"/>
                <w:color w:val="1F1F1F"/>
                <w:kern w:val="0"/>
                <w:sz w:val="24"/>
              </w:rPr>
              <w:br/>
              <w:t>(Policy Response)</w:t>
            </w:r>
          </w:p>
        </w:tc>
        <w:tc>
          <w:tcPr>
            <w:tcW w:w="1125" w:type="dxa"/>
            <w:tcBorders>
              <w:top w:val="single" w:sz="4" w:space="0" w:color="auto"/>
              <w:left w:val="nil"/>
              <w:bottom w:val="single" w:sz="4" w:space="0" w:color="auto"/>
              <w:right w:val="nil"/>
            </w:tcBorders>
            <w:vAlign w:val="center"/>
            <w:hideMark/>
          </w:tcPr>
          <w:p w14:paraId="14D11957"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3</w:t>
            </w:r>
            <w:r w:rsidRPr="00F44841">
              <w:rPr>
                <w:rFonts w:ascii="Times New Roman" w:eastAsia="ＭＳ Ｐゴシック" w:hAnsi="Times New Roman" w:cs="Times New Roman"/>
                <w:color w:val="1F1F1F"/>
                <w:kern w:val="0"/>
                <w:sz w:val="24"/>
              </w:rPr>
              <w:br/>
              <w:t>(Horse Race)</w:t>
            </w:r>
          </w:p>
        </w:tc>
        <w:tc>
          <w:tcPr>
            <w:tcW w:w="1245" w:type="dxa"/>
            <w:tcBorders>
              <w:top w:val="single" w:sz="4" w:space="0" w:color="auto"/>
              <w:left w:val="nil"/>
              <w:bottom w:val="single" w:sz="4" w:space="0" w:color="auto"/>
              <w:right w:val="nil"/>
            </w:tcBorders>
            <w:vAlign w:val="center"/>
            <w:hideMark/>
          </w:tcPr>
          <w:p w14:paraId="34C5E8B6"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4</w:t>
            </w:r>
            <w:r w:rsidRPr="00F44841">
              <w:rPr>
                <w:rFonts w:ascii="Times New Roman" w:eastAsia="ＭＳ Ｐゴシック" w:hAnsi="Times New Roman" w:cs="Times New Roman"/>
                <w:color w:val="1F1F1F"/>
                <w:kern w:val="0"/>
                <w:sz w:val="24"/>
              </w:rPr>
              <w:br/>
              <w:t>(</w:t>
            </w:r>
            <w:proofErr w:type="spellStart"/>
            <w:r w:rsidRPr="00F44841">
              <w:rPr>
                <w:rFonts w:ascii="Times New Roman" w:eastAsia="ＭＳ Ｐゴシック" w:hAnsi="Times New Roman" w:cs="Times New Roman"/>
                <w:color w:val="1F1F1F"/>
                <w:kern w:val="0"/>
                <w:sz w:val="24"/>
              </w:rPr>
              <w:t>Residualized</w:t>
            </w:r>
            <w:proofErr w:type="spellEnd"/>
            <w:r w:rsidRPr="00F44841">
              <w:rPr>
                <w:rFonts w:ascii="Times New Roman" w:eastAsia="ＭＳ Ｐゴシック" w:hAnsi="Times New Roman" w:cs="Times New Roman"/>
                <w:color w:val="1F1F1F"/>
                <w:kern w:val="0"/>
                <w:sz w:val="24"/>
              </w:rPr>
              <w:t xml:space="preserve"> Selection)</w:t>
            </w:r>
          </w:p>
        </w:tc>
      </w:tr>
      <w:tr w:rsidR="00F44841" w:rsidRPr="00F44841" w14:paraId="1C434CCD" w14:textId="77777777" w:rsidTr="007278E2">
        <w:trPr>
          <w:trHeight w:val="320"/>
          <w:jc w:val="center"/>
        </w:trPr>
        <w:tc>
          <w:tcPr>
            <w:tcW w:w="3058" w:type="dxa"/>
            <w:tcBorders>
              <w:top w:val="nil"/>
              <w:left w:val="nil"/>
              <w:bottom w:val="nil"/>
              <w:right w:val="nil"/>
            </w:tcBorders>
            <w:noWrap/>
            <w:vAlign w:val="center"/>
            <w:hideMark/>
          </w:tcPr>
          <w:p w14:paraId="0EFBEB58"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COVID-19 Mortality (log)</w:t>
            </w:r>
          </w:p>
        </w:tc>
        <w:tc>
          <w:tcPr>
            <w:tcW w:w="1278" w:type="dxa"/>
            <w:tcBorders>
              <w:top w:val="nil"/>
              <w:left w:val="nil"/>
              <w:bottom w:val="nil"/>
              <w:right w:val="nil"/>
            </w:tcBorders>
            <w:noWrap/>
            <w:vAlign w:val="center"/>
            <w:hideMark/>
          </w:tcPr>
          <w:p w14:paraId="71805B3E"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0.023</w:t>
            </w:r>
          </w:p>
        </w:tc>
        <w:tc>
          <w:tcPr>
            <w:tcW w:w="1198" w:type="dxa"/>
            <w:tcBorders>
              <w:top w:val="nil"/>
              <w:left w:val="nil"/>
              <w:bottom w:val="nil"/>
              <w:right w:val="nil"/>
            </w:tcBorders>
            <w:noWrap/>
            <w:vAlign w:val="center"/>
            <w:hideMark/>
          </w:tcPr>
          <w:p w14:paraId="64395647"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c>
          <w:tcPr>
            <w:tcW w:w="1125" w:type="dxa"/>
            <w:tcBorders>
              <w:top w:val="nil"/>
              <w:left w:val="nil"/>
              <w:bottom w:val="nil"/>
              <w:right w:val="nil"/>
            </w:tcBorders>
            <w:noWrap/>
            <w:vAlign w:val="center"/>
            <w:hideMark/>
          </w:tcPr>
          <w:p w14:paraId="06AFCC45"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0.032</w:t>
            </w:r>
          </w:p>
        </w:tc>
        <w:tc>
          <w:tcPr>
            <w:tcW w:w="1245" w:type="dxa"/>
            <w:tcBorders>
              <w:top w:val="nil"/>
              <w:left w:val="nil"/>
              <w:bottom w:val="nil"/>
              <w:right w:val="nil"/>
            </w:tcBorders>
            <w:noWrap/>
            <w:vAlign w:val="center"/>
            <w:hideMark/>
          </w:tcPr>
          <w:p w14:paraId="213C2AD1"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62C1BC6C" w14:textId="77777777" w:rsidTr="007278E2">
        <w:trPr>
          <w:trHeight w:val="320"/>
          <w:jc w:val="center"/>
        </w:trPr>
        <w:tc>
          <w:tcPr>
            <w:tcW w:w="3058" w:type="dxa"/>
            <w:tcBorders>
              <w:top w:val="nil"/>
              <w:left w:val="nil"/>
              <w:bottom w:val="nil"/>
              <w:right w:val="nil"/>
            </w:tcBorders>
            <w:noWrap/>
            <w:vAlign w:val="center"/>
            <w:hideMark/>
          </w:tcPr>
          <w:p w14:paraId="5CE602C7"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7F056FDF"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0EA1A737"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6A989D5A"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7BD9849F"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3875EA7D" w14:textId="77777777" w:rsidTr="007278E2">
        <w:trPr>
          <w:trHeight w:val="320"/>
          <w:jc w:val="center"/>
        </w:trPr>
        <w:tc>
          <w:tcPr>
            <w:tcW w:w="3058" w:type="dxa"/>
            <w:tcBorders>
              <w:top w:val="nil"/>
              <w:left w:val="nil"/>
              <w:bottom w:val="nil"/>
              <w:right w:val="nil"/>
            </w:tcBorders>
            <w:noWrap/>
            <w:vAlign w:val="center"/>
            <w:hideMark/>
          </w:tcPr>
          <w:p w14:paraId="3D667465"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1E8C1585"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-0.028</w:t>
            </w:r>
          </w:p>
        </w:tc>
        <w:tc>
          <w:tcPr>
            <w:tcW w:w="1198" w:type="dxa"/>
            <w:tcBorders>
              <w:top w:val="nil"/>
              <w:left w:val="nil"/>
              <w:bottom w:val="nil"/>
              <w:right w:val="nil"/>
            </w:tcBorders>
            <w:noWrap/>
            <w:vAlign w:val="center"/>
            <w:hideMark/>
          </w:tcPr>
          <w:p w14:paraId="7F224616"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c>
          <w:tcPr>
            <w:tcW w:w="1125" w:type="dxa"/>
            <w:tcBorders>
              <w:top w:val="nil"/>
              <w:left w:val="nil"/>
              <w:bottom w:val="nil"/>
              <w:right w:val="nil"/>
            </w:tcBorders>
            <w:noWrap/>
            <w:vAlign w:val="center"/>
            <w:hideMark/>
          </w:tcPr>
          <w:p w14:paraId="60E7B1BA"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-0.028</w:t>
            </w:r>
          </w:p>
        </w:tc>
        <w:tc>
          <w:tcPr>
            <w:tcW w:w="1245" w:type="dxa"/>
            <w:tcBorders>
              <w:top w:val="nil"/>
              <w:left w:val="nil"/>
              <w:bottom w:val="nil"/>
              <w:right w:val="nil"/>
            </w:tcBorders>
            <w:noWrap/>
            <w:vAlign w:val="center"/>
            <w:hideMark/>
          </w:tcPr>
          <w:p w14:paraId="339A1073"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6D419EB6" w14:textId="77777777" w:rsidTr="007278E2">
        <w:trPr>
          <w:trHeight w:val="320"/>
          <w:jc w:val="center"/>
        </w:trPr>
        <w:tc>
          <w:tcPr>
            <w:tcW w:w="3058" w:type="dxa"/>
            <w:tcBorders>
              <w:top w:val="nil"/>
              <w:left w:val="nil"/>
              <w:bottom w:val="nil"/>
              <w:right w:val="nil"/>
            </w:tcBorders>
            <w:noWrap/>
            <w:vAlign w:val="center"/>
            <w:hideMark/>
          </w:tcPr>
          <w:p w14:paraId="1EB187A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Lockdown Stringency</w:t>
            </w:r>
          </w:p>
        </w:tc>
        <w:tc>
          <w:tcPr>
            <w:tcW w:w="1278" w:type="dxa"/>
            <w:tcBorders>
              <w:top w:val="nil"/>
              <w:left w:val="nil"/>
              <w:bottom w:val="nil"/>
              <w:right w:val="nil"/>
            </w:tcBorders>
            <w:noWrap/>
            <w:vAlign w:val="center"/>
            <w:hideMark/>
          </w:tcPr>
          <w:p w14:paraId="1BAE5ED3"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198" w:type="dxa"/>
            <w:tcBorders>
              <w:top w:val="nil"/>
              <w:left w:val="nil"/>
              <w:bottom w:val="nil"/>
              <w:right w:val="nil"/>
            </w:tcBorders>
            <w:noWrap/>
            <w:vAlign w:val="center"/>
            <w:hideMark/>
          </w:tcPr>
          <w:p w14:paraId="0B7884DF"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-0.785</w:t>
            </w:r>
          </w:p>
        </w:tc>
        <w:tc>
          <w:tcPr>
            <w:tcW w:w="1125" w:type="dxa"/>
            <w:tcBorders>
              <w:top w:val="nil"/>
              <w:left w:val="nil"/>
              <w:bottom w:val="nil"/>
              <w:right w:val="nil"/>
            </w:tcBorders>
            <w:noWrap/>
            <w:vAlign w:val="center"/>
            <w:hideMark/>
          </w:tcPr>
          <w:p w14:paraId="298E05AD"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-0.944</w:t>
            </w:r>
          </w:p>
        </w:tc>
        <w:tc>
          <w:tcPr>
            <w:tcW w:w="1245" w:type="dxa"/>
            <w:tcBorders>
              <w:top w:val="nil"/>
              <w:left w:val="nil"/>
              <w:bottom w:val="nil"/>
              <w:right w:val="nil"/>
            </w:tcBorders>
            <w:noWrap/>
            <w:vAlign w:val="center"/>
            <w:hideMark/>
          </w:tcPr>
          <w:p w14:paraId="487C8D32"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410634FA" w14:textId="77777777" w:rsidTr="007278E2">
        <w:trPr>
          <w:trHeight w:val="320"/>
          <w:jc w:val="center"/>
        </w:trPr>
        <w:tc>
          <w:tcPr>
            <w:tcW w:w="3058" w:type="dxa"/>
            <w:tcBorders>
              <w:top w:val="nil"/>
              <w:left w:val="nil"/>
              <w:bottom w:val="nil"/>
              <w:right w:val="nil"/>
            </w:tcBorders>
            <w:noWrap/>
            <w:vAlign w:val="center"/>
            <w:hideMark/>
          </w:tcPr>
          <w:p w14:paraId="0972AD5F"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0F71D5BB"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1D210D99"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181375EF"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3DA01303"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6D67FCA6" w14:textId="77777777" w:rsidTr="007278E2">
        <w:trPr>
          <w:trHeight w:val="320"/>
          <w:jc w:val="center"/>
        </w:trPr>
        <w:tc>
          <w:tcPr>
            <w:tcW w:w="3058" w:type="dxa"/>
            <w:tcBorders>
              <w:top w:val="nil"/>
              <w:left w:val="nil"/>
              <w:bottom w:val="nil"/>
              <w:right w:val="nil"/>
            </w:tcBorders>
            <w:noWrap/>
            <w:vAlign w:val="center"/>
            <w:hideMark/>
          </w:tcPr>
          <w:p w14:paraId="262B4153"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6475D335"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17349217"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-0.632</w:t>
            </w:r>
          </w:p>
        </w:tc>
        <w:tc>
          <w:tcPr>
            <w:tcW w:w="1125" w:type="dxa"/>
            <w:tcBorders>
              <w:top w:val="nil"/>
              <w:left w:val="nil"/>
              <w:bottom w:val="nil"/>
              <w:right w:val="nil"/>
            </w:tcBorders>
            <w:noWrap/>
            <w:vAlign w:val="center"/>
            <w:hideMark/>
          </w:tcPr>
          <w:p w14:paraId="56D53D2B"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-0.623</w:t>
            </w:r>
          </w:p>
        </w:tc>
        <w:tc>
          <w:tcPr>
            <w:tcW w:w="1245" w:type="dxa"/>
            <w:tcBorders>
              <w:top w:val="nil"/>
              <w:left w:val="nil"/>
              <w:bottom w:val="nil"/>
              <w:right w:val="nil"/>
            </w:tcBorders>
            <w:noWrap/>
            <w:vAlign w:val="center"/>
            <w:hideMark/>
          </w:tcPr>
          <w:p w14:paraId="4D987908"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471E5965" w14:textId="77777777" w:rsidTr="007278E2">
        <w:trPr>
          <w:trHeight w:val="320"/>
          <w:jc w:val="center"/>
        </w:trPr>
        <w:tc>
          <w:tcPr>
            <w:tcW w:w="3058" w:type="dxa"/>
            <w:tcBorders>
              <w:top w:val="nil"/>
              <w:left w:val="nil"/>
              <w:bottom w:val="nil"/>
              <w:right w:val="nil"/>
            </w:tcBorders>
            <w:noWrap/>
            <w:vAlign w:val="center"/>
            <w:hideMark/>
          </w:tcPr>
          <w:p w14:paraId="495456DA"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Stringency (</w:t>
            </w:r>
            <w:proofErr w:type="spellStart"/>
            <w:r w:rsidRPr="00F44841">
              <w:rPr>
                <w:rFonts w:ascii="Times New Roman" w:eastAsia="ＭＳ Ｐゴシック" w:hAnsi="Times New Roman" w:cs="Times New Roman"/>
                <w:color w:val="1F1F1F"/>
                <w:kern w:val="0"/>
                <w:sz w:val="24"/>
              </w:rPr>
              <w:t>Residualized</w:t>
            </w:r>
            <w:proofErr w:type="spellEnd"/>
            <w:r w:rsidRPr="00F44841">
              <w:rPr>
                <w:rFonts w:ascii="Times New Roman" w:eastAsia="ＭＳ Ｐゴシック" w:hAnsi="Times New Roman" w:cs="Times New Roman"/>
                <w:color w:val="1F1F1F"/>
                <w:kern w:val="0"/>
                <w:sz w:val="24"/>
              </w:rPr>
              <w:t>)</w:t>
            </w:r>
          </w:p>
        </w:tc>
        <w:tc>
          <w:tcPr>
            <w:tcW w:w="1278" w:type="dxa"/>
            <w:tcBorders>
              <w:top w:val="nil"/>
              <w:left w:val="nil"/>
              <w:bottom w:val="nil"/>
              <w:right w:val="nil"/>
            </w:tcBorders>
            <w:noWrap/>
            <w:vAlign w:val="center"/>
            <w:hideMark/>
          </w:tcPr>
          <w:p w14:paraId="4394CE46"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198" w:type="dxa"/>
            <w:tcBorders>
              <w:top w:val="nil"/>
              <w:left w:val="nil"/>
              <w:bottom w:val="nil"/>
              <w:right w:val="nil"/>
            </w:tcBorders>
            <w:noWrap/>
            <w:vAlign w:val="center"/>
            <w:hideMark/>
          </w:tcPr>
          <w:p w14:paraId="3EBA2E8B"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07985F8B"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7B961130" w14:textId="293EF484"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-0.031</w:t>
            </w:r>
            <w:r w:rsidR="00916AD0" w:rsidRPr="008E14F2">
              <w:rPr>
                <w:rFonts w:ascii="Times New Roman" w:eastAsia="ＭＳ Ｐゴシック" w:hAnsi="Times New Roman" w:cs="Times New Roman"/>
                <w:color w:val="1F1F1F"/>
                <w:kern w:val="0"/>
                <w:sz w:val="24"/>
                <w:vertAlign w:val="superscript"/>
              </w:rPr>
              <w:t>*</w:t>
            </w:r>
          </w:p>
        </w:tc>
      </w:tr>
      <w:tr w:rsidR="00F44841" w:rsidRPr="00F44841" w14:paraId="469D3E5B" w14:textId="77777777" w:rsidTr="007278E2">
        <w:trPr>
          <w:trHeight w:val="320"/>
          <w:jc w:val="center"/>
        </w:trPr>
        <w:tc>
          <w:tcPr>
            <w:tcW w:w="3058" w:type="dxa"/>
            <w:tcBorders>
              <w:top w:val="nil"/>
              <w:left w:val="nil"/>
              <w:bottom w:val="nil"/>
              <w:right w:val="nil"/>
            </w:tcBorders>
            <w:noWrap/>
            <w:vAlign w:val="center"/>
            <w:hideMark/>
          </w:tcPr>
          <w:p w14:paraId="72585460"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278" w:type="dxa"/>
            <w:tcBorders>
              <w:top w:val="nil"/>
              <w:left w:val="nil"/>
              <w:bottom w:val="nil"/>
              <w:right w:val="nil"/>
            </w:tcBorders>
            <w:noWrap/>
            <w:vAlign w:val="center"/>
            <w:hideMark/>
          </w:tcPr>
          <w:p w14:paraId="41A9DB2A"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2C49B080"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2204FAF7"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341C8EC1"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38A6C610" w14:textId="77777777" w:rsidTr="007278E2">
        <w:trPr>
          <w:trHeight w:val="320"/>
          <w:jc w:val="center"/>
        </w:trPr>
        <w:tc>
          <w:tcPr>
            <w:tcW w:w="3058" w:type="dxa"/>
            <w:tcBorders>
              <w:top w:val="nil"/>
              <w:left w:val="nil"/>
              <w:bottom w:val="nil"/>
              <w:right w:val="nil"/>
            </w:tcBorders>
            <w:noWrap/>
            <w:vAlign w:val="center"/>
            <w:hideMark/>
          </w:tcPr>
          <w:p w14:paraId="196E0466"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2CAB80A4"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4A72E746"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351F3E26"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0AA009D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(0.019)</w:t>
            </w:r>
          </w:p>
        </w:tc>
      </w:tr>
      <w:tr w:rsidR="00F44841" w:rsidRPr="00F44841" w14:paraId="5FA561F1" w14:textId="77777777" w:rsidTr="007278E2">
        <w:trPr>
          <w:trHeight w:val="320"/>
          <w:jc w:val="center"/>
        </w:trPr>
        <w:tc>
          <w:tcPr>
            <w:tcW w:w="3058" w:type="dxa"/>
            <w:tcBorders>
              <w:top w:val="nil"/>
              <w:left w:val="nil"/>
              <w:bottom w:val="nil"/>
              <w:right w:val="nil"/>
            </w:tcBorders>
            <w:noWrap/>
            <w:vAlign w:val="center"/>
            <w:hideMark/>
          </w:tcPr>
          <w:p w14:paraId="710933C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278" w:type="dxa"/>
            <w:tcBorders>
              <w:top w:val="nil"/>
              <w:left w:val="nil"/>
              <w:bottom w:val="nil"/>
              <w:right w:val="nil"/>
            </w:tcBorders>
            <w:noWrap/>
            <w:vAlign w:val="center"/>
            <w:hideMark/>
          </w:tcPr>
          <w:p w14:paraId="0914E6BD"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01E49B09"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3A1C487D"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6A15C14C"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12505CED" w14:textId="77777777" w:rsidTr="007278E2">
        <w:trPr>
          <w:trHeight w:val="320"/>
          <w:jc w:val="center"/>
        </w:trPr>
        <w:tc>
          <w:tcPr>
            <w:tcW w:w="3058" w:type="dxa"/>
            <w:tcBorders>
              <w:top w:val="nil"/>
              <w:left w:val="nil"/>
              <w:bottom w:val="nil"/>
              <w:right w:val="nil"/>
            </w:tcBorders>
            <w:noWrap/>
            <w:vAlign w:val="center"/>
            <w:hideMark/>
          </w:tcPr>
          <w:p w14:paraId="66AB3284"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Observations</w:t>
            </w:r>
          </w:p>
        </w:tc>
        <w:tc>
          <w:tcPr>
            <w:tcW w:w="1278" w:type="dxa"/>
            <w:tcBorders>
              <w:top w:val="nil"/>
              <w:left w:val="nil"/>
              <w:bottom w:val="nil"/>
              <w:right w:val="nil"/>
            </w:tcBorders>
            <w:noWrap/>
            <w:vAlign w:val="center"/>
            <w:hideMark/>
          </w:tcPr>
          <w:p w14:paraId="50BDD53B"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380</w:t>
            </w:r>
          </w:p>
        </w:tc>
        <w:tc>
          <w:tcPr>
            <w:tcW w:w="1198" w:type="dxa"/>
            <w:tcBorders>
              <w:top w:val="nil"/>
              <w:left w:val="nil"/>
              <w:bottom w:val="nil"/>
              <w:right w:val="nil"/>
            </w:tcBorders>
            <w:noWrap/>
            <w:vAlign w:val="center"/>
            <w:hideMark/>
          </w:tcPr>
          <w:p w14:paraId="1DAA2C20"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380</w:t>
            </w:r>
          </w:p>
        </w:tc>
        <w:tc>
          <w:tcPr>
            <w:tcW w:w="1125" w:type="dxa"/>
            <w:tcBorders>
              <w:top w:val="nil"/>
              <w:left w:val="nil"/>
              <w:bottom w:val="nil"/>
              <w:right w:val="nil"/>
            </w:tcBorders>
            <w:noWrap/>
            <w:vAlign w:val="center"/>
            <w:hideMark/>
          </w:tcPr>
          <w:p w14:paraId="246B8C7C"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380</w:t>
            </w:r>
          </w:p>
        </w:tc>
        <w:tc>
          <w:tcPr>
            <w:tcW w:w="1245" w:type="dxa"/>
            <w:tcBorders>
              <w:top w:val="nil"/>
              <w:left w:val="nil"/>
              <w:bottom w:val="nil"/>
              <w:right w:val="nil"/>
            </w:tcBorders>
            <w:noWrap/>
            <w:vAlign w:val="center"/>
            <w:hideMark/>
          </w:tcPr>
          <w:p w14:paraId="4CF9481D"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w:t>
            </w:r>
          </w:p>
        </w:tc>
      </w:tr>
      <w:tr w:rsidR="00F44841" w:rsidRPr="00F44841" w14:paraId="0BBB60E0" w14:textId="77777777" w:rsidTr="007278E2">
        <w:trPr>
          <w:trHeight w:val="320"/>
          <w:jc w:val="center"/>
        </w:trPr>
        <w:tc>
          <w:tcPr>
            <w:tcW w:w="3058" w:type="dxa"/>
            <w:tcBorders>
              <w:top w:val="nil"/>
              <w:left w:val="nil"/>
              <w:bottom w:val="nil"/>
              <w:right w:val="nil"/>
            </w:tcBorders>
            <w:noWrap/>
            <w:vAlign w:val="center"/>
            <w:hideMark/>
          </w:tcPr>
          <w:p w14:paraId="3009A227" w14:textId="4D782C63"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R</w:t>
            </w:r>
            <w:r w:rsidR="00656CB4" w:rsidRPr="00656CB4">
              <w:rPr>
                <w:rFonts w:ascii="Times New Roman" w:eastAsia="ＭＳ Ｐゴシック" w:hAnsi="Times New Roman" w:cs="Times New Roman"/>
                <w:color w:val="1F1F1F"/>
                <w:kern w:val="0"/>
                <w:sz w:val="24"/>
                <w:vertAlign w:val="superscript"/>
              </w:rPr>
              <w:t>2</w:t>
            </w:r>
            <w:r w:rsidRPr="00F44841">
              <w:rPr>
                <w:rFonts w:ascii="Times New Roman" w:eastAsia="ＭＳ Ｐゴシック" w:hAnsi="Times New Roman" w:cs="Times New Roman"/>
                <w:color w:val="1F1F1F"/>
                <w:kern w:val="0"/>
                <w:sz w:val="24"/>
              </w:rPr>
              <w:t xml:space="preserve"> (Within / Adj.)</w:t>
            </w:r>
          </w:p>
        </w:tc>
        <w:tc>
          <w:tcPr>
            <w:tcW w:w="1278" w:type="dxa"/>
            <w:tcBorders>
              <w:top w:val="nil"/>
              <w:left w:val="nil"/>
              <w:bottom w:val="nil"/>
              <w:right w:val="nil"/>
            </w:tcBorders>
            <w:noWrap/>
            <w:vAlign w:val="center"/>
            <w:hideMark/>
          </w:tcPr>
          <w:p w14:paraId="7C9E7287"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-0.069</w:t>
            </w:r>
          </w:p>
        </w:tc>
        <w:tc>
          <w:tcPr>
            <w:tcW w:w="1198" w:type="dxa"/>
            <w:tcBorders>
              <w:top w:val="nil"/>
              <w:left w:val="nil"/>
              <w:bottom w:val="nil"/>
              <w:right w:val="nil"/>
            </w:tcBorders>
            <w:noWrap/>
            <w:vAlign w:val="center"/>
            <w:hideMark/>
          </w:tcPr>
          <w:p w14:paraId="659CA65E"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-0.211</w:t>
            </w:r>
          </w:p>
        </w:tc>
        <w:tc>
          <w:tcPr>
            <w:tcW w:w="1125" w:type="dxa"/>
            <w:tcBorders>
              <w:top w:val="nil"/>
              <w:left w:val="nil"/>
              <w:bottom w:val="nil"/>
              <w:right w:val="nil"/>
            </w:tcBorders>
            <w:noWrap/>
            <w:vAlign w:val="center"/>
            <w:hideMark/>
          </w:tcPr>
          <w:p w14:paraId="45A7519E"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-0.155</w:t>
            </w:r>
          </w:p>
        </w:tc>
        <w:tc>
          <w:tcPr>
            <w:tcW w:w="1245" w:type="dxa"/>
            <w:tcBorders>
              <w:top w:val="nil"/>
              <w:left w:val="nil"/>
              <w:bottom w:val="nil"/>
              <w:right w:val="nil"/>
            </w:tcBorders>
            <w:noWrap/>
            <w:vAlign w:val="center"/>
            <w:hideMark/>
          </w:tcPr>
          <w:p w14:paraId="3EF302B3"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0.081</w:t>
            </w:r>
          </w:p>
        </w:tc>
      </w:tr>
      <w:tr w:rsidR="00F44841" w:rsidRPr="00F44841" w14:paraId="778E6791" w14:textId="77777777" w:rsidTr="007278E2">
        <w:trPr>
          <w:trHeight w:val="320"/>
          <w:jc w:val="center"/>
        </w:trPr>
        <w:tc>
          <w:tcPr>
            <w:tcW w:w="3058" w:type="dxa"/>
            <w:tcBorders>
              <w:top w:val="nil"/>
              <w:left w:val="nil"/>
              <w:bottom w:val="nil"/>
              <w:right w:val="nil"/>
            </w:tcBorders>
            <w:noWrap/>
            <w:vAlign w:val="center"/>
            <w:hideMark/>
          </w:tcPr>
          <w:p w14:paraId="2E802EA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Country FE</w:t>
            </w:r>
          </w:p>
        </w:tc>
        <w:tc>
          <w:tcPr>
            <w:tcW w:w="1278" w:type="dxa"/>
            <w:tcBorders>
              <w:top w:val="nil"/>
              <w:left w:val="nil"/>
              <w:bottom w:val="nil"/>
              <w:right w:val="nil"/>
            </w:tcBorders>
            <w:noWrap/>
            <w:vAlign w:val="center"/>
            <w:hideMark/>
          </w:tcPr>
          <w:p w14:paraId="068B1FEE"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98" w:type="dxa"/>
            <w:tcBorders>
              <w:top w:val="nil"/>
              <w:left w:val="nil"/>
              <w:bottom w:val="nil"/>
              <w:right w:val="nil"/>
            </w:tcBorders>
            <w:noWrap/>
            <w:vAlign w:val="center"/>
            <w:hideMark/>
          </w:tcPr>
          <w:p w14:paraId="22549DB8"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25" w:type="dxa"/>
            <w:tcBorders>
              <w:top w:val="nil"/>
              <w:left w:val="nil"/>
              <w:bottom w:val="nil"/>
              <w:right w:val="nil"/>
            </w:tcBorders>
            <w:noWrap/>
            <w:vAlign w:val="center"/>
            <w:hideMark/>
          </w:tcPr>
          <w:p w14:paraId="23334E6C"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245" w:type="dxa"/>
            <w:tcBorders>
              <w:top w:val="nil"/>
              <w:left w:val="nil"/>
              <w:bottom w:val="nil"/>
              <w:right w:val="nil"/>
            </w:tcBorders>
            <w:noWrap/>
            <w:vAlign w:val="center"/>
            <w:hideMark/>
          </w:tcPr>
          <w:p w14:paraId="02545004"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No</w:t>
            </w:r>
          </w:p>
        </w:tc>
      </w:tr>
      <w:tr w:rsidR="00F44841" w:rsidRPr="00F44841" w14:paraId="25A86035" w14:textId="77777777" w:rsidTr="007278E2">
        <w:trPr>
          <w:trHeight w:val="320"/>
          <w:jc w:val="center"/>
        </w:trPr>
        <w:tc>
          <w:tcPr>
            <w:tcW w:w="3058" w:type="dxa"/>
            <w:tcBorders>
              <w:top w:val="nil"/>
              <w:left w:val="nil"/>
              <w:bottom w:val="single" w:sz="4" w:space="0" w:color="auto"/>
              <w:right w:val="nil"/>
            </w:tcBorders>
            <w:noWrap/>
            <w:vAlign w:val="center"/>
            <w:hideMark/>
          </w:tcPr>
          <w:p w14:paraId="2D2815C6"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Year FE</w:t>
            </w:r>
          </w:p>
        </w:tc>
        <w:tc>
          <w:tcPr>
            <w:tcW w:w="1278" w:type="dxa"/>
            <w:tcBorders>
              <w:top w:val="nil"/>
              <w:left w:val="nil"/>
              <w:bottom w:val="single" w:sz="4" w:space="0" w:color="auto"/>
              <w:right w:val="nil"/>
            </w:tcBorders>
            <w:noWrap/>
            <w:vAlign w:val="center"/>
            <w:hideMark/>
          </w:tcPr>
          <w:p w14:paraId="75D80D24"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98" w:type="dxa"/>
            <w:tcBorders>
              <w:top w:val="nil"/>
              <w:left w:val="nil"/>
              <w:bottom w:val="single" w:sz="4" w:space="0" w:color="auto"/>
              <w:right w:val="nil"/>
            </w:tcBorders>
            <w:noWrap/>
            <w:vAlign w:val="center"/>
            <w:hideMark/>
          </w:tcPr>
          <w:p w14:paraId="7C7D1177"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25" w:type="dxa"/>
            <w:tcBorders>
              <w:top w:val="nil"/>
              <w:left w:val="nil"/>
              <w:bottom w:val="single" w:sz="4" w:space="0" w:color="auto"/>
              <w:right w:val="nil"/>
            </w:tcBorders>
            <w:noWrap/>
            <w:vAlign w:val="center"/>
            <w:hideMark/>
          </w:tcPr>
          <w:p w14:paraId="6513F7F1"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245" w:type="dxa"/>
            <w:tcBorders>
              <w:top w:val="nil"/>
              <w:left w:val="nil"/>
              <w:bottom w:val="single" w:sz="4" w:space="0" w:color="auto"/>
              <w:right w:val="nil"/>
            </w:tcBorders>
            <w:noWrap/>
            <w:vAlign w:val="center"/>
            <w:hideMark/>
          </w:tcPr>
          <w:p w14:paraId="4A1BC02D"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No</w:t>
            </w:r>
          </w:p>
        </w:tc>
      </w:tr>
    </w:tbl>
    <w:p w14:paraId="7FD06E0A" w14:textId="0039CF30" w:rsidR="0099517D" w:rsidRPr="0099517D" w:rsidRDefault="0099517D" w:rsidP="0099517D">
      <w:pPr>
        <w:rPr>
          <w:rFonts w:ascii="Times New Roman" w:hAnsi="Times New Roman" w:cs="Times New Roman"/>
          <w:sz w:val="24"/>
        </w:rPr>
      </w:pPr>
      <w:r w:rsidRPr="0099517D">
        <w:rPr>
          <w:rFonts w:ascii="Times New Roman" w:hAnsi="Times New Roman" w:cs="Times New Roman"/>
          <w:sz w:val="24"/>
        </w:rPr>
        <w:t xml:space="preserve">Dependent variable is the annual change in social polarization (first-differenced v2smpolsoc). Positive coefficients indicate an increase in polarization (decrease in cohesion), negative coefficients indicate a decrease in polarization (increase in cohesion). Models 1–3 are estimated using Two-Way Fixed Effects (TWFE) with standard errors clustered by country (in parentheses). Model 4 is a cross-sectional OLS regression where both the outcome and the predictor are </w:t>
      </w:r>
      <w:proofErr w:type="spellStart"/>
      <w:r w:rsidRPr="0099517D">
        <w:rPr>
          <w:rFonts w:ascii="Times New Roman" w:hAnsi="Times New Roman" w:cs="Times New Roman"/>
          <w:sz w:val="24"/>
        </w:rPr>
        <w:t>residualized</w:t>
      </w:r>
      <w:proofErr w:type="spellEnd"/>
      <w:r w:rsidRPr="0099517D">
        <w:rPr>
          <w:rFonts w:ascii="Times New Roman" w:hAnsi="Times New Roman" w:cs="Times New Roman"/>
          <w:sz w:val="24"/>
        </w:rPr>
        <w:t xml:space="preserve"> on 2019 baseline social cohesion.</w:t>
      </w:r>
    </w:p>
    <w:p w14:paraId="62FF51BC" w14:textId="77777777" w:rsidR="0099517D" w:rsidRPr="0099517D" w:rsidRDefault="0099517D" w:rsidP="0099517D">
      <w:pPr>
        <w:rPr>
          <w:rFonts w:ascii="Times New Roman" w:hAnsi="Times New Roman" w:cs="Times New Roman"/>
          <w:sz w:val="24"/>
        </w:rPr>
      </w:pPr>
    </w:p>
    <w:p w14:paraId="77EF753B" w14:textId="3A766C55" w:rsidR="00656CB4" w:rsidRDefault="00916AD0" w:rsidP="00656CB4">
      <w:pPr>
        <w:rPr>
          <w:rFonts w:ascii="Times New Roman" w:hAnsi="Times New Roman" w:cs="Times New Roman"/>
          <w:sz w:val="24"/>
        </w:rPr>
      </w:pPr>
      <w:r>
        <w:rPr>
          <w:rFonts w:ascii="Times New Roman" w:hAnsi="Times New Roman" w:cs="Times New Roman"/>
          <w:sz w:val="24"/>
          <w:vertAlign w:val="superscript"/>
        </w:rPr>
        <w:t>*</w:t>
      </w:r>
      <w:r w:rsidR="0099517D" w:rsidRPr="0099517D">
        <w:rPr>
          <w:rFonts w:ascii="Times New Roman" w:hAnsi="Times New Roman" w:cs="Times New Roman"/>
          <w:sz w:val="24"/>
        </w:rPr>
        <w:t xml:space="preserve"> p &lt; 0.10</w:t>
      </w:r>
      <w:r w:rsidR="00656CB4">
        <w:rPr>
          <w:rFonts w:ascii="Times New Roman" w:hAnsi="Times New Roman" w:cs="Times New Roman"/>
          <w:sz w:val="24"/>
        </w:rPr>
        <w:t>.</w:t>
      </w:r>
    </w:p>
    <w:p w14:paraId="35477E28" w14:textId="5CF6DFE2" w:rsidR="0099517D" w:rsidRDefault="0099517D" w:rsidP="0099517D">
      <w:pPr>
        <w:rPr>
          <w:rFonts w:ascii="Times New Roman" w:hAnsi="Times New Roman" w:cs="Times New Roman"/>
          <w:sz w:val="24"/>
        </w:rPr>
        <w:sectPr w:rsidR="0099517D" w:rsidSect="00765611">
          <w:pgSz w:w="11906" w:h="16838"/>
          <w:pgMar w:top="1985" w:right="1701" w:bottom="1701" w:left="1701" w:header="851" w:footer="992" w:gutter="0"/>
          <w:lnNumType w:countBy="1" w:restart="continuous"/>
          <w:cols w:space="425"/>
          <w:docGrid w:type="lines" w:linePitch="360"/>
        </w:sectPr>
      </w:pPr>
    </w:p>
    <w:p w14:paraId="1EAF4317" w14:textId="3838C909"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1.</w:t>
      </w:r>
      <w:r w:rsidR="00307615">
        <w:rPr>
          <w:rFonts w:ascii="Times New Roman" w:hAnsi="Times New Roman" w:cs="Times New Roman"/>
          <w:sz w:val="24"/>
        </w:rPr>
        <w:t xml:space="preserve"> </w:t>
      </w:r>
      <w:r w:rsidR="00307615" w:rsidRPr="00307615">
        <w:rPr>
          <w:rFonts w:ascii="Times New Roman" w:hAnsi="Times New Roman" w:cs="Times New Roman"/>
          <w:sz w:val="24"/>
        </w:rPr>
        <w:t>Trends in Social Cohesion across OECD Countries (2010–2024)</w:t>
      </w:r>
    </w:p>
    <w:p w14:paraId="14330F69" w14:textId="77777777" w:rsidR="000405E8" w:rsidRDefault="000405E8"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314ACB23" wp14:editId="4F05BAA6">
            <wp:extent cx="5400040" cy="3194685"/>
            <wp:effectExtent l="0" t="0" r="0" b="5715"/>
            <wp:docPr id="739806287"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06287" name="図 1" descr="グラフ, 折れ線グラフ&#10;&#10;AI 生成コンテンツは誤りを含む可能性がありま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194685"/>
                    </a:xfrm>
                    <a:prstGeom prst="rect">
                      <a:avLst/>
                    </a:prstGeom>
                  </pic:spPr>
                </pic:pic>
              </a:graphicData>
            </a:graphic>
          </wp:inline>
        </w:drawing>
      </w:r>
    </w:p>
    <w:p w14:paraId="7F303076" w14:textId="606BDF32" w:rsidR="00307615" w:rsidRDefault="00307615" w:rsidP="00307615">
      <w:pPr>
        <w:jc w:val="left"/>
        <w:rPr>
          <w:rFonts w:ascii="Times New Roman" w:hAnsi="Times New Roman" w:cs="Times New Roman"/>
          <w:sz w:val="24"/>
        </w:rPr>
        <w:sectPr w:rsidR="00307615" w:rsidSect="00765611">
          <w:pgSz w:w="11906" w:h="16838"/>
          <w:pgMar w:top="1985" w:right="1701" w:bottom="1701" w:left="1701" w:header="851" w:footer="992" w:gutter="0"/>
          <w:lnNumType w:countBy="1" w:restart="continuous"/>
          <w:cols w:space="425"/>
          <w:docGrid w:type="lines" w:linePitch="360"/>
        </w:sectPr>
      </w:pPr>
      <w:r w:rsidRPr="00307615">
        <w:rPr>
          <w:rFonts w:ascii="Times New Roman" w:hAnsi="Times New Roman" w:cs="Times New Roman"/>
          <w:sz w:val="24"/>
        </w:rPr>
        <w:t>The solid blue line represents the mean Social Cohesion Index (V-Dem: v2smpolsoc) across 38 OECD nations, with the shaded area indicating the 95% confidence interval. Higher values denote greater social cohesion; lower values denote deeper polarization. The vertical dashed line marks the onset of the COVID-19 pandemic (2020). The trend shows a structural, monotonic decline in cohesion that predates the pandemic and continues without significant acceleration during the crisis period.</w:t>
      </w:r>
    </w:p>
    <w:p w14:paraId="674470B1" w14:textId="67D2E11B"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2.</w:t>
      </w:r>
      <w:r w:rsidR="00307615">
        <w:rPr>
          <w:rFonts w:ascii="Times New Roman" w:hAnsi="Times New Roman" w:cs="Times New Roman"/>
          <w:sz w:val="24"/>
        </w:rPr>
        <w:t xml:space="preserve"> </w:t>
      </w:r>
      <w:r w:rsidR="00307615" w:rsidRPr="00307615">
        <w:rPr>
          <w:rFonts w:ascii="Times New Roman" w:hAnsi="Times New Roman" w:cs="Times New Roman"/>
          <w:sz w:val="24"/>
        </w:rPr>
        <w:t>Horse Race Model: The Null Effects of Biological Threat and Policy Response on Social Polarization</w:t>
      </w:r>
    </w:p>
    <w:p w14:paraId="0829F2A2" w14:textId="77777777" w:rsidR="000405E8" w:rsidRDefault="000405E8"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0FA397AE" wp14:editId="7DFC318C">
            <wp:extent cx="5400040" cy="2957830"/>
            <wp:effectExtent l="0" t="0" r="0" b="1270"/>
            <wp:docPr id="1195784562" name="図 2"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84562" name="図 2" descr="グラフ, 折れ線グラフ&#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957830"/>
                    </a:xfrm>
                    <a:prstGeom prst="rect">
                      <a:avLst/>
                    </a:prstGeom>
                  </pic:spPr>
                </pic:pic>
              </a:graphicData>
            </a:graphic>
          </wp:inline>
        </w:drawing>
      </w:r>
    </w:p>
    <w:p w14:paraId="742D92EC" w14:textId="2C89341A" w:rsidR="00307615" w:rsidRDefault="00307615" w:rsidP="00307615">
      <w:pPr>
        <w:jc w:val="left"/>
        <w:rPr>
          <w:rFonts w:ascii="Times New Roman" w:hAnsi="Times New Roman" w:cs="Times New Roman"/>
          <w:sz w:val="24"/>
        </w:rPr>
        <w:sectPr w:rsidR="00307615" w:rsidSect="00765611">
          <w:pgSz w:w="11906" w:h="16838"/>
          <w:pgMar w:top="1985" w:right="1701" w:bottom="1701" w:left="1701" w:header="851" w:footer="992" w:gutter="0"/>
          <w:lnNumType w:countBy="1" w:restart="continuous"/>
          <w:cols w:space="425"/>
          <w:docGrid w:type="lines" w:linePitch="360"/>
        </w:sectPr>
      </w:pPr>
      <w:r w:rsidRPr="00307615">
        <w:rPr>
          <w:rFonts w:ascii="Times New Roman" w:hAnsi="Times New Roman" w:cs="Times New Roman"/>
          <w:sz w:val="24"/>
        </w:rPr>
        <w:t>Coefficient estimates from the Two-Way Fixed Effects "Horse Race" specification (Model 3) predicting the annual change in social polarization. Points represent point estimates (</w:t>
      </w:r>
      <m:oMath>
        <m:acc>
          <m:accPr>
            <m:ctrlPr>
              <w:rPr>
                <w:rFonts w:ascii="Cambria Math" w:hAnsi="Cambria Math" w:cs="Times New Roman"/>
                <w:i/>
                <w:sz w:val="24"/>
              </w:rPr>
            </m:ctrlPr>
          </m:accPr>
          <m:e>
            <m:r>
              <w:rPr>
                <w:rFonts w:ascii="Cambria Math" w:hAnsi="Cambria Math" w:cs="Times New Roman"/>
                <w:sz w:val="24"/>
              </w:rPr>
              <m:t>β</m:t>
            </m:r>
          </m:e>
        </m:acc>
      </m:oMath>
      <w:r w:rsidRPr="00307615">
        <w:rPr>
          <w:rFonts w:ascii="Times New Roman" w:hAnsi="Times New Roman" w:cs="Times New Roman"/>
          <w:sz w:val="24"/>
        </w:rPr>
        <w:t>), and horizontal bars represent 95% confidence intervals. Neither COVID-19 Mortality (log deaths per million) nor Lockdown Stringency (0–100) shows a statistically significant association with changes in polarization, as both confidence intervals cross the zero line.</w:t>
      </w:r>
    </w:p>
    <w:p w14:paraId="7D81B5EF" w14:textId="4BB4DCE9"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3.</w:t>
      </w:r>
      <w:r w:rsidR="00307615">
        <w:rPr>
          <w:rFonts w:ascii="Times New Roman" w:hAnsi="Times New Roman" w:cs="Times New Roman"/>
          <w:sz w:val="24"/>
        </w:rPr>
        <w:t xml:space="preserve"> </w:t>
      </w:r>
      <w:r w:rsidR="00307615" w:rsidRPr="00307615">
        <w:rPr>
          <w:rFonts w:ascii="Times New Roman" w:hAnsi="Times New Roman" w:cs="Times New Roman"/>
          <w:sz w:val="24"/>
        </w:rPr>
        <w:t>The Paradox of Pandemic Governance: Pre-existing Social Cohesion Determined Lockdown Stringency</w:t>
      </w:r>
    </w:p>
    <w:p w14:paraId="0E91FBCA" w14:textId="260B2EEF" w:rsidR="000405E8" w:rsidRDefault="00307615"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1614417F" wp14:editId="6F301B01">
            <wp:extent cx="5400040" cy="3894455"/>
            <wp:effectExtent l="0" t="0" r="0" b="4445"/>
            <wp:docPr id="1790488553" name="図 4"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8553" name="図 4" descr="グラフ, 散布図&#10;&#10;AI 生成コンテンツは誤りを含む可能性がありま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894455"/>
                    </a:xfrm>
                    <a:prstGeom prst="rect">
                      <a:avLst/>
                    </a:prstGeom>
                  </pic:spPr>
                </pic:pic>
              </a:graphicData>
            </a:graphic>
          </wp:inline>
        </w:drawing>
      </w:r>
    </w:p>
    <w:p w14:paraId="2F238987" w14:textId="2D3A464C" w:rsidR="00307615" w:rsidRPr="005C61C4" w:rsidRDefault="00307615" w:rsidP="00307615">
      <w:pPr>
        <w:jc w:val="left"/>
        <w:rPr>
          <w:rFonts w:ascii="Times New Roman" w:hAnsi="Times New Roman" w:cs="Times New Roman"/>
          <w:sz w:val="24"/>
        </w:rPr>
      </w:pPr>
      <w:r w:rsidRPr="00307615">
        <w:rPr>
          <w:rFonts w:ascii="Times New Roman" w:hAnsi="Times New Roman" w:cs="Times New Roman"/>
          <w:sz w:val="24"/>
        </w:rPr>
        <w:t>Scatter plot showing the relationship between pre-pandemic social cohesion (2019 baseline) and mean lockdown stringency (2020–2021) across 38 OECD countries. The regression line (with 95% confidence band) reveals a strong negative correlation (r = -0.51, p = 0.001). Countries in the bottom-right quadrant ("Voluntary Compliance") leveraged high social trust to maintain low stringency, while countries in the top-left quadrant ("Coercive Response") were structurally compelled to adopt strict mandates due to low pre-existing cohesion. Labels correspond to ISO-3 country codes.</w:t>
      </w:r>
    </w:p>
    <w:sectPr w:rsidR="00307615" w:rsidRPr="005C61C4" w:rsidSect="00765611">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549F" w14:textId="77777777" w:rsidR="008A0250" w:rsidRDefault="008A0250" w:rsidP="00765611">
      <w:r>
        <w:separator/>
      </w:r>
    </w:p>
  </w:endnote>
  <w:endnote w:type="continuationSeparator" w:id="0">
    <w:p w14:paraId="7A8BCC7B" w14:textId="77777777" w:rsidR="008A0250" w:rsidRDefault="008A0250" w:rsidP="00765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289356856"/>
      <w:docPartObj>
        <w:docPartGallery w:val="Page Numbers (Bottom of Page)"/>
        <w:docPartUnique/>
      </w:docPartObj>
    </w:sdtPr>
    <w:sdtContent>
      <w:p w14:paraId="617CA761" w14:textId="33CCF9AD" w:rsidR="00765611" w:rsidRDefault="00765611" w:rsidP="00BD3D00">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5DECD38D" w14:textId="77777777" w:rsidR="00765611" w:rsidRDefault="00765611" w:rsidP="00765611">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921210365"/>
      <w:docPartObj>
        <w:docPartGallery w:val="Page Numbers (Bottom of Page)"/>
        <w:docPartUnique/>
      </w:docPartObj>
    </w:sdtPr>
    <w:sdtContent>
      <w:p w14:paraId="38883E34" w14:textId="6A9CC858" w:rsidR="00765611" w:rsidRDefault="00765611" w:rsidP="00BD3D00">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09BD26DA" w14:textId="77777777" w:rsidR="00765611" w:rsidRDefault="00765611" w:rsidP="00765611">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D46B4" w14:textId="77777777" w:rsidR="008A0250" w:rsidRDefault="008A0250" w:rsidP="00765611">
      <w:r>
        <w:separator/>
      </w:r>
    </w:p>
  </w:footnote>
  <w:footnote w:type="continuationSeparator" w:id="0">
    <w:p w14:paraId="0F1B9F7F" w14:textId="77777777" w:rsidR="008A0250" w:rsidRDefault="008A0250" w:rsidP="007656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Vancouver&lt;/Style&gt;&lt;LeftDelim&gt;{&lt;/LeftDelim&gt;&lt;RightDelim&gt;}&lt;/RightDelim&gt;&lt;FontName&gt;游明朝&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5x9axpzsz5twaew5s0500tr90zzfepxexte&quot;&gt;My EndNote Library&lt;record-ids&gt;&lt;item&gt;1087&lt;/item&gt;&lt;item&gt;1089&lt;/item&gt;&lt;item&gt;1091&lt;/item&gt;&lt;item&gt;1093&lt;/item&gt;&lt;item&gt;1095&lt;/item&gt;&lt;item&gt;1096&lt;/item&gt;&lt;item&gt;1097&lt;/item&gt;&lt;item&gt;1098&lt;/item&gt;&lt;item&gt;1099&lt;/item&gt;&lt;item&gt;1100&lt;/item&gt;&lt;item&gt;1101&lt;/item&gt;&lt;item&gt;1102&lt;/item&gt;&lt;item&gt;1104&lt;/item&gt;&lt;item&gt;1105&lt;/item&gt;&lt;item&gt;1106&lt;/item&gt;&lt;item&gt;1109&lt;/item&gt;&lt;item&gt;1110&lt;/item&gt;&lt;item&gt;1111&lt;/item&gt;&lt;item&gt;1114&lt;/item&gt;&lt;item&gt;1115&lt;/item&gt;&lt;item&gt;1117&lt;/item&gt;&lt;item&gt;1118&lt;/item&gt;&lt;item&gt;1119&lt;/item&gt;&lt;item&gt;1120&lt;/item&gt;&lt;item&gt;1121&lt;/item&gt;&lt;item&gt;1122&lt;/item&gt;&lt;item&gt;1123&lt;/item&gt;&lt;/record-ids&gt;&lt;/item&gt;&lt;/Libraries&gt;"/>
  </w:docVars>
  <w:rsids>
    <w:rsidRoot w:val="00C52775"/>
    <w:rsid w:val="00010F11"/>
    <w:rsid w:val="00023F68"/>
    <w:rsid w:val="000405E8"/>
    <w:rsid w:val="00046A74"/>
    <w:rsid w:val="000621D5"/>
    <w:rsid w:val="0006358E"/>
    <w:rsid w:val="000722BC"/>
    <w:rsid w:val="000815B7"/>
    <w:rsid w:val="00094559"/>
    <w:rsid w:val="000D574A"/>
    <w:rsid w:val="001111D2"/>
    <w:rsid w:val="0011319E"/>
    <w:rsid w:val="00117D2F"/>
    <w:rsid w:val="00121CE2"/>
    <w:rsid w:val="00127954"/>
    <w:rsid w:val="00137D71"/>
    <w:rsid w:val="0015039B"/>
    <w:rsid w:val="0015521E"/>
    <w:rsid w:val="001700F6"/>
    <w:rsid w:val="001920EE"/>
    <w:rsid w:val="001976E3"/>
    <w:rsid w:val="001A2CA6"/>
    <w:rsid w:val="001A6880"/>
    <w:rsid w:val="001C7E7D"/>
    <w:rsid w:val="001D0AB9"/>
    <w:rsid w:val="001E1E5A"/>
    <w:rsid w:val="001F0186"/>
    <w:rsid w:val="0021280C"/>
    <w:rsid w:val="00231B98"/>
    <w:rsid w:val="00263326"/>
    <w:rsid w:val="00277180"/>
    <w:rsid w:val="0028627E"/>
    <w:rsid w:val="002B3226"/>
    <w:rsid w:val="002C2F30"/>
    <w:rsid w:val="002D05EA"/>
    <w:rsid w:val="002F32CF"/>
    <w:rsid w:val="003025AA"/>
    <w:rsid w:val="00307615"/>
    <w:rsid w:val="003379E6"/>
    <w:rsid w:val="00353A14"/>
    <w:rsid w:val="00367D4E"/>
    <w:rsid w:val="00381D27"/>
    <w:rsid w:val="00384831"/>
    <w:rsid w:val="00390758"/>
    <w:rsid w:val="00394367"/>
    <w:rsid w:val="003B5926"/>
    <w:rsid w:val="003C6667"/>
    <w:rsid w:val="003D5C21"/>
    <w:rsid w:val="003F037C"/>
    <w:rsid w:val="003F2A3D"/>
    <w:rsid w:val="00417268"/>
    <w:rsid w:val="00437F03"/>
    <w:rsid w:val="00441094"/>
    <w:rsid w:val="00444295"/>
    <w:rsid w:val="0047738E"/>
    <w:rsid w:val="00480315"/>
    <w:rsid w:val="004846D6"/>
    <w:rsid w:val="004A30FB"/>
    <w:rsid w:val="004B4D0D"/>
    <w:rsid w:val="005066A3"/>
    <w:rsid w:val="00513535"/>
    <w:rsid w:val="00516426"/>
    <w:rsid w:val="005437F9"/>
    <w:rsid w:val="00547DC1"/>
    <w:rsid w:val="00581EDD"/>
    <w:rsid w:val="00592D69"/>
    <w:rsid w:val="005A17C6"/>
    <w:rsid w:val="005C52BA"/>
    <w:rsid w:val="005C61C4"/>
    <w:rsid w:val="005E2E42"/>
    <w:rsid w:val="005E3172"/>
    <w:rsid w:val="005E37E7"/>
    <w:rsid w:val="005F188F"/>
    <w:rsid w:val="005F64A9"/>
    <w:rsid w:val="00610459"/>
    <w:rsid w:val="00622FED"/>
    <w:rsid w:val="006546B4"/>
    <w:rsid w:val="00656CB4"/>
    <w:rsid w:val="00660EB9"/>
    <w:rsid w:val="00662329"/>
    <w:rsid w:val="00664F1A"/>
    <w:rsid w:val="00682D53"/>
    <w:rsid w:val="00696A17"/>
    <w:rsid w:val="006B59D0"/>
    <w:rsid w:val="006C52CC"/>
    <w:rsid w:val="006E2B26"/>
    <w:rsid w:val="006E5444"/>
    <w:rsid w:val="006F049A"/>
    <w:rsid w:val="007278E2"/>
    <w:rsid w:val="00753CFD"/>
    <w:rsid w:val="00765611"/>
    <w:rsid w:val="00775DA7"/>
    <w:rsid w:val="00776354"/>
    <w:rsid w:val="007769D2"/>
    <w:rsid w:val="007903A6"/>
    <w:rsid w:val="0079567C"/>
    <w:rsid w:val="00796C9F"/>
    <w:rsid w:val="007B099F"/>
    <w:rsid w:val="007B5E68"/>
    <w:rsid w:val="007B677B"/>
    <w:rsid w:val="007F159A"/>
    <w:rsid w:val="0080104E"/>
    <w:rsid w:val="008020E3"/>
    <w:rsid w:val="008212D0"/>
    <w:rsid w:val="00822AE0"/>
    <w:rsid w:val="00835538"/>
    <w:rsid w:val="00835F5E"/>
    <w:rsid w:val="00837407"/>
    <w:rsid w:val="00845A1D"/>
    <w:rsid w:val="00871D72"/>
    <w:rsid w:val="0088035A"/>
    <w:rsid w:val="00897B66"/>
    <w:rsid w:val="008A0250"/>
    <w:rsid w:val="008A53A0"/>
    <w:rsid w:val="008B3655"/>
    <w:rsid w:val="008C5A01"/>
    <w:rsid w:val="008D6E44"/>
    <w:rsid w:val="008E14F2"/>
    <w:rsid w:val="008E58D7"/>
    <w:rsid w:val="008E6B8B"/>
    <w:rsid w:val="008E6C34"/>
    <w:rsid w:val="008E7BF9"/>
    <w:rsid w:val="00911AFB"/>
    <w:rsid w:val="009156F2"/>
    <w:rsid w:val="00916AD0"/>
    <w:rsid w:val="009345ED"/>
    <w:rsid w:val="00935E68"/>
    <w:rsid w:val="00961E61"/>
    <w:rsid w:val="00962F1C"/>
    <w:rsid w:val="00964EF4"/>
    <w:rsid w:val="00986A0A"/>
    <w:rsid w:val="0099517D"/>
    <w:rsid w:val="009D092E"/>
    <w:rsid w:val="00A475E0"/>
    <w:rsid w:val="00A62377"/>
    <w:rsid w:val="00A633BA"/>
    <w:rsid w:val="00A65A86"/>
    <w:rsid w:val="00A7435B"/>
    <w:rsid w:val="00A8218F"/>
    <w:rsid w:val="00A9183A"/>
    <w:rsid w:val="00A91C86"/>
    <w:rsid w:val="00AA6897"/>
    <w:rsid w:val="00AB0F6B"/>
    <w:rsid w:val="00AC5CA7"/>
    <w:rsid w:val="00AD3159"/>
    <w:rsid w:val="00AE7161"/>
    <w:rsid w:val="00B2597C"/>
    <w:rsid w:val="00B6638D"/>
    <w:rsid w:val="00B752EA"/>
    <w:rsid w:val="00B87BCE"/>
    <w:rsid w:val="00BA6036"/>
    <w:rsid w:val="00BA603E"/>
    <w:rsid w:val="00C02759"/>
    <w:rsid w:val="00C23526"/>
    <w:rsid w:val="00C2607D"/>
    <w:rsid w:val="00C31821"/>
    <w:rsid w:val="00C52775"/>
    <w:rsid w:val="00C54355"/>
    <w:rsid w:val="00C737DA"/>
    <w:rsid w:val="00C931E6"/>
    <w:rsid w:val="00CB4A1C"/>
    <w:rsid w:val="00CC49BF"/>
    <w:rsid w:val="00CE3917"/>
    <w:rsid w:val="00CF1160"/>
    <w:rsid w:val="00CF516B"/>
    <w:rsid w:val="00D0644C"/>
    <w:rsid w:val="00D6099A"/>
    <w:rsid w:val="00D84458"/>
    <w:rsid w:val="00DA264A"/>
    <w:rsid w:val="00DB3FA0"/>
    <w:rsid w:val="00DB4A8B"/>
    <w:rsid w:val="00DC45DC"/>
    <w:rsid w:val="00DD5DE0"/>
    <w:rsid w:val="00DE1B97"/>
    <w:rsid w:val="00DE3C57"/>
    <w:rsid w:val="00DE693E"/>
    <w:rsid w:val="00DE7588"/>
    <w:rsid w:val="00E077B2"/>
    <w:rsid w:val="00E203F1"/>
    <w:rsid w:val="00E35562"/>
    <w:rsid w:val="00E55B76"/>
    <w:rsid w:val="00E77022"/>
    <w:rsid w:val="00EA111B"/>
    <w:rsid w:val="00EB617A"/>
    <w:rsid w:val="00EB6335"/>
    <w:rsid w:val="00EC01FD"/>
    <w:rsid w:val="00ED1F6D"/>
    <w:rsid w:val="00EE29CC"/>
    <w:rsid w:val="00EF2745"/>
    <w:rsid w:val="00F113BB"/>
    <w:rsid w:val="00F13580"/>
    <w:rsid w:val="00F202F5"/>
    <w:rsid w:val="00F21D42"/>
    <w:rsid w:val="00F44841"/>
    <w:rsid w:val="00F61335"/>
    <w:rsid w:val="00F77F75"/>
    <w:rsid w:val="00F94E62"/>
    <w:rsid w:val="00FC32C7"/>
    <w:rsid w:val="00FD013E"/>
    <w:rsid w:val="00FD5B9C"/>
    <w:rsid w:val="00FE0B4E"/>
    <w:rsid w:val="00FE45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53C8E33"/>
  <w15:chartTrackingRefBased/>
  <w15:docId w15:val="{ECFD3A69-DFDD-CD41-BBBB-4B34879C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527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527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527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527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527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527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527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527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527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5277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5277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5277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5277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5277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5277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5277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5277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5277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527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527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7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527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775"/>
    <w:pPr>
      <w:spacing w:before="160" w:after="160"/>
      <w:jc w:val="center"/>
    </w:pPr>
    <w:rPr>
      <w:i/>
      <w:iCs/>
      <w:color w:val="404040" w:themeColor="text1" w:themeTint="BF"/>
    </w:rPr>
  </w:style>
  <w:style w:type="character" w:customStyle="1" w:styleId="a8">
    <w:name w:val="引用文 (文字)"/>
    <w:basedOn w:val="a0"/>
    <w:link w:val="a7"/>
    <w:uiPriority w:val="29"/>
    <w:rsid w:val="00C52775"/>
    <w:rPr>
      <w:i/>
      <w:iCs/>
      <w:color w:val="404040" w:themeColor="text1" w:themeTint="BF"/>
    </w:rPr>
  </w:style>
  <w:style w:type="paragraph" w:styleId="a9">
    <w:name w:val="List Paragraph"/>
    <w:basedOn w:val="a"/>
    <w:uiPriority w:val="34"/>
    <w:qFormat/>
    <w:rsid w:val="00C52775"/>
    <w:pPr>
      <w:ind w:left="720"/>
      <w:contextualSpacing/>
    </w:pPr>
  </w:style>
  <w:style w:type="character" w:styleId="21">
    <w:name w:val="Intense Emphasis"/>
    <w:basedOn w:val="a0"/>
    <w:uiPriority w:val="21"/>
    <w:qFormat/>
    <w:rsid w:val="00C52775"/>
    <w:rPr>
      <w:i/>
      <w:iCs/>
      <w:color w:val="0F4761" w:themeColor="accent1" w:themeShade="BF"/>
    </w:rPr>
  </w:style>
  <w:style w:type="paragraph" w:styleId="22">
    <w:name w:val="Intense Quote"/>
    <w:basedOn w:val="a"/>
    <w:next w:val="a"/>
    <w:link w:val="23"/>
    <w:uiPriority w:val="30"/>
    <w:qFormat/>
    <w:rsid w:val="00C52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52775"/>
    <w:rPr>
      <w:i/>
      <w:iCs/>
      <w:color w:val="0F4761" w:themeColor="accent1" w:themeShade="BF"/>
    </w:rPr>
  </w:style>
  <w:style w:type="character" w:styleId="24">
    <w:name w:val="Intense Reference"/>
    <w:basedOn w:val="a0"/>
    <w:uiPriority w:val="32"/>
    <w:qFormat/>
    <w:rsid w:val="00C52775"/>
    <w:rPr>
      <w:b/>
      <w:bCs/>
      <w:smallCaps/>
      <w:color w:val="0F4761" w:themeColor="accent1" w:themeShade="BF"/>
      <w:spacing w:val="5"/>
    </w:rPr>
  </w:style>
  <w:style w:type="character" w:styleId="aa">
    <w:name w:val="Hyperlink"/>
    <w:basedOn w:val="a0"/>
    <w:uiPriority w:val="99"/>
    <w:unhideWhenUsed/>
    <w:rsid w:val="00F44841"/>
    <w:rPr>
      <w:color w:val="467886" w:themeColor="hyperlink"/>
      <w:u w:val="single"/>
    </w:rPr>
  </w:style>
  <w:style w:type="character" w:styleId="ab">
    <w:name w:val="FollowedHyperlink"/>
    <w:basedOn w:val="a0"/>
    <w:uiPriority w:val="99"/>
    <w:semiHidden/>
    <w:unhideWhenUsed/>
    <w:rsid w:val="00F44841"/>
    <w:rPr>
      <w:color w:val="96607D" w:themeColor="followedHyperlink"/>
      <w:u w:val="single"/>
    </w:rPr>
  </w:style>
  <w:style w:type="character" w:styleId="ac">
    <w:name w:val="Placeholder Text"/>
    <w:basedOn w:val="a0"/>
    <w:uiPriority w:val="99"/>
    <w:semiHidden/>
    <w:rsid w:val="002F32CF"/>
    <w:rPr>
      <w:color w:val="666666"/>
    </w:rPr>
  </w:style>
  <w:style w:type="paragraph" w:customStyle="1" w:styleId="EndNoteBibliographyTitle">
    <w:name w:val="EndNote Bibliography Title"/>
    <w:basedOn w:val="a"/>
    <w:link w:val="EndNoteBibliographyTitle0"/>
    <w:rsid w:val="00581EDD"/>
    <w:pPr>
      <w:jc w:val="center"/>
    </w:pPr>
    <w:rPr>
      <w:rFonts w:ascii="游明朝" w:eastAsia="游明朝" w:hAnsi="游明朝"/>
      <w:sz w:val="20"/>
    </w:rPr>
  </w:style>
  <w:style w:type="character" w:customStyle="1" w:styleId="EndNoteBibliographyTitle0">
    <w:name w:val="EndNote Bibliography Title (文字)"/>
    <w:basedOn w:val="a0"/>
    <w:link w:val="EndNoteBibliographyTitle"/>
    <w:rsid w:val="00581EDD"/>
    <w:rPr>
      <w:rFonts w:ascii="游明朝" w:eastAsia="游明朝" w:hAnsi="游明朝"/>
      <w:sz w:val="20"/>
    </w:rPr>
  </w:style>
  <w:style w:type="paragraph" w:customStyle="1" w:styleId="EndNoteBibliography">
    <w:name w:val="EndNote Bibliography"/>
    <w:basedOn w:val="a"/>
    <w:link w:val="EndNoteBibliography0"/>
    <w:rsid w:val="00581EDD"/>
    <w:pPr>
      <w:jc w:val="left"/>
    </w:pPr>
    <w:rPr>
      <w:rFonts w:ascii="游明朝" w:eastAsia="游明朝" w:hAnsi="游明朝"/>
      <w:sz w:val="20"/>
    </w:rPr>
  </w:style>
  <w:style w:type="character" w:customStyle="1" w:styleId="EndNoteBibliography0">
    <w:name w:val="EndNote Bibliography (文字)"/>
    <w:basedOn w:val="a0"/>
    <w:link w:val="EndNoteBibliography"/>
    <w:rsid w:val="00581EDD"/>
    <w:rPr>
      <w:rFonts w:ascii="游明朝" w:eastAsia="游明朝" w:hAnsi="游明朝"/>
      <w:sz w:val="20"/>
    </w:rPr>
  </w:style>
  <w:style w:type="character" w:styleId="ad">
    <w:name w:val="Unresolved Mention"/>
    <w:basedOn w:val="a0"/>
    <w:uiPriority w:val="99"/>
    <w:semiHidden/>
    <w:unhideWhenUsed/>
    <w:rsid w:val="00581EDD"/>
    <w:rPr>
      <w:color w:val="605E5C"/>
      <w:shd w:val="clear" w:color="auto" w:fill="E1DFDD"/>
    </w:rPr>
  </w:style>
  <w:style w:type="paragraph" w:styleId="ae">
    <w:name w:val="footer"/>
    <w:basedOn w:val="a"/>
    <w:link w:val="af"/>
    <w:uiPriority w:val="99"/>
    <w:unhideWhenUsed/>
    <w:rsid w:val="00765611"/>
    <w:pPr>
      <w:tabs>
        <w:tab w:val="center" w:pos="4252"/>
        <w:tab w:val="right" w:pos="8504"/>
      </w:tabs>
      <w:snapToGrid w:val="0"/>
    </w:pPr>
  </w:style>
  <w:style w:type="character" w:customStyle="1" w:styleId="af">
    <w:name w:val="フッター (文字)"/>
    <w:basedOn w:val="a0"/>
    <w:link w:val="ae"/>
    <w:uiPriority w:val="99"/>
    <w:rsid w:val="00765611"/>
  </w:style>
  <w:style w:type="character" w:styleId="af0">
    <w:name w:val="page number"/>
    <w:basedOn w:val="a0"/>
    <w:uiPriority w:val="99"/>
    <w:semiHidden/>
    <w:unhideWhenUsed/>
    <w:rsid w:val="00765611"/>
  </w:style>
  <w:style w:type="character" w:styleId="af1">
    <w:name w:val="line number"/>
    <w:basedOn w:val="a0"/>
    <w:uiPriority w:val="99"/>
    <w:semiHidden/>
    <w:unhideWhenUsed/>
    <w:rsid w:val="00765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agcuugggcu@gmail.com" TargetMode="External"/><Relationship Id="rId13"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www.emdat.be" TargetMode="External"/><Relationship Id="rId4" Type="http://schemas.openxmlformats.org/officeDocument/2006/relationships/footnotes" Target="footnotes.xml"/><Relationship Id="rId9" Type="http://schemas.openxmlformats.org/officeDocument/2006/relationships/hyperlink" Target="https://freedomhouse.org/report/freedom-world/2021/democracy-under-siege" TargetMode="Externa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31</Pages>
  <Words>5711</Words>
  <Characters>35183</Characters>
  <Application>Microsoft Office Word</Application>
  <DocSecurity>0</DocSecurity>
  <Lines>628</Lines>
  <Paragraphs>149</Paragraphs>
  <ScaleCrop>false</ScaleCrop>
  <Company/>
  <LinksUpToDate>false</LinksUpToDate>
  <CharactersWithSpaces>40822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dc:creator>
  <cp:keywords/>
  <dc:description/>
  <cp:lastModifiedBy>河原 智樹 / Tomoki Kawahara</cp:lastModifiedBy>
  <cp:revision>43</cp:revision>
  <dcterms:created xsi:type="dcterms:W3CDTF">2026-02-14T09:07:00Z</dcterms:created>
  <dcterms:modified xsi:type="dcterms:W3CDTF">2026-02-18T01:05:00Z</dcterms:modified>
</cp:coreProperties>
</file>