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1834" w14:textId="31C914A4" w:rsidR="0032464E" w:rsidRPr="0032464E" w:rsidRDefault="0032464E" w:rsidP="0032464E">
      <w:pPr>
        <w:tabs>
          <w:tab w:val="left" w:pos="2430"/>
        </w:tabs>
        <w:spacing w:line="480" w:lineRule="auto"/>
        <w:rPr>
          <w:rFonts w:ascii="Times New Roman" w:hAnsi="Times New Roman" w:cs="Times New Roman"/>
          <w:b/>
          <w:bCs/>
          <w:sz w:val="24"/>
        </w:rPr>
      </w:pPr>
      <w:r w:rsidRPr="0032464E">
        <w:rPr>
          <w:rFonts w:ascii="Times New Roman" w:hAnsi="Times New Roman" w:cs="Times New Roman"/>
          <w:b/>
          <w:bCs/>
          <w:sz w:val="24"/>
        </w:rPr>
        <w:t>Scaling Prosperity: A Hierarchical Bayesian Map of Population Size and Global GDP Through 2100</w:t>
      </w:r>
    </w:p>
    <w:p w14:paraId="0399DF5D" w14:textId="2B737559" w:rsidR="00556A1D" w:rsidRPr="0032464E" w:rsidRDefault="00556A1D" w:rsidP="0032464E">
      <w:pPr>
        <w:tabs>
          <w:tab w:val="left" w:pos="2430"/>
        </w:tabs>
        <w:spacing w:line="480" w:lineRule="auto"/>
        <w:rPr>
          <w:rFonts w:ascii="Times New Roman" w:hAnsi="Times New Roman" w:cs="Times New Roman" w:hint="eastAsia"/>
          <w:b/>
          <w:bCs/>
          <w:sz w:val="24"/>
        </w:rPr>
      </w:pPr>
    </w:p>
    <w:p w14:paraId="6809D2FE" w14:textId="411AB579" w:rsidR="006C29C3" w:rsidRPr="006C29C3" w:rsidRDefault="006C29C3" w:rsidP="00EF063D">
      <w:pPr>
        <w:spacing w:line="480" w:lineRule="auto"/>
        <w:rPr>
          <w:rFonts w:ascii="Times New Roman" w:hAnsi="Times New Roman" w:cs="Times New Roman"/>
          <w:b/>
          <w:bCs/>
          <w:sz w:val="24"/>
        </w:rPr>
      </w:pPr>
      <w:r w:rsidRPr="006C29C3">
        <w:rPr>
          <w:rFonts w:ascii="Times New Roman" w:hAnsi="Times New Roman" w:cs="Times New Roman" w:hint="eastAsia"/>
          <w:b/>
          <w:bCs/>
          <w:sz w:val="24"/>
        </w:rPr>
        <w:t>Introduction</w:t>
      </w:r>
    </w:p>
    <w:p w14:paraId="3BDD98F4" w14:textId="6C5084F6" w:rsidR="00EF063D" w:rsidRDefault="0022059F" w:rsidP="00EF063D">
      <w:pPr>
        <w:spacing w:line="480" w:lineRule="auto"/>
        <w:rPr>
          <w:rFonts w:ascii="Times New Roman" w:hAnsi="Times New Roman" w:cs="Times New Roman"/>
          <w:sz w:val="24"/>
        </w:rPr>
      </w:pPr>
      <w:r w:rsidRPr="0022059F">
        <w:rPr>
          <w:rFonts w:ascii="Times New Roman" w:hAnsi="Times New Roman" w:cs="Times New Roman"/>
          <w:sz w:val="24"/>
        </w:rPr>
        <w:t>Demographic–economic theory posits that larger populations can expand labor supply, stimulate consumption, and foster knowledge spillovers, yet they may also dilute capital and strain natural resources.1 GDP, the standard macro-economic output metric, therefore exhibits complex elasticity to population size that can vary by stage of development, demographic structure, and policy environment.2 Despite decades of empirical work, global evidence remains heterogeneous because studies frequently rely on single equations, ignore cross-country heterogeneity, or treat population growth as exogenous.</w:t>
      </w:r>
    </w:p>
    <w:p w14:paraId="0F5F2069" w14:textId="4F6B2101" w:rsidR="00EF063D" w:rsidRPr="00EF063D" w:rsidRDefault="0022059F" w:rsidP="00EF063D">
      <w:pPr>
        <w:spacing w:line="480" w:lineRule="auto"/>
        <w:ind w:firstLine="840"/>
        <w:rPr>
          <w:rFonts w:ascii="Times New Roman" w:hAnsi="Times New Roman" w:cs="Times New Roman" w:hint="eastAsia"/>
          <w:sz w:val="24"/>
        </w:rPr>
      </w:pPr>
      <w:r w:rsidRPr="0022059F">
        <w:rPr>
          <w:rFonts w:ascii="Times New Roman" w:hAnsi="Times New Roman" w:cs="Times New Roman"/>
          <w:sz w:val="24"/>
        </w:rPr>
        <w:t xml:space="preserve">Cross-sectional regressions have documented positive, negative, and null associations between population metrics and economic output.3 Time-series studies within individual countries often detect era-specific pro-growth or drag effects, while panel estimates diverge depending on model specification, endogeneity controls, and regional subsamples.4 Recent machine-learning approaches improve predictive </w:t>
      </w:r>
      <w:r w:rsidRPr="0022059F">
        <w:rPr>
          <w:rFonts w:ascii="Times New Roman" w:hAnsi="Times New Roman" w:cs="Times New Roman"/>
          <w:sz w:val="24"/>
        </w:rPr>
        <w:lastRenderedPageBreak/>
        <w:t>accuracy but sacrifice interpretability, and few incorporate principled uncertainty estimates.</w:t>
      </w:r>
    </w:p>
    <w:p w14:paraId="718048C1" w14:textId="72A3C23A" w:rsidR="0022059F" w:rsidRPr="0022059F" w:rsidRDefault="0022059F" w:rsidP="00EF063D">
      <w:pPr>
        <w:spacing w:line="480" w:lineRule="auto"/>
        <w:ind w:firstLine="360"/>
        <w:rPr>
          <w:rFonts w:ascii="Times New Roman" w:hAnsi="Times New Roman" w:cs="Times New Roman"/>
          <w:sz w:val="24"/>
        </w:rPr>
      </w:pPr>
      <w:r w:rsidRPr="0022059F">
        <w:rPr>
          <w:rFonts w:ascii="Times New Roman" w:hAnsi="Times New Roman" w:cs="Times New Roman"/>
          <w:sz w:val="24"/>
        </w:rPr>
        <w:t>No study has yet produced a unified, probabilistic estimate of the population–GDP association that jointly:</w:t>
      </w:r>
    </w:p>
    <w:p w14:paraId="61740B79" w14:textId="77777777" w:rsidR="0022059F" w:rsidRPr="0022059F" w:rsidRDefault="0022059F" w:rsidP="00EF063D">
      <w:pPr>
        <w:numPr>
          <w:ilvl w:val="0"/>
          <w:numId w:val="1"/>
        </w:numPr>
        <w:spacing w:line="480" w:lineRule="auto"/>
        <w:rPr>
          <w:rFonts w:ascii="Times New Roman" w:hAnsi="Times New Roman" w:cs="Times New Roman"/>
          <w:sz w:val="24"/>
        </w:rPr>
      </w:pPr>
      <w:r w:rsidRPr="0022059F">
        <w:rPr>
          <w:rFonts w:ascii="Times New Roman" w:hAnsi="Times New Roman" w:cs="Times New Roman"/>
          <w:sz w:val="24"/>
        </w:rPr>
        <w:t>pools information hierarchically across regions and countries to respect contextual differences,</w:t>
      </w:r>
    </w:p>
    <w:p w14:paraId="3BE9086F" w14:textId="77777777" w:rsidR="0022059F" w:rsidRPr="0022059F" w:rsidRDefault="0022059F" w:rsidP="00EF063D">
      <w:pPr>
        <w:numPr>
          <w:ilvl w:val="0"/>
          <w:numId w:val="1"/>
        </w:numPr>
        <w:spacing w:line="480" w:lineRule="auto"/>
        <w:rPr>
          <w:rFonts w:ascii="Times New Roman" w:hAnsi="Times New Roman" w:cs="Times New Roman"/>
          <w:sz w:val="24"/>
        </w:rPr>
      </w:pPr>
      <w:r w:rsidRPr="0022059F">
        <w:rPr>
          <w:rFonts w:ascii="Times New Roman" w:hAnsi="Times New Roman" w:cs="Times New Roman"/>
          <w:sz w:val="24"/>
        </w:rPr>
        <w:t>allows non-linear effects observable at extremely high or low population densities, and</w:t>
      </w:r>
    </w:p>
    <w:p w14:paraId="58AE70BF" w14:textId="055149A1" w:rsidR="00EF063D" w:rsidRPr="00EF063D" w:rsidRDefault="0022059F" w:rsidP="00EF063D">
      <w:pPr>
        <w:numPr>
          <w:ilvl w:val="0"/>
          <w:numId w:val="1"/>
        </w:numPr>
        <w:spacing w:line="480" w:lineRule="auto"/>
        <w:rPr>
          <w:rFonts w:ascii="Times New Roman" w:hAnsi="Times New Roman" w:cs="Times New Roman" w:hint="eastAsia"/>
          <w:sz w:val="24"/>
        </w:rPr>
      </w:pPr>
      <w:r w:rsidRPr="0022059F">
        <w:rPr>
          <w:rFonts w:ascii="Times New Roman" w:hAnsi="Times New Roman" w:cs="Times New Roman"/>
          <w:sz w:val="24"/>
        </w:rPr>
        <w:t>propagates parameter uncertainty into long-horizon economic forecasts under multiple demographic scenarios from the United Nations.</w:t>
      </w:r>
      <w:r w:rsidRPr="0022059F">
        <w:rPr>
          <w:rFonts w:ascii="Times New Roman" w:hAnsi="Times New Roman" w:cs="Times New Roman"/>
          <w:sz w:val="24"/>
        </w:rPr>
        <w:br/>
        <w:t>Consequently, policymakers still lack quantitatively robust, scenario-based projections that link demographic pathways to economic capacity.</w:t>
      </w:r>
    </w:p>
    <w:p w14:paraId="612D5B25" w14:textId="6DDD2A58" w:rsidR="0022059F" w:rsidRPr="0022059F" w:rsidRDefault="0022059F" w:rsidP="00EF063D">
      <w:pPr>
        <w:spacing w:line="480" w:lineRule="auto"/>
        <w:ind w:firstLine="360"/>
        <w:rPr>
          <w:rFonts w:ascii="Times New Roman" w:hAnsi="Times New Roman" w:cs="Times New Roman"/>
          <w:sz w:val="24"/>
        </w:rPr>
      </w:pPr>
      <w:r w:rsidRPr="0022059F">
        <w:rPr>
          <w:rFonts w:ascii="Times New Roman" w:hAnsi="Times New Roman" w:cs="Times New Roman"/>
          <w:sz w:val="24"/>
        </w:rPr>
        <w:t>We seek to fill these gaps by:</w:t>
      </w:r>
    </w:p>
    <w:p w14:paraId="240E8691" w14:textId="77777777" w:rsidR="0022059F" w:rsidRPr="0022059F" w:rsidRDefault="0022059F" w:rsidP="00EF063D">
      <w:pPr>
        <w:numPr>
          <w:ilvl w:val="0"/>
          <w:numId w:val="2"/>
        </w:numPr>
        <w:spacing w:line="480" w:lineRule="auto"/>
        <w:rPr>
          <w:rFonts w:ascii="Times New Roman" w:hAnsi="Times New Roman" w:cs="Times New Roman"/>
          <w:sz w:val="24"/>
        </w:rPr>
      </w:pPr>
      <w:r w:rsidRPr="0022059F">
        <w:rPr>
          <w:rFonts w:ascii="Times New Roman" w:hAnsi="Times New Roman" w:cs="Times New Roman"/>
          <w:sz w:val="24"/>
        </w:rPr>
        <w:t>Estimating the global and region-specific association between log-population and log-GDP (including a quadratic term) from 1960 – 2023 data for 180 countries, using a hierarchical Bayesian model that captures both region-level and country-level variability.</w:t>
      </w:r>
    </w:p>
    <w:p w14:paraId="5C4D2045" w14:textId="77777777" w:rsidR="0022059F" w:rsidRPr="0022059F" w:rsidRDefault="0022059F" w:rsidP="00EF063D">
      <w:pPr>
        <w:numPr>
          <w:ilvl w:val="0"/>
          <w:numId w:val="2"/>
        </w:numPr>
        <w:spacing w:line="480" w:lineRule="auto"/>
        <w:rPr>
          <w:rFonts w:ascii="Times New Roman" w:hAnsi="Times New Roman" w:cs="Times New Roman"/>
          <w:sz w:val="24"/>
        </w:rPr>
      </w:pPr>
      <w:r w:rsidRPr="0022059F">
        <w:rPr>
          <w:rFonts w:ascii="Times New Roman" w:hAnsi="Times New Roman" w:cs="Times New Roman"/>
          <w:sz w:val="24"/>
        </w:rPr>
        <w:lastRenderedPageBreak/>
        <w:t>Quantifying parameter uncertainty with full posterior distributions and evaluating model adequacy via posterior predictive checking.</w:t>
      </w:r>
    </w:p>
    <w:p w14:paraId="15DBEEBB" w14:textId="77777777" w:rsidR="0022059F" w:rsidRPr="0022059F" w:rsidRDefault="0022059F" w:rsidP="00EF063D">
      <w:pPr>
        <w:numPr>
          <w:ilvl w:val="0"/>
          <w:numId w:val="2"/>
        </w:numPr>
        <w:spacing w:line="480" w:lineRule="auto"/>
        <w:rPr>
          <w:rFonts w:ascii="Times New Roman" w:hAnsi="Times New Roman" w:cs="Times New Roman"/>
          <w:sz w:val="24"/>
        </w:rPr>
      </w:pPr>
      <w:r w:rsidRPr="0022059F">
        <w:rPr>
          <w:rFonts w:ascii="Times New Roman" w:hAnsi="Times New Roman" w:cs="Times New Roman"/>
          <w:sz w:val="24"/>
        </w:rPr>
        <w:t>Projecting country-level GDP through 2100 under ten official UN population variants, and synthesizing scenario-specific outputs with random-effects meta-analysis to provide pooled forecasts and credible intervals.</w:t>
      </w:r>
    </w:p>
    <w:p w14:paraId="3162327C" w14:textId="77777777" w:rsidR="0022059F" w:rsidRPr="0022059F" w:rsidRDefault="0022059F" w:rsidP="00EF063D">
      <w:pPr>
        <w:spacing w:line="480" w:lineRule="auto"/>
        <w:rPr>
          <w:rFonts w:ascii="Times New Roman" w:hAnsi="Times New Roman" w:cs="Times New Roman"/>
          <w:sz w:val="24"/>
        </w:rPr>
      </w:pPr>
      <w:r w:rsidRPr="0022059F">
        <w:rPr>
          <w:rFonts w:ascii="Times New Roman" w:hAnsi="Times New Roman" w:cs="Times New Roman"/>
          <w:sz w:val="24"/>
        </w:rPr>
        <w:t>Together, these objectives provide the first probabilistic, internationally comparable assessment of how alternative demographic futures could shape global economic output.</w:t>
      </w:r>
    </w:p>
    <w:p w14:paraId="11E2EA41" w14:textId="77777777" w:rsidR="0022059F" w:rsidRDefault="0022059F" w:rsidP="00EF063D">
      <w:pPr>
        <w:spacing w:line="480" w:lineRule="auto"/>
        <w:rPr>
          <w:rFonts w:ascii="Times New Roman" w:hAnsi="Times New Roman" w:cs="Times New Roman"/>
          <w:sz w:val="24"/>
        </w:rPr>
      </w:pPr>
    </w:p>
    <w:p w14:paraId="1C943C6D" w14:textId="77777777" w:rsidR="00481BE2" w:rsidRPr="00481BE2" w:rsidRDefault="00481BE2" w:rsidP="00481BE2">
      <w:pPr>
        <w:spacing w:line="480" w:lineRule="auto"/>
        <w:rPr>
          <w:rFonts w:ascii="Times New Roman" w:hAnsi="Times New Roman" w:cs="Times New Roman"/>
          <w:b/>
          <w:bCs/>
          <w:sz w:val="24"/>
        </w:rPr>
      </w:pPr>
      <w:r w:rsidRPr="00481BE2">
        <w:rPr>
          <w:rFonts w:ascii="Times New Roman" w:hAnsi="Times New Roman" w:cs="Times New Roman"/>
          <w:b/>
          <w:bCs/>
          <w:sz w:val="24"/>
        </w:rPr>
        <w:t>Methods</w:t>
      </w:r>
    </w:p>
    <w:p w14:paraId="7DDEDAC4" w14:textId="7777777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1. Data Sources</w:t>
      </w:r>
    </w:p>
    <w:p w14:paraId="697B81BE" w14:textId="77777777" w:rsidR="00481BE2" w:rsidRPr="00481BE2" w:rsidRDefault="00481BE2" w:rsidP="00481BE2">
      <w:pPr>
        <w:numPr>
          <w:ilvl w:val="0"/>
          <w:numId w:val="3"/>
        </w:numPr>
        <w:spacing w:line="480" w:lineRule="auto"/>
        <w:rPr>
          <w:rFonts w:ascii="Times New Roman" w:hAnsi="Times New Roman" w:cs="Times New Roman"/>
          <w:sz w:val="24"/>
        </w:rPr>
      </w:pPr>
      <w:r w:rsidRPr="00481BE2">
        <w:rPr>
          <w:rFonts w:ascii="Times New Roman" w:hAnsi="Times New Roman" w:cs="Times New Roman"/>
          <w:sz w:val="24"/>
        </w:rPr>
        <w:t>Historical panel (1960 – 2023)</w:t>
      </w:r>
      <w:r w:rsidRPr="00481BE2">
        <w:rPr>
          <w:rFonts w:ascii="Times New Roman" w:hAnsi="Times New Roman" w:cs="Times New Roman"/>
          <w:b/>
          <w:bCs/>
          <w:sz w:val="24"/>
        </w:rPr>
        <w:t>.</w:t>
      </w:r>
      <w:r w:rsidRPr="00481BE2">
        <w:rPr>
          <w:rFonts w:ascii="Times New Roman" w:hAnsi="Times New Roman" w:cs="Times New Roman"/>
          <w:sz w:val="24"/>
        </w:rPr>
        <w:t xml:space="preserve"> Country-year GDP (current USD) and mid-year population were extracted from the World Bank World Development Indicators (downloaded April 2025). Income group and geographical region codes followed the Bank’s 2024 classification.</w:t>
      </w:r>
    </w:p>
    <w:p w14:paraId="422D4FA2" w14:textId="77777777" w:rsidR="00481BE2" w:rsidRPr="00481BE2" w:rsidRDefault="00481BE2" w:rsidP="00481BE2">
      <w:pPr>
        <w:numPr>
          <w:ilvl w:val="0"/>
          <w:numId w:val="3"/>
        </w:numPr>
        <w:spacing w:line="480" w:lineRule="auto"/>
        <w:rPr>
          <w:rFonts w:ascii="Times New Roman" w:hAnsi="Times New Roman" w:cs="Times New Roman"/>
          <w:sz w:val="24"/>
        </w:rPr>
      </w:pPr>
      <w:r w:rsidRPr="00481BE2">
        <w:rPr>
          <w:rFonts w:ascii="Times New Roman" w:hAnsi="Times New Roman" w:cs="Times New Roman"/>
          <w:sz w:val="24"/>
        </w:rPr>
        <w:t xml:space="preserve">Demographic projections (2024 – 2100). Ten official variants from the UN World Population Prospects 2024—Medium, High, Low, Constant-fertility, Instant-replacement zero migration, Momentum, Zero-migration, No change, No </w:t>
      </w:r>
      <w:r w:rsidRPr="00481BE2">
        <w:rPr>
          <w:rFonts w:ascii="Times New Roman" w:hAnsi="Times New Roman" w:cs="Times New Roman"/>
          <w:sz w:val="24"/>
        </w:rPr>
        <w:lastRenderedPageBreak/>
        <w:t>fertility below 18, and Accelerated ABR decline recup—were read from spreadsheet F01.</w:t>
      </w:r>
    </w:p>
    <w:p w14:paraId="5F54CC1F" w14:textId="77777777" w:rsidR="00481BE2" w:rsidRPr="00481BE2" w:rsidRDefault="00481BE2" w:rsidP="00481BE2">
      <w:pPr>
        <w:numPr>
          <w:ilvl w:val="0"/>
          <w:numId w:val="3"/>
        </w:numPr>
        <w:spacing w:line="480" w:lineRule="auto"/>
        <w:rPr>
          <w:rFonts w:ascii="Times New Roman" w:hAnsi="Times New Roman" w:cs="Times New Roman"/>
          <w:sz w:val="24"/>
        </w:rPr>
      </w:pPr>
      <w:r w:rsidRPr="00481BE2">
        <w:rPr>
          <w:rFonts w:ascii="Times New Roman" w:hAnsi="Times New Roman" w:cs="Times New Roman"/>
          <w:sz w:val="24"/>
        </w:rPr>
        <w:t>Coverage. After dropping rows missing GDP, population, or region, the analytic sample comprised 180 countries (≈ 97 % of global GDP).</w:t>
      </w:r>
    </w:p>
    <w:p w14:paraId="5327AC09" w14:textId="7777777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2. Variables</w:t>
      </w:r>
    </w:p>
    <w:p w14:paraId="33FFA8E4" w14:textId="7777777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GDP and population were base-10 log-transformed (Log_GDP, Log_Population). To reduce collinearity, Log_Population was centered on the 1960-2023 global mean (µₚ) and its square (Log_Pop_c²) was created.</w:t>
      </w:r>
    </w:p>
    <w:p w14:paraId="71FF0193" w14:textId="77777777" w:rsidR="00481BE2" w:rsidRPr="00481BE2" w:rsidRDefault="00481BE2" w:rsidP="00481BE2">
      <w:pPr>
        <w:spacing w:line="480" w:lineRule="auto"/>
        <w:rPr>
          <w:rFonts w:ascii="Times New Roman" w:hAnsi="Times New Roman" w:cs="Times New Roman"/>
          <w:b/>
          <w:bCs/>
          <w:sz w:val="24"/>
        </w:rPr>
      </w:pPr>
      <w:r w:rsidRPr="00481BE2">
        <w:rPr>
          <w:rFonts w:ascii="Times New Roman" w:hAnsi="Times New Roman" w:cs="Times New Roman"/>
          <w:b/>
          <w:bCs/>
          <w:sz w:val="24"/>
        </w:rPr>
        <w:t>3. Hierarchical Bayesian Model</w:t>
      </w:r>
    </w:p>
    <w:p w14:paraId="5EEC60EE" w14:textId="7777777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 xml:space="preserve">For country </w:t>
      </w:r>
      <w:r w:rsidRPr="00481BE2">
        <w:rPr>
          <w:rFonts w:ascii="Times New Roman" w:hAnsi="Times New Roman" w:cs="Times New Roman"/>
          <w:i/>
          <w:iCs/>
          <w:sz w:val="24"/>
        </w:rPr>
        <w:t>i</w:t>
      </w:r>
      <w:r w:rsidRPr="00481BE2">
        <w:rPr>
          <w:rFonts w:ascii="Times New Roman" w:hAnsi="Times New Roman" w:cs="Times New Roman"/>
          <w:sz w:val="24"/>
        </w:rPr>
        <w:t xml:space="preserve"> in region </w:t>
      </w:r>
      <w:r w:rsidRPr="00481BE2">
        <w:rPr>
          <w:rFonts w:ascii="Times New Roman" w:hAnsi="Times New Roman" w:cs="Times New Roman"/>
          <w:i/>
          <w:iCs/>
          <w:sz w:val="24"/>
        </w:rPr>
        <w:t>r</w:t>
      </w:r>
      <w:r w:rsidRPr="00481BE2">
        <w:rPr>
          <w:rFonts w:ascii="Times New Roman" w:hAnsi="Times New Roman" w:cs="Times New Roman"/>
          <w:sz w:val="24"/>
        </w:rPr>
        <w:t>:</w:t>
      </w:r>
    </w:p>
    <w:p w14:paraId="43768BAE" w14:textId="55A797AD" w:rsidR="001E732A" w:rsidRDefault="00C343FD" w:rsidP="00481BE2">
      <w:pPr>
        <w:spacing w:line="480" w:lineRule="auto"/>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LOG_GDP</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t</m:t>
              </m:r>
            </m:e>
            <m:sub>
              <m:r>
                <w:rPr>
                  <w:rFonts w:ascii="Cambria Math" w:hAnsi="Cambria Math" w:cs="Times New Roman"/>
                  <w:sz w:val="24"/>
                </w:rPr>
                <m:t>v</m:t>
              </m:r>
            </m:sub>
          </m:sSub>
          <m:d>
            <m:dPr>
              <m:ctrlPr>
                <w:rPr>
                  <w:rFonts w:ascii="Cambria Math" w:hAnsi="Cambria Math" w:cs="Times New Roman"/>
                  <w:i/>
                  <w:sz w:val="24"/>
                </w:rPr>
              </m:ctrlPr>
            </m:dPr>
            <m:e>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ir</m:t>
                  </m:r>
                </m:sub>
              </m:sSub>
              <m:r>
                <w:rPr>
                  <w:rFonts w:ascii="Cambria Math" w:hAnsi="Cambria Math" w:cs="Times New Roman"/>
                  <w:sz w:val="24"/>
                </w:rPr>
                <m:t>,σ</m:t>
              </m:r>
            </m:e>
          </m:d>
          <m:r>
            <w:rPr>
              <w:rFonts w:ascii="Cambria Math" w:hAnsi="Cambria Math" w:cs="Times New Roman"/>
              <w:sz w:val="24"/>
            </w:rPr>
            <m:t xml:space="preserve">, </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ir</m:t>
              </m:r>
            </m:sub>
          </m:sSub>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ir</m:t>
              </m:r>
            </m:sub>
          </m:sSub>
          <m:sSup>
            <m:sSupPr>
              <m:ctrlPr>
                <w:rPr>
                  <w:rFonts w:ascii="Cambria Math" w:hAnsi="Cambria Math" w:cs="Times New Roman"/>
                  <w:i/>
                  <w:sz w:val="24"/>
                </w:rPr>
              </m:ctrlPr>
            </m:sSupPr>
            <m:e>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ir</m:t>
                  </m:r>
                </m:sub>
              </m:sSub>
            </m:e>
            <m:sup>
              <m:r>
                <w:rPr>
                  <w:rFonts w:ascii="Cambria Math" w:hAnsi="Cambria Math" w:cs="Times New Roman"/>
                  <w:sz w:val="24"/>
                </w:rPr>
                <m:t>2</m:t>
              </m:r>
            </m:sup>
          </m:sSup>
        </m:oMath>
      </m:oMathPara>
    </w:p>
    <w:p w14:paraId="5EE674AC" w14:textId="0B99F05B"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 xml:space="preserve">where </w:t>
      </w:r>
      <m:oMath>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LOG_Pop</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p</m:t>
            </m:r>
          </m:sub>
        </m:sSub>
      </m:oMath>
    </w:p>
    <w:p w14:paraId="4A16C479" w14:textId="7777777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Region-level parameters were drawn from weakly informative normals; their means and standard deviations were initialized from a preliminary region-only model to improve sampling efficiency:</w:t>
      </w:r>
    </w:p>
    <w:p w14:paraId="22CC0BD3" w14:textId="6C217077" w:rsidR="00E90E95" w:rsidRDefault="00DA41B4" w:rsidP="00481BE2">
      <w:pPr>
        <w:spacing w:line="480" w:lineRule="auto"/>
        <w:rPr>
          <w:rFonts w:ascii="Times New Roman" w:hAnsi="Times New Roman" w:cs="Times New Roman"/>
          <w:sz w:val="24"/>
        </w:rPr>
      </w:pPr>
      <m:oMathPara>
        <m:oMath>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r</m:t>
              </m:r>
            </m:sub>
          </m:sSub>
          <m:r>
            <w:rPr>
              <w:rFonts w:ascii="Cambria Math" w:hAnsi="Cambria Math" w:cs="Times New Roman"/>
              <w:sz w:val="24"/>
            </w:rPr>
            <m:t>)</m:t>
          </m:r>
          <m:r>
            <w:rPr>
              <w:rFonts w:ascii="Cambria Math" w:hAnsi="Cambria Math" w:cs="Times New Roman"/>
              <w:sz w:val="24"/>
            </w:rPr>
            <m:t>~N(</m:t>
          </m:r>
          <m:sSub>
            <m:sSubPr>
              <m:ctrlPr>
                <w:rPr>
                  <w:rFonts w:ascii="Cambria Math" w:hAnsi="Cambria Math" w:cs="Times New Roman"/>
                  <w:i/>
                  <w:sz w:val="24"/>
                </w:rPr>
              </m:ctrlPr>
            </m:sSubPr>
            <m:e>
              <m:r>
                <w:rPr>
                  <w:rFonts w:ascii="Cambria Math" w:hAnsi="Cambria Math" w:cs="Times New Roman"/>
                  <w:sz w:val="24"/>
                </w:rPr>
                <m:t>m</m:t>
              </m:r>
            </m:e>
            <m:sub>
              <m:r>
                <w:rPr>
                  <w:rFonts w:ascii="Cambria Math" w:hAnsi="Cambria Math" w:cs="Times New Roman"/>
                  <w:sz w:val="24"/>
                </w:rPr>
                <m:t>*r</m:t>
              </m:r>
            </m:sub>
          </m:sSub>
          <m:r>
            <w:rPr>
              <w:rFonts w:ascii="Cambria Math" w:hAnsi="Cambria Math" w:cs="Times New Roman"/>
              <w:sz w:val="24"/>
            </w:rPr>
            <m:t>,</m:t>
          </m:r>
          <m:sSub>
            <m:sSubPr>
              <m:ctrlPr>
                <w:rPr>
                  <w:rFonts w:ascii="Cambria Math" w:hAnsi="Cambria Math" w:cs="Times New Roman"/>
                  <w:i/>
                  <w:sz w:val="24"/>
                </w:rPr>
              </m:ctrlPr>
            </m:sSubPr>
            <m:e>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2</m:t>
                  </m:r>
                </m:sup>
              </m:sSup>
            </m:e>
            <m:sub>
              <m:r>
                <w:rPr>
                  <w:rFonts w:ascii="Cambria Math" w:hAnsi="Cambria Math" w:cs="Times New Roman"/>
                  <w:sz w:val="24"/>
                </w:rPr>
                <m:t>*r</m:t>
              </m:r>
            </m:sub>
          </m:sSub>
          <m:r>
            <w:rPr>
              <w:rFonts w:ascii="Cambria Math" w:hAnsi="Cambria Math" w:cs="Times New Roman"/>
              <w:sz w:val="24"/>
            </w:rPr>
            <m:t>)</m:t>
          </m:r>
        </m:oMath>
      </m:oMathPara>
    </w:p>
    <w:p w14:paraId="461FCCD3" w14:textId="7777777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lastRenderedPageBreak/>
        <w:t>Country-level effects followed non-centered normal offsets:</w:t>
      </w:r>
    </w:p>
    <w:p w14:paraId="43BFFF26" w14:textId="77777777" w:rsidR="00EF339F" w:rsidRDefault="006365CF" w:rsidP="00481BE2">
      <w:pPr>
        <w:spacing w:line="480" w:lineRule="auto"/>
        <w:rPr>
          <w:rFonts w:ascii="Times New Roman" w:hAnsi="Times New Roman" w:cs="Times New Roman"/>
          <w:sz w:val="24"/>
        </w:rPr>
      </w:pPr>
      <m:oMathPara>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α</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αir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β</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βir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γ</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γ</m:t>
              </m:r>
              <m:r>
                <w:rPr>
                  <w:rFonts w:ascii="Cambria Math" w:hAnsi="Cambria Math" w:cs="Times New Roman"/>
                  <w:sz w:val="24"/>
                </w:rPr>
                <m:t>ir,</m:t>
              </m:r>
            </m:sub>
          </m:sSub>
          <m:sSub>
            <m:sSubPr>
              <m:ctrlPr>
                <w:rPr>
                  <w:rFonts w:ascii="Cambria Math" w:hAnsi="Cambria Math" w:cs="Times New Roman"/>
                  <w:i/>
                  <w:sz w:val="24"/>
                </w:rPr>
              </m:ctrlPr>
            </m:sSubPr>
            <m:e>
              <m:r>
                <w:rPr>
                  <w:rFonts w:ascii="Cambria Math" w:hAnsi="Cambria Math" w:cs="Times New Roman"/>
                  <w:sz w:val="24"/>
                </w:rPr>
                <m:t>μ</m:t>
              </m:r>
            </m:e>
            <m:sub>
              <m:r>
                <w:rPr>
                  <w:rFonts w:ascii="Cambria Math" w:hAnsi="Cambria Math" w:cs="Times New Roman"/>
                  <w:sz w:val="24"/>
                </w:rPr>
                <m:t>*ir</m:t>
              </m:r>
            </m:sub>
          </m:sSub>
          <m:r>
            <w:rPr>
              <w:rFonts w:ascii="Cambria Math" w:hAnsi="Cambria Math" w:cs="Times New Roman"/>
              <w:sz w:val="24"/>
            </w:rPr>
            <m:t>~N(0,1)</m:t>
          </m:r>
        </m:oMath>
      </m:oMathPara>
    </w:p>
    <w:p w14:paraId="18486974" w14:textId="77777777" w:rsidR="009501B3"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 xml:space="preserve">Hyper-scales </w:t>
      </w:r>
      <m:oMath>
        <m:sSub>
          <m:sSubPr>
            <m:ctrlPr>
              <w:rPr>
                <w:rFonts w:ascii="Cambria Math" w:hAnsi="Cambria Math" w:cs="Times New Roman"/>
                <w:i/>
                <w:sz w:val="24"/>
              </w:rPr>
            </m:ctrlPr>
          </m:sSubPr>
          <m:e>
            <m:r>
              <w:rPr>
                <w:rFonts w:ascii="Cambria Math" w:hAnsi="Cambria Math" w:cs="Times New Roman"/>
                <w:sz w:val="24"/>
              </w:rPr>
              <m:t>σ</m:t>
            </m:r>
          </m:e>
          <m:sub>
            <m:r>
              <w:rPr>
                <w:rFonts w:ascii="Cambria Math" w:hAnsi="Cambria Math" w:cs="Times New Roman"/>
                <w:sz w:val="24"/>
              </w:rPr>
              <m:t>α,β,γ</m:t>
            </m:r>
          </m:sub>
        </m:sSub>
      </m:oMath>
      <w:r w:rsidRPr="00481BE2">
        <w:rPr>
          <w:rFonts w:ascii="Times New Roman" w:hAnsi="Times New Roman" w:cs="Times New Roman"/>
          <w:sz w:val="24"/>
        </w:rPr>
        <w:t>​ received half-normal(0, 1) priors. A Student-</w:t>
      </w:r>
      <w:r w:rsidRPr="00481BE2">
        <w:rPr>
          <w:rFonts w:ascii="Times New Roman" w:hAnsi="Times New Roman" w:cs="Times New Roman"/>
          <w:i/>
          <w:iCs/>
          <w:sz w:val="24"/>
        </w:rPr>
        <w:t>t</w:t>
      </w:r>
      <w:r w:rsidRPr="00481BE2">
        <w:rPr>
          <w:rFonts w:ascii="Times New Roman" w:hAnsi="Times New Roman" w:cs="Times New Roman"/>
          <w:sz w:val="24"/>
        </w:rPr>
        <w:t xml:space="preserve"> likelihood with </w:t>
      </w:r>
      <m:oMath>
        <m:r>
          <w:rPr>
            <w:rFonts w:ascii="Cambria Math" w:hAnsi="Cambria Math" w:cs="Times New Roman"/>
            <w:sz w:val="24"/>
          </w:rPr>
          <m:t>ν~</m:t>
        </m:r>
        <m:r>
          <w:rPr>
            <w:rFonts w:ascii="Cambria Math" w:hAnsi="Cambria Math" w:cs="Times New Roman"/>
            <w:sz w:val="24"/>
          </w:rPr>
          <m:t>Exponential(1/30)</m:t>
        </m:r>
      </m:oMath>
    </w:p>
    <w:p w14:paraId="4F09AA32" w14:textId="327DABAD"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accommodated outliers.</w:t>
      </w:r>
    </w:p>
    <w:p w14:paraId="40D32FA8" w14:textId="77777777" w:rsidR="00481BE2" w:rsidRPr="00481BE2" w:rsidRDefault="00481BE2" w:rsidP="00481BE2">
      <w:pPr>
        <w:spacing w:line="480" w:lineRule="auto"/>
        <w:rPr>
          <w:rFonts w:ascii="Times New Roman" w:hAnsi="Times New Roman" w:cs="Times New Roman"/>
          <w:b/>
          <w:bCs/>
          <w:sz w:val="24"/>
        </w:rPr>
      </w:pPr>
      <w:r w:rsidRPr="00481BE2">
        <w:rPr>
          <w:rFonts w:ascii="Times New Roman" w:hAnsi="Times New Roman" w:cs="Times New Roman"/>
          <w:b/>
          <w:bCs/>
          <w:sz w:val="24"/>
        </w:rPr>
        <w:t>4. Inference and Diagnostics</w:t>
      </w:r>
    </w:p>
    <w:p w14:paraId="00D824AA" w14:textId="1A2FE191"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Posterior sampling used PyMC 5.12 with the NUTS sampler (target_accept = 0.</w:t>
      </w:r>
      <w:r w:rsidR="00C13709">
        <w:rPr>
          <w:rFonts w:ascii="Times New Roman" w:hAnsi="Times New Roman" w:cs="Times New Roman" w:hint="eastAsia"/>
          <w:sz w:val="24"/>
        </w:rPr>
        <w:t>9</w:t>
      </w:r>
      <w:r w:rsidRPr="00481BE2">
        <w:rPr>
          <w:rFonts w:ascii="Times New Roman" w:hAnsi="Times New Roman" w:cs="Times New Roman"/>
          <w:sz w:val="24"/>
        </w:rPr>
        <w:t>9, four chains, 5 000 warm-up + 10 000 draws). Convergence criteria were R-hat ≤ 1.01 and effective sample size &gt; 400 for all monitored parameters. Model adequacy was assessed through posterior predictive checks and leave-one-out cross-validation.</w:t>
      </w:r>
    </w:p>
    <w:p w14:paraId="7F033F0F" w14:textId="77777777" w:rsidR="00481BE2" w:rsidRPr="00481BE2" w:rsidRDefault="00481BE2" w:rsidP="00481BE2">
      <w:pPr>
        <w:spacing w:line="480" w:lineRule="auto"/>
        <w:rPr>
          <w:rFonts w:ascii="Times New Roman" w:hAnsi="Times New Roman" w:cs="Times New Roman"/>
          <w:b/>
          <w:bCs/>
          <w:sz w:val="24"/>
        </w:rPr>
      </w:pPr>
      <w:r w:rsidRPr="00481BE2">
        <w:rPr>
          <w:rFonts w:ascii="Times New Roman" w:hAnsi="Times New Roman" w:cs="Times New Roman"/>
          <w:b/>
          <w:bCs/>
          <w:sz w:val="24"/>
        </w:rPr>
        <w:t>5. Scenario-Based GDP Forecasting</w:t>
      </w:r>
    </w:p>
    <w:p w14:paraId="3A971039" w14:textId="4E2BF478" w:rsid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 xml:space="preserve">Posterior draws of </w:t>
      </w:r>
      <m:oMath>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β</m:t>
            </m:r>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ir</m:t>
            </m:r>
          </m:sub>
        </m:sSub>
        <m:r>
          <w:rPr>
            <w:rFonts w:ascii="Cambria Math" w:hAnsi="Cambria Math" w:cs="Times New Roman"/>
            <w:sz w:val="24"/>
          </w:rPr>
          <m:t>)</m:t>
        </m:r>
      </m:oMath>
      <w:r w:rsidRPr="00481BE2">
        <w:rPr>
          <w:rFonts w:ascii="Times New Roman" w:hAnsi="Times New Roman" w:cs="Times New Roman"/>
          <w:sz w:val="24"/>
        </w:rPr>
        <w:t xml:space="preserve"> were combined with variant-specific 2024-2100 population paths to generate predictive samples:</w:t>
      </w:r>
    </w:p>
    <w:p w14:paraId="6830CD85" w14:textId="2391F2AF" w:rsidR="005C3C9D" w:rsidRPr="00481BE2" w:rsidRDefault="008E0717" w:rsidP="00481BE2">
      <w:pPr>
        <w:spacing w:line="480" w:lineRule="auto"/>
        <w:rPr>
          <w:rFonts w:ascii="Times New Roman" w:hAnsi="Times New Roman" w:cs="Times New Roman"/>
          <w:sz w:val="24"/>
        </w:rPr>
      </w:pPr>
      <m:oMathPara>
        <m:oMath>
          <m:acc>
            <m:accPr>
              <m:ctrlPr>
                <w:rPr>
                  <w:rFonts w:ascii="Cambria Math" w:hAnsi="Cambria Math" w:cs="Times New Roman"/>
                  <w:i/>
                  <w:sz w:val="24"/>
                </w:rPr>
              </m:ctrlPr>
            </m:accPr>
            <m:e>
              <m:sSup>
                <m:sSupPr>
                  <m:ctrlPr>
                    <w:rPr>
                      <w:rFonts w:ascii="Cambria Math" w:hAnsi="Cambria Math" w:cs="Times New Roman"/>
                      <w:i/>
                      <w:sz w:val="24"/>
                    </w:rPr>
                  </m:ctrlPr>
                </m:sSupPr>
                <m:e>
                  <m:sSub>
                    <m:sSubPr>
                      <m:ctrlPr>
                        <w:rPr>
                          <w:rFonts w:ascii="Cambria Math" w:hAnsi="Cambria Math" w:cs="Times New Roman"/>
                          <w:i/>
                          <w:sz w:val="24"/>
                        </w:rPr>
                      </m:ctrlPr>
                    </m:sSubPr>
                    <m:e>
                      <m:r>
                        <w:rPr>
                          <w:rFonts w:ascii="Cambria Math" w:hAnsi="Cambria Math" w:cs="Times New Roman"/>
                          <w:sz w:val="24"/>
                        </w:rPr>
                        <m:t>GDP</m:t>
                      </m:r>
                    </m:e>
                    <m:sub>
                      <m:r>
                        <w:rPr>
                          <w:rFonts w:ascii="Cambria Math" w:hAnsi="Cambria Math" w:cs="Times New Roman"/>
                          <w:sz w:val="24"/>
                        </w:rPr>
                        <m:t>ir,t</m:t>
                      </m:r>
                    </m:sub>
                  </m:sSub>
                </m:e>
                <m:sup>
                  <m:r>
                    <w:rPr>
                      <w:rFonts w:ascii="Cambria Math" w:hAnsi="Cambria Math" w:cs="Times New Roman"/>
                      <w:sz w:val="24"/>
                    </w:rPr>
                    <m:t>(m)</m:t>
                  </m:r>
                </m:sup>
              </m:sSup>
              <m:r>
                <w:rPr>
                  <w:rFonts w:ascii="Cambria Math" w:hAnsi="Cambria Math" w:cs="Times New Roman"/>
                  <w:sz w:val="24"/>
                </w:rPr>
                <m:t>=</m:t>
              </m:r>
              <m:sSup>
                <m:sSupPr>
                  <m:ctrlPr>
                    <w:rPr>
                      <w:rFonts w:ascii="Cambria Math" w:hAnsi="Cambria Math" w:cs="Times New Roman"/>
                      <w:i/>
                      <w:sz w:val="24"/>
                    </w:rPr>
                  </m:ctrlPr>
                </m:sSupPr>
                <m:e>
                  <m:r>
                    <w:rPr>
                      <w:rFonts w:ascii="Cambria Math" w:hAnsi="Cambria Math" w:cs="Times New Roman"/>
                      <w:sz w:val="24"/>
                    </w:rPr>
                    <m:t>10</m:t>
                  </m:r>
                </m:e>
                <m:sup>
                  <m:sSub>
                    <m:sSubPr>
                      <m:ctrlPr>
                        <w:rPr>
                          <w:rFonts w:ascii="Cambria Math" w:hAnsi="Cambria Math" w:cs="Times New Roman"/>
                          <w:i/>
                          <w:sz w:val="24"/>
                        </w:rPr>
                      </m:ctrlPr>
                    </m:sSubPr>
                    <m:e>
                      <m:sSup>
                        <m:sSupPr>
                          <m:ctrlPr>
                            <w:rPr>
                              <w:rFonts w:ascii="Cambria Math" w:hAnsi="Cambria Math" w:cs="Times New Roman"/>
                              <w:i/>
                              <w:sz w:val="24"/>
                            </w:rPr>
                          </m:ctrlPr>
                        </m:sSupPr>
                        <m:e>
                          <m:r>
                            <w:rPr>
                              <w:rFonts w:ascii="Cambria Math" w:hAnsi="Cambria Math" w:cs="Times New Roman"/>
                              <w:sz w:val="24"/>
                            </w:rPr>
                            <m:t>α</m:t>
                          </m:r>
                        </m:e>
                        <m:sup>
                          <m:r>
                            <w:rPr>
                              <w:rFonts w:ascii="Cambria Math" w:hAnsi="Cambria Math" w:cs="Times New Roman"/>
                              <w:sz w:val="24"/>
                            </w:rPr>
                            <m:t>(m)</m:t>
                          </m:r>
                        </m:sup>
                      </m:sSup>
                    </m:e>
                    <m:sub>
                      <m:r>
                        <w:rPr>
                          <w:rFonts w:ascii="Cambria Math" w:hAnsi="Cambria Math" w:cs="Times New Roman"/>
                          <w:sz w:val="24"/>
                        </w:rPr>
                        <m:t>ir</m:t>
                      </m:r>
                    </m:sub>
                  </m:sSub>
                  <m:r>
                    <w:rPr>
                      <w:rFonts w:ascii="Cambria Math" w:hAnsi="Cambria Math" w:cs="Times New Roman"/>
                      <w:sz w:val="24"/>
                    </w:rPr>
                    <m:t>+</m:t>
                  </m:r>
                  <m:sSub>
                    <m:sSubPr>
                      <m:ctrlPr>
                        <w:rPr>
                          <w:rFonts w:ascii="Cambria Math" w:hAnsi="Cambria Math" w:cs="Times New Roman"/>
                          <w:i/>
                          <w:sz w:val="24"/>
                        </w:rPr>
                      </m:ctrlPr>
                    </m:sSubPr>
                    <m:e>
                      <m:sSup>
                        <m:sSupPr>
                          <m:ctrlPr>
                            <w:rPr>
                              <w:rFonts w:ascii="Cambria Math" w:hAnsi="Cambria Math" w:cs="Times New Roman"/>
                              <w:i/>
                              <w:sz w:val="24"/>
                            </w:rPr>
                          </m:ctrlPr>
                        </m:sSupPr>
                        <m:e>
                          <m:r>
                            <w:rPr>
                              <w:rFonts w:ascii="Cambria Math" w:hAnsi="Cambria Math" w:cs="Times New Roman"/>
                              <w:sz w:val="24"/>
                            </w:rPr>
                            <m:t>β</m:t>
                          </m:r>
                        </m:e>
                        <m:sup>
                          <m:r>
                            <w:rPr>
                              <w:rFonts w:ascii="Cambria Math" w:hAnsi="Cambria Math" w:cs="Times New Roman"/>
                              <w:sz w:val="24"/>
                            </w:rPr>
                            <m:t>(m)</m:t>
                          </m:r>
                        </m:sup>
                      </m:sSup>
                    </m:e>
                    <m:sub>
                      <m:r>
                        <w:rPr>
                          <w:rFonts w:ascii="Cambria Math" w:hAnsi="Cambria Math" w:cs="Times New Roman"/>
                          <w:sz w:val="24"/>
                        </w:rPr>
                        <m:t>ir</m:t>
                      </m:r>
                    </m:sub>
                  </m:sSub>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ir,t</m:t>
                      </m:r>
                    </m:sub>
                  </m:sSub>
                  <m:r>
                    <w:rPr>
                      <w:rFonts w:ascii="Cambria Math" w:hAnsi="Cambria Math" w:cs="Times New Roman"/>
                      <w:sz w:val="24"/>
                    </w:rPr>
                    <m:t>+</m:t>
                  </m:r>
                  <m:sSub>
                    <m:sSubPr>
                      <m:ctrlPr>
                        <w:rPr>
                          <w:rFonts w:ascii="Cambria Math" w:hAnsi="Cambria Math" w:cs="Times New Roman"/>
                          <w:i/>
                          <w:sz w:val="24"/>
                        </w:rPr>
                      </m:ctrlPr>
                    </m:sSubPr>
                    <m:e>
                      <m:sSup>
                        <m:sSupPr>
                          <m:ctrlPr>
                            <w:rPr>
                              <w:rFonts w:ascii="Cambria Math" w:hAnsi="Cambria Math" w:cs="Times New Roman"/>
                              <w:i/>
                              <w:sz w:val="24"/>
                            </w:rPr>
                          </m:ctrlPr>
                        </m:sSupPr>
                        <m:e>
                          <m:r>
                            <w:rPr>
                              <w:rFonts w:ascii="Cambria Math" w:hAnsi="Cambria Math" w:cs="Times New Roman"/>
                              <w:sz w:val="24"/>
                            </w:rPr>
                            <m:t>γ</m:t>
                          </m:r>
                        </m:e>
                        <m:sup>
                          <m:r>
                            <w:rPr>
                              <w:rFonts w:ascii="Cambria Math" w:hAnsi="Cambria Math" w:cs="Times New Roman"/>
                              <w:sz w:val="24"/>
                            </w:rPr>
                            <m:t>(m)</m:t>
                          </m:r>
                        </m:sup>
                      </m:sSup>
                    </m:e>
                    <m:sub>
                      <m:r>
                        <w:rPr>
                          <w:rFonts w:ascii="Cambria Math" w:hAnsi="Cambria Math" w:cs="Times New Roman"/>
                          <w:sz w:val="24"/>
                        </w:rPr>
                        <m:t>ir</m:t>
                      </m:r>
                    </m:sub>
                  </m:sSub>
                  <m:sSub>
                    <m:sSubPr>
                      <m:ctrlPr>
                        <w:rPr>
                          <w:rFonts w:ascii="Cambria Math" w:hAnsi="Cambria Math" w:cs="Times New Roman"/>
                          <w:i/>
                          <w:sz w:val="24"/>
                        </w:rPr>
                      </m:ctrlPr>
                    </m:sSubPr>
                    <m:e>
                      <m:sSup>
                        <m:sSupPr>
                          <m:ctrlPr>
                            <w:rPr>
                              <w:rFonts w:ascii="Cambria Math" w:hAnsi="Cambria Math" w:cs="Times New Roman"/>
                              <w:i/>
                              <w:sz w:val="24"/>
                            </w:rPr>
                          </m:ctrlPr>
                        </m:sSupPr>
                        <m:e>
                          <m:r>
                            <w:rPr>
                              <w:rFonts w:ascii="Cambria Math" w:hAnsi="Cambria Math" w:cs="Times New Roman"/>
                              <w:sz w:val="24"/>
                            </w:rPr>
                            <m:t>x</m:t>
                          </m:r>
                        </m:e>
                        <m:sup>
                          <m:r>
                            <w:rPr>
                              <w:rFonts w:ascii="Cambria Math" w:hAnsi="Cambria Math" w:cs="Times New Roman"/>
                              <w:sz w:val="24"/>
                            </w:rPr>
                            <m:t>2</m:t>
                          </m:r>
                        </m:sup>
                      </m:sSup>
                    </m:e>
                    <m:sub>
                      <m:r>
                        <w:rPr>
                          <w:rFonts w:ascii="Cambria Math" w:hAnsi="Cambria Math" w:cs="Times New Roman"/>
                          <w:sz w:val="24"/>
                        </w:rPr>
                        <m:t>ir,t</m:t>
                      </m:r>
                    </m:sub>
                  </m:sSub>
                </m:sup>
              </m:sSup>
            </m:e>
          </m:acc>
        </m:oMath>
      </m:oMathPara>
    </w:p>
    <w:p w14:paraId="12C0D7D9" w14:textId="19035CBD"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 xml:space="preserve">with </w:t>
      </w:r>
      <w:r w:rsidR="006779D8">
        <w:rPr>
          <w:rFonts w:ascii="Times New Roman" w:hAnsi="Times New Roman" w:cs="Times New Roman" w:hint="eastAsia"/>
          <w:sz w:val="24"/>
        </w:rPr>
        <w:t xml:space="preserve">m </w:t>
      </w:r>
      <w:r w:rsidRPr="00481BE2">
        <w:rPr>
          <w:rFonts w:ascii="Times New Roman" w:hAnsi="Times New Roman" w:cs="Times New Roman"/>
          <w:sz w:val="24"/>
        </w:rPr>
        <w:t>indexing posterior draws. Medians and 95 % highest-density intervals (HDI) were reported.</w:t>
      </w:r>
    </w:p>
    <w:p w14:paraId="0B256C0A" w14:textId="77777777" w:rsidR="00481BE2" w:rsidRPr="00481BE2" w:rsidRDefault="00481BE2" w:rsidP="00481BE2">
      <w:pPr>
        <w:spacing w:line="480" w:lineRule="auto"/>
        <w:rPr>
          <w:rFonts w:ascii="Times New Roman" w:hAnsi="Times New Roman" w:cs="Times New Roman"/>
          <w:b/>
          <w:bCs/>
          <w:sz w:val="24"/>
        </w:rPr>
      </w:pPr>
      <w:r w:rsidRPr="00481BE2">
        <w:rPr>
          <w:rFonts w:ascii="Times New Roman" w:hAnsi="Times New Roman" w:cs="Times New Roman"/>
          <w:b/>
          <w:bCs/>
          <w:sz w:val="24"/>
        </w:rPr>
        <w:lastRenderedPageBreak/>
        <w:t>6. Meta-analytic Synthesis Across Variants</w:t>
      </w:r>
    </w:p>
    <w:p w14:paraId="35AE64B2" w14:textId="03117ED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 xml:space="preserve">For each country–year combination, variant-specific medians were pooled on the log-scale with a DerSimonian–Laird random-effects model. Between-variant heterogeneity </w:t>
      </w:r>
      <m:oMath>
        <m:r>
          <w:rPr>
            <w:rFonts w:ascii="Cambria Math" w:hAnsi="Cambria Math" w:cs="Times New Roman"/>
            <w:sz w:val="24"/>
          </w:rPr>
          <m:t>(</m:t>
        </m:r>
        <m:sSup>
          <m:sSupPr>
            <m:ctrlPr>
              <w:rPr>
                <w:rFonts w:ascii="Cambria Math" w:hAnsi="Cambria Math" w:cs="Times New Roman"/>
                <w:i/>
                <w:sz w:val="24"/>
              </w:rPr>
            </m:ctrlPr>
          </m:sSupPr>
          <m:e>
            <m:r>
              <w:rPr>
                <w:rFonts w:ascii="Cambria Math" w:hAnsi="Cambria Math" w:cs="Times New Roman"/>
                <w:sz w:val="24"/>
              </w:rPr>
              <m:t>τ</m:t>
            </m:r>
          </m:e>
          <m:sup>
            <m:r>
              <w:rPr>
                <w:rFonts w:ascii="Cambria Math" w:hAnsi="Cambria Math" w:cs="Times New Roman"/>
                <w:sz w:val="24"/>
              </w:rPr>
              <m:t>2</m:t>
            </m:r>
          </m:sup>
        </m:sSup>
        <m:r>
          <w:rPr>
            <w:rFonts w:ascii="Cambria Math" w:hAnsi="Cambria Math" w:cs="Times New Roman"/>
            <w:sz w:val="24"/>
          </w:rPr>
          <m:t>)</m:t>
        </m:r>
      </m:oMath>
      <w:r w:rsidRPr="00481BE2">
        <w:rPr>
          <w:rFonts w:ascii="Times New Roman" w:hAnsi="Times New Roman" w:cs="Times New Roman"/>
          <w:sz w:val="24"/>
        </w:rPr>
        <w:t xml:space="preserve"> and pooled estimates were back-transformed to the GDP scale to yield </w:t>
      </w:r>
      <w:r w:rsidRPr="00481BE2">
        <w:rPr>
          <w:rFonts w:ascii="Times New Roman" w:hAnsi="Times New Roman" w:cs="Times New Roman"/>
          <w:i/>
          <w:iCs/>
          <w:sz w:val="24"/>
        </w:rPr>
        <w:t>Pooled Median</w:t>
      </w:r>
      <w:r w:rsidRPr="00481BE2">
        <w:rPr>
          <w:rFonts w:ascii="Times New Roman" w:hAnsi="Times New Roman" w:cs="Times New Roman"/>
          <w:sz w:val="24"/>
        </w:rPr>
        <w:t xml:space="preserve"> and 95 % HDI.</w:t>
      </w:r>
    </w:p>
    <w:p w14:paraId="7E59C8D1" w14:textId="77777777" w:rsidR="00481BE2" w:rsidRPr="00481BE2" w:rsidRDefault="00481BE2" w:rsidP="00481BE2">
      <w:pPr>
        <w:spacing w:line="480" w:lineRule="auto"/>
        <w:rPr>
          <w:rFonts w:ascii="Times New Roman" w:hAnsi="Times New Roman" w:cs="Times New Roman"/>
          <w:b/>
          <w:bCs/>
          <w:sz w:val="24"/>
        </w:rPr>
      </w:pPr>
      <w:r w:rsidRPr="00481BE2">
        <w:rPr>
          <w:rFonts w:ascii="Times New Roman" w:hAnsi="Times New Roman" w:cs="Times New Roman"/>
          <w:b/>
          <w:bCs/>
          <w:sz w:val="24"/>
        </w:rPr>
        <w:t>7. Software</w:t>
      </w:r>
    </w:p>
    <w:p w14:paraId="5579F70E" w14:textId="77777777" w:rsidR="00481BE2" w:rsidRPr="00481BE2" w:rsidRDefault="00481BE2" w:rsidP="00481BE2">
      <w:pPr>
        <w:spacing w:line="480" w:lineRule="auto"/>
        <w:rPr>
          <w:rFonts w:ascii="Times New Roman" w:hAnsi="Times New Roman" w:cs="Times New Roman"/>
          <w:sz w:val="24"/>
        </w:rPr>
      </w:pPr>
      <w:r w:rsidRPr="00481BE2">
        <w:rPr>
          <w:rFonts w:ascii="Times New Roman" w:hAnsi="Times New Roman" w:cs="Times New Roman"/>
          <w:sz w:val="24"/>
        </w:rPr>
        <w:t>All analyses were conducted in Python 3.12 (PyMC 5.12, ArviZ 0.17, NumPy 1.27, Pandas 2.2). Reproducible scripts are provided in the project repository.</w:t>
      </w:r>
    </w:p>
    <w:p w14:paraId="63AEF4A7" w14:textId="77777777" w:rsidR="00481BE2" w:rsidRDefault="00481BE2" w:rsidP="00EF063D">
      <w:pPr>
        <w:spacing w:line="480" w:lineRule="auto"/>
        <w:rPr>
          <w:rFonts w:ascii="Times New Roman" w:hAnsi="Times New Roman" w:cs="Times New Roman"/>
          <w:sz w:val="24"/>
        </w:rPr>
      </w:pPr>
    </w:p>
    <w:p w14:paraId="1DBDC23C" w14:textId="74CC1739" w:rsidR="0072546E" w:rsidRDefault="0072546E" w:rsidP="00EF063D">
      <w:pPr>
        <w:spacing w:line="480" w:lineRule="auto"/>
        <w:rPr>
          <w:rFonts w:ascii="Times New Roman" w:hAnsi="Times New Roman" w:cs="Times New Roman"/>
          <w:sz w:val="24"/>
        </w:rPr>
      </w:pPr>
      <w:r>
        <w:rPr>
          <w:rFonts w:ascii="Times New Roman" w:hAnsi="Times New Roman" w:cs="Times New Roman" w:hint="eastAsia"/>
          <w:sz w:val="24"/>
        </w:rPr>
        <w:t>Result</w:t>
      </w:r>
    </w:p>
    <w:p w14:paraId="50E9E2B8" w14:textId="77777777" w:rsidR="002802D1" w:rsidRPr="002802D1" w:rsidRDefault="002802D1" w:rsidP="002802D1">
      <w:pPr>
        <w:spacing w:line="480" w:lineRule="auto"/>
        <w:rPr>
          <w:rFonts w:ascii="Times New Roman" w:hAnsi="Times New Roman" w:cs="Times New Roman"/>
          <w:b/>
          <w:bCs/>
          <w:sz w:val="24"/>
        </w:rPr>
      </w:pPr>
      <w:r w:rsidRPr="002802D1">
        <w:rPr>
          <w:rFonts w:ascii="Times New Roman" w:hAnsi="Times New Roman" w:cs="Times New Roman"/>
          <w:b/>
          <w:bCs/>
          <w:sz w:val="24"/>
        </w:rPr>
        <w:t>1. Descriptive overview</w:t>
      </w:r>
    </w:p>
    <w:p w14:paraId="37AB8A35" w14:textId="77777777" w:rsidR="002802D1" w:rsidRPr="002802D1" w:rsidRDefault="002802D1" w:rsidP="002802D1">
      <w:pPr>
        <w:spacing w:line="480" w:lineRule="auto"/>
        <w:rPr>
          <w:rFonts w:ascii="Times New Roman" w:hAnsi="Times New Roman" w:cs="Times New Roman"/>
          <w:sz w:val="24"/>
        </w:rPr>
      </w:pPr>
      <w:r w:rsidRPr="002802D1">
        <w:rPr>
          <w:rFonts w:ascii="Times New Roman" w:hAnsi="Times New Roman" w:cs="Times New Roman"/>
          <w:sz w:val="24"/>
        </w:rPr>
        <w:t xml:space="preserve">The historical panel comprised </w:t>
      </w:r>
      <w:r w:rsidRPr="002802D1">
        <w:rPr>
          <w:rFonts w:ascii="Times New Roman" w:hAnsi="Times New Roman" w:cs="Times New Roman"/>
          <w:b/>
          <w:bCs/>
          <w:sz w:val="24"/>
        </w:rPr>
        <w:t>180 countries</w:t>
      </w:r>
      <w:r w:rsidRPr="002802D1">
        <w:rPr>
          <w:rFonts w:ascii="Times New Roman" w:hAnsi="Times New Roman" w:cs="Times New Roman"/>
          <w:sz w:val="24"/>
        </w:rPr>
        <w:t xml:space="preserve"> (1960-2023; 10 390 country-years). Mean log-population was 7.04 (SD = 0.80) and mean log-GDP was 11.61 (SD = 1.25). Convergence was excellent for all region- and country-level parameters (R-hat ≤ 1.01; effective sample size &gt; 500).</w:t>
      </w:r>
    </w:p>
    <w:p w14:paraId="5B45029A"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2. Posterior estimates</w:t>
      </w:r>
    </w:p>
    <w:p w14:paraId="0181A7F0"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lastRenderedPageBreak/>
        <w:t xml:space="preserve">Across the full sample, the posterior median linear coefficient for centered log-population was </w:t>
      </w:r>
      <w:r w:rsidRPr="00D17483">
        <w:rPr>
          <w:rFonts w:ascii="Times New Roman" w:hAnsi="Times New Roman" w:cs="Times New Roman"/>
          <w:b/>
          <w:bCs/>
          <w:sz w:val="24"/>
        </w:rPr>
        <w:t>β = 0.78</w:t>
      </w:r>
      <w:r w:rsidRPr="00D17483">
        <w:rPr>
          <w:rFonts w:ascii="Times New Roman" w:hAnsi="Times New Roman" w:cs="Times New Roman"/>
          <w:sz w:val="24"/>
        </w:rPr>
        <w:t xml:space="preserve"> (95 % HDI 0.69 – 0.88) and the quadratic term </w:t>
      </w:r>
      <w:r w:rsidRPr="00D17483">
        <w:rPr>
          <w:rFonts w:ascii="Times New Roman" w:hAnsi="Times New Roman" w:cs="Times New Roman"/>
          <w:b/>
          <w:bCs/>
          <w:sz w:val="24"/>
        </w:rPr>
        <w:t>γ = -0.035</w:t>
      </w:r>
      <w:r w:rsidRPr="00D17483">
        <w:rPr>
          <w:rFonts w:ascii="Times New Roman" w:hAnsi="Times New Roman" w:cs="Times New Roman"/>
          <w:sz w:val="24"/>
        </w:rPr>
        <w:t xml:space="preserve"> (-0.052 – -0.018), indicating a positive but diminishing marginal association between population size and economic output. Region-level variances (σ²) were an order of magnitude larger than country-level variances, confirming meaningful heterogeneity across world regions.</w:t>
      </w:r>
    </w:p>
    <w:p w14:paraId="6EF8965C"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3. Out-of-sample predictive accuracy</w:t>
      </w:r>
    </w:p>
    <w:p w14:paraId="51AD3D35"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Posterior-predictive checks showed the model reproduced the empirical distribution of log-GDP with a mean absolute error of 0.11 log units (≈ 11 %). Leave-one-out information criterion (ELPD) favored the quadratic specification over a linear alternative by 987 (SE = 61).</w:t>
      </w:r>
    </w:p>
    <w:p w14:paraId="23241E32"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4. Scenario-specific GDP forecasts</w:t>
      </w:r>
    </w:p>
    <w:p w14:paraId="3BA72B6C"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Combining 10 UN demographic variants with the country-level posteriors yielded 180 × 77 = 13 860 scenario trajectories (2024-2100). Variant-specific medians were synthesized with a DerSimonian-Laird random-effects model (log-scale pooling).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3"/>
        <w:gridCol w:w="540"/>
        <w:gridCol w:w="540"/>
        <w:gridCol w:w="540"/>
        <w:gridCol w:w="555"/>
      </w:tblGrid>
      <w:tr w:rsidR="00D17483" w:rsidRPr="00D17483" w14:paraId="27F3C00A" w14:textId="77777777" w:rsidTr="00D17483">
        <w:trPr>
          <w:tblHeader/>
          <w:tblCellSpacing w:w="15" w:type="dxa"/>
        </w:trPr>
        <w:tc>
          <w:tcPr>
            <w:tcW w:w="0" w:type="auto"/>
            <w:vAlign w:val="center"/>
            <w:hideMark/>
          </w:tcPr>
          <w:p w14:paraId="17399E1C"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lastRenderedPageBreak/>
              <w:t>Global pooled median GDP (USD, trillions)</w:t>
            </w:r>
          </w:p>
        </w:tc>
        <w:tc>
          <w:tcPr>
            <w:tcW w:w="0" w:type="auto"/>
            <w:vAlign w:val="center"/>
            <w:hideMark/>
          </w:tcPr>
          <w:p w14:paraId="187363C7"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2025</w:t>
            </w:r>
          </w:p>
        </w:tc>
        <w:tc>
          <w:tcPr>
            <w:tcW w:w="0" w:type="auto"/>
            <w:vAlign w:val="center"/>
            <w:hideMark/>
          </w:tcPr>
          <w:p w14:paraId="1DC78756"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2030</w:t>
            </w:r>
          </w:p>
        </w:tc>
        <w:tc>
          <w:tcPr>
            <w:tcW w:w="0" w:type="auto"/>
            <w:vAlign w:val="center"/>
            <w:hideMark/>
          </w:tcPr>
          <w:p w14:paraId="0A9FB102"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2035</w:t>
            </w:r>
          </w:p>
        </w:tc>
        <w:tc>
          <w:tcPr>
            <w:tcW w:w="0" w:type="auto"/>
            <w:vAlign w:val="center"/>
            <w:hideMark/>
          </w:tcPr>
          <w:p w14:paraId="2B564722"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2040</w:t>
            </w:r>
          </w:p>
        </w:tc>
      </w:tr>
      <w:tr w:rsidR="00D17483" w:rsidRPr="00D17483" w14:paraId="37E1D7E7" w14:textId="77777777" w:rsidTr="00D17483">
        <w:trPr>
          <w:tblCellSpacing w:w="15" w:type="dxa"/>
        </w:trPr>
        <w:tc>
          <w:tcPr>
            <w:tcW w:w="0" w:type="auto"/>
            <w:vAlign w:val="center"/>
            <w:hideMark/>
          </w:tcPr>
          <w:p w14:paraId="4D1B0D8F"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All countries combined</w:t>
            </w:r>
          </w:p>
        </w:tc>
        <w:tc>
          <w:tcPr>
            <w:tcW w:w="0" w:type="auto"/>
            <w:vAlign w:val="center"/>
            <w:hideMark/>
          </w:tcPr>
          <w:p w14:paraId="21E3FD3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115</w:t>
            </w:r>
          </w:p>
        </w:tc>
        <w:tc>
          <w:tcPr>
            <w:tcW w:w="0" w:type="auto"/>
            <w:vAlign w:val="center"/>
            <w:hideMark/>
          </w:tcPr>
          <w:p w14:paraId="42751D43"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129</w:t>
            </w:r>
          </w:p>
        </w:tc>
        <w:tc>
          <w:tcPr>
            <w:tcW w:w="0" w:type="auto"/>
            <w:vAlign w:val="center"/>
            <w:hideMark/>
          </w:tcPr>
          <w:p w14:paraId="21F072BA"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142</w:t>
            </w:r>
          </w:p>
        </w:tc>
        <w:tc>
          <w:tcPr>
            <w:tcW w:w="0" w:type="auto"/>
            <w:vAlign w:val="center"/>
            <w:hideMark/>
          </w:tcPr>
          <w:p w14:paraId="206E05D1"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155</w:t>
            </w:r>
          </w:p>
        </w:tc>
      </w:tr>
    </w:tbl>
    <w:p w14:paraId="6E247C80"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 xml:space="preserve">Cumulative growth from 2025 to 2040 is </w:t>
      </w:r>
      <w:r w:rsidRPr="00D17483">
        <w:rPr>
          <w:rFonts w:ascii="Times New Roman" w:hAnsi="Times New Roman" w:cs="Times New Roman"/>
          <w:b/>
          <w:bCs/>
          <w:sz w:val="24"/>
        </w:rPr>
        <w:t>34 %</w:t>
      </w:r>
      <w:r w:rsidRPr="00D17483">
        <w:rPr>
          <w:rFonts w:ascii="Times New Roman" w:hAnsi="Times New Roman" w:cs="Times New Roman"/>
          <w:sz w:val="24"/>
        </w:rPr>
        <w:t xml:space="preserve"> (95 % HDI 28 – 41 %).</w:t>
      </w:r>
    </w:p>
    <w:p w14:paraId="53145B70"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5. Leading economies</w:t>
      </w:r>
    </w:p>
    <w:p w14:paraId="4F04C60E"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Pooled medians (top 10) for 2025 and 2040 are shown below.</w:t>
      </w:r>
    </w:p>
    <w:p w14:paraId="052EF649"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590"/>
        <w:gridCol w:w="1254"/>
        <w:gridCol w:w="1358"/>
      </w:tblGrid>
      <w:tr w:rsidR="00D17483" w:rsidRPr="00D17483" w14:paraId="1B6B8C89" w14:textId="77777777" w:rsidTr="00D17483">
        <w:trPr>
          <w:tblHeader/>
          <w:tblCellSpacing w:w="15" w:type="dxa"/>
        </w:trPr>
        <w:tc>
          <w:tcPr>
            <w:tcW w:w="0" w:type="auto"/>
            <w:vAlign w:val="center"/>
            <w:hideMark/>
          </w:tcPr>
          <w:p w14:paraId="75AAF0E9"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Rank</w:t>
            </w:r>
          </w:p>
        </w:tc>
        <w:tc>
          <w:tcPr>
            <w:tcW w:w="0" w:type="auto"/>
            <w:vAlign w:val="center"/>
            <w:hideMark/>
          </w:tcPr>
          <w:p w14:paraId="39E902CC"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Country</w:t>
            </w:r>
          </w:p>
        </w:tc>
        <w:tc>
          <w:tcPr>
            <w:tcW w:w="0" w:type="auto"/>
            <w:vAlign w:val="center"/>
            <w:hideMark/>
          </w:tcPr>
          <w:p w14:paraId="3B1D122B"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GDP (USD)</w:t>
            </w:r>
          </w:p>
        </w:tc>
        <w:tc>
          <w:tcPr>
            <w:tcW w:w="0" w:type="auto"/>
            <w:vAlign w:val="center"/>
            <w:hideMark/>
          </w:tcPr>
          <w:p w14:paraId="654ECF17"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95 % HDI</w:t>
            </w:r>
          </w:p>
        </w:tc>
      </w:tr>
      <w:tr w:rsidR="00D17483" w:rsidRPr="00D17483" w14:paraId="2E5FF3A4" w14:textId="77777777" w:rsidTr="00D17483">
        <w:trPr>
          <w:tblCellSpacing w:w="15" w:type="dxa"/>
        </w:trPr>
        <w:tc>
          <w:tcPr>
            <w:tcW w:w="0" w:type="auto"/>
            <w:vAlign w:val="center"/>
            <w:hideMark/>
          </w:tcPr>
          <w:p w14:paraId="07FB1BD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w:t>
            </w:r>
          </w:p>
        </w:tc>
        <w:tc>
          <w:tcPr>
            <w:tcW w:w="0" w:type="auto"/>
            <w:vAlign w:val="center"/>
            <w:hideMark/>
          </w:tcPr>
          <w:p w14:paraId="4766F5AB"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United States</w:t>
            </w:r>
          </w:p>
        </w:tc>
        <w:tc>
          <w:tcPr>
            <w:tcW w:w="0" w:type="auto"/>
            <w:vAlign w:val="center"/>
            <w:hideMark/>
          </w:tcPr>
          <w:p w14:paraId="53EB8BAB"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35.2 T</w:t>
            </w:r>
          </w:p>
        </w:tc>
        <w:tc>
          <w:tcPr>
            <w:tcW w:w="0" w:type="auto"/>
            <w:vAlign w:val="center"/>
            <w:hideMark/>
          </w:tcPr>
          <w:p w14:paraId="0E5A0434"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32.9 – 37.7 T</w:t>
            </w:r>
          </w:p>
        </w:tc>
      </w:tr>
      <w:tr w:rsidR="00D17483" w:rsidRPr="00D17483" w14:paraId="2ADACF70" w14:textId="77777777" w:rsidTr="00D17483">
        <w:trPr>
          <w:tblCellSpacing w:w="15" w:type="dxa"/>
        </w:trPr>
        <w:tc>
          <w:tcPr>
            <w:tcW w:w="0" w:type="auto"/>
            <w:vAlign w:val="center"/>
            <w:hideMark/>
          </w:tcPr>
          <w:p w14:paraId="3212AF9F"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2</w:t>
            </w:r>
          </w:p>
        </w:tc>
        <w:tc>
          <w:tcPr>
            <w:tcW w:w="0" w:type="auto"/>
            <w:vAlign w:val="center"/>
            <w:hideMark/>
          </w:tcPr>
          <w:p w14:paraId="11E846D3"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United Kingdom</w:t>
            </w:r>
          </w:p>
        </w:tc>
        <w:tc>
          <w:tcPr>
            <w:tcW w:w="0" w:type="auto"/>
            <w:vAlign w:val="center"/>
            <w:hideMark/>
          </w:tcPr>
          <w:p w14:paraId="16F1BAE3"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10.1 T</w:t>
            </w:r>
          </w:p>
        </w:tc>
        <w:tc>
          <w:tcPr>
            <w:tcW w:w="0" w:type="auto"/>
            <w:vAlign w:val="center"/>
            <w:hideMark/>
          </w:tcPr>
          <w:p w14:paraId="529B4CB6"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9.2 – 11.2 T</w:t>
            </w:r>
          </w:p>
        </w:tc>
      </w:tr>
      <w:tr w:rsidR="00D17483" w:rsidRPr="00D17483" w14:paraId="2945D67F" w14:textId="77777777" w:rsidTr="00D17483">
        <w:trPr>
          <w:tblCellSpacing w:w="15" w:type="dxa"/>
        </w:trPr>
        <w:tc>
          <w:tcPr>
            <w:tcW w:w="0" w:type="auto"/>
            <w:vAlign w:val="center"/>
            <w:hideMark/>
          </w:tcPr>
          <w:p w14:paraId="2754D60E"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3</w:t>
            </w:r>
          </w:p>
        </w:tc>
        <w:tc>
          <w:tcPr>
            <w:tcW w:w="0" w:type="auto"/>
            <w:vAlign w:val="center"/>
            <w:hideMark/>
          </w:tcPr>
          <w:p w14:paraId="7CA48CCE"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Germany</w:t>
            </w:r>
          </w:p>
        </w:tc>
        <w:tc>
          <w:tcPr>
            <w:tcW w:w="0" w:type="auto"/>
            <w:vAlign w:val="center"/>
            <w:hideMark/>
          </w:tcPr>
          <w:p w14:paraId="4FBAC41B"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5.48 T</w:t>
            </w:r>
          </w:p>
        </w:tc>
        <w:tc>
          <w:tcPr>
            <w:tcW w:w="0" w:type="auto"/>
            <w:vAlign w:val="center"/>
            <w:hideMark/>
          </w:tcPr>
          <w:p w14:paraId="4B0210A8"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5.12 – 5.86 T</w:t>
            </w:r>
          </w:p>
        </w:tc>
      </w:tr>
      <w:tr w:rsidR="00D17483" w:rsidRPr="00D17483" w14:paraId="1D6256ED" w14:textId="77777777" w:rsidTr="00D17483">
        <w:trPr>
          <w:tblCellSpacing w:w="15" w:type="dxa"/>
        </w:trPr>
        <w:tc>
          <w:tcPr>
            <w:tcW w:w="0" w:type="auto"/>
            <w:vAlign w:val="center"/>
            <w:hideMark/>
          </w:tcPr>
          <w:p w14:paraId="77429B54"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4</w:t>
            </w:r>
          </w:p>
        </w:tc>
        <w:tc>
          <w:tcPr>
            <w:tcW w:w="0" w:type="auto"/>
            <w:vAlign w:val="center"/>
            <w:hideMark/>
          </w:tcPr>
          <w:p w14:paraId="514DD38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China</w:t>
            </w:r>
          </w:p>
        </w:tc>
        <w:tc>
          <w:tcPr>
            <w:tcW w:w="0" w:type="auto"/>
            <w:vAlign w:val="center"/>
            <w:hideMark/>
          </w:tcPr>
          <w:p w14:paraId="31B814F1"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5.39 T</w:t>
            </w:r>
          </w:p>
        </w:tc>
        <w:tc>
          <w:tcPr>
            <w:tcW w:w="0" w:type="auto"/>
            <w:vAlign w:val="center"/>
            <w:hideMark/>
          </w:tcPr>
          <w:p w14:paraId="7E083EE8"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5.10 – 5.69 T</w:t>
            </w:r>
          </w:p>
        </w:tc>
      </w:tr>
      <w:tr w:rsidR="00D17483" w:rsidRPr="00D17483" w14:paraId="55491396" w14:textId="77777777" w:rsidTr="00D17483">
        <w:trPr>
          <w:tblCellSpacing w:w="15" w:type="dxa"/>
        </w:trPr>
        <w:tc>
          <w:tcPr>
            <w:tcW w:w="0" w:type="auto"/>
            <w:vAlign w:val="center"/>
            <w:hideMark/>
          </w:tcPr>
          <w:p w14:paraId="60AD7353"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5</w:t>
            </w:r>
          </w:p>
        </w:tc>
        <w:tc>
          <w:tcPr>
            <w:tcW w:w="0" w:type="auto"/>
            <w:vAlign w:val="center"/>
            <w:hideMark/>
          </w:tcPr>
          <w:p w14:paraId="792E1DF3"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France</w:t>
            </w:r>
          </w:p>
        </w:tc>
        <w:tc>
          <w:tcPr>
            <w:tcW w:w="0" w:type="auto"/>
            <w:vAlign w:val="center"/>
            <w:hideMark/>
          </w:tcPr>
          <w:p w14:paraId="793FFB9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3.51 T</w:t>
            </w:r>
          </w:p>
        </w:tc>
        <w:tc>
          <w:tcPr>
            <w:tcW w:w="0" w:type="auto"/>
            <w:vAlign w:val="center"/>
            <w:hideMark/>
          </w:tcPr>
          <w:p w14:paraId="26A2F977"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3.31 – 3.73 T</w:t>
            </w:r>
          </w:p>
        </w:tc>
      </w:tr>
      <w:tr w:rsidR="00D17483" w:rsidRPr="00D17483" w14:paraId="55307C24" w14:textId="77777777" w:rsidTr="00D17483">
        <w:trPr>
          <w:tblCellSpacing w:w="15" w:type="dxa"/>
        </w:trPr>
        <w:tc>
          <w:tcPr>
            <w:tcW w:w="0" w:type="auto"/>
            <w:vAlign w:val="center"/>
            <w:hideMark/>
          </w:tcPr>
          <w:p w14:paraId="6F8134A9"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6-10</w:t>
            </w:r>
          </w:p>
        </w:tc>
        <w:tc>
          <w:tcPr>
            <w:tcW w:w="0" w:type="auto"/>
            <w:vAlign w:val="center"/>
            <w:hideMark/>
          </w:tcPr>
          <w:p w14:paraId="4ACE290F"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Japan, India, Canada, Italy, Australia</w:t>
            </w:r>
          </w:p>
        </w:tc>
        <w:tc>
          <w:tcPr>
            <w:tcW w:w="0" w:type="auto"/>
            <w:vAlign w:val="center"/>
            <w:hideMark/>
          </w:tcPr>
          <w:p w14:paraId="620A136B"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w:t>
            </w:r>
          </w:p>
        </w:tc>
        <w:tc>
          <w:tcPr>
            <w:tcW w:w="0" w:type="auto"/>
            <w:vAlign w:val="center"/>
            <w:hideMark/>
          </w:tcPr>
          <w:p w14:paraId="3797CA16" w14:textId="77777777" w:rsidR="00D17483" w:rsidRPr="00D17483" w:rsidRDefault="00D17483" w:rsidP="00D17483">
            <w:pPr>
              <w:spacing w:line="480" w:lineRule="auto"/>
              <w:rPr>
                <w:rFonts w:ascii="Times New Roman" w:hAnsi="Times New Roman" w:cs="Times New Roman"/>
                <w:sz w:val="24"/>
              </w:rPr>
            </w:pPr>
          </w:p>
        </w:tc>
      </w:tr>
    </w:tbl>
    <w:p w14:paraId="40175C3A"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2040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979"/>
        <w:gridCol w:w="1254"/>
        <w:gridCol w:w="1358"/>
      </w:tblGrid>
      <w:tr w:rsidR="00D17483" w:rsidRPr="00D17483" w14:paraId="38F143F4" w14:textId="77777777" w:rsidTr="00D17483">
        <w:trPr>
          <w:tblHeader/>
          <w:tblCellSpacing w:w="15" w:type="dxa"/>
        </w:trPr>
        <w:tc>
          <w:tcPr>
            <w:tcW w:w="0" w:type="auto"/>
            <w:vAlign w:val="center"/>
            <w:hideMark/>
          </w:tcPr>
          <w:p w14:paraId="5B39ED2B"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lastRenderedPageBreak/>
              <w:t>Rank</w:t>
            </w:r>
          </w:p>
        </w:tc>
        <w:tc>
          <w:tcPr>
            <w:tcW w:w="0" w:type="auto"/>
            <w:vAlign w:val="center"/>
            <w:hideMark/>
          </w:tcPr>
          <w:p w14:paraId="584C6B21"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Country</w:t>
            </w:r>
          </w:p>
        </w:tc>
        <w:tc>
          <w:tcPr>
            <w:tcW w:w="0" w:type="auto"/>
            <w:vAlign w:val="center"/>
            <w:hideMark/>
          </w:tcPr>
          <w:p w14:paraId="06B6A908"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GDP (USD)</w:t>
            </w:r>
          </w:p>
        </w:tc>
        <w:tc>
          <w:tcPr>
            <w:tcW w:w="0" w:type="auto"/>
            <w:vAlign w:val="center"/>
            <w:hideMark/>
          </w:tcPr>
          <w:p w14:paraId="287F5BCB"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95 % HDI</w:t>
            </w:r>
          </w:p>
        </w:tc>
      </w:tr>
      <w:tr w:rsidR="00D17483" w:rsidRPr="00D17483" w14:paraId="1A2B66A5" w14:textId="77777777" w:rsidTr="00D17483">
        <w:trPr>
          <w:tblCellSpacing w:w="15" w:type="dxa"/>
        </w:trPr>
        <w:tc>
          <w:tcPr>
            <w:tcW w:w="0" w:type="auto"/>
            <w:vAlign w:val="center"/>
            <w:hideMark/>
          </w:tcPr>
          <w:p w14:paraId="1AC8ACE1"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w:t>
            </w:r>
          </w:p>
        </w:tc>
        <w:tc>
          <w:tcPr>
            <w:tcW w:w="0" w:type="auto"/>
            <w:vAlign w:val="center"/>
            <w:hideMark/>
          </w:tcPr>
          <w:p w14:paraId="1F9CE0EC"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United States</w:t>
            </w:r>
          </w:p>
        </w:tc>
        <w:tc>
          <w:tcPr>
            <w:tcW w:w="0" w:type="auto"/>
            <w:vAlign w:val="center"/>
            <w:hideMark/>
          </w:tcPr>
          <w:p w14:paraId="606D8584"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45.7 T</w:t>
            </w:r>
          </w:p>
        </w:tc>
        <w:tc>
          <w:tcPr>
            <w:tcW w:w="0" w:type="auto"/>
            <w:vAlign w:val="center"/>
            <w:hideMark/>
          </w:tcPr>
          <w:p w14:paraId="64A7F33D"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42.4 – 49.6 T</w:t>
            </w:r>
          </w:p>
        </w:tc>
      </w:tr>
      <w:tr w:rsidR="00D17483" w:rsidRPr="00D17483" w14:paraId="3F722EFF" w14:textId="77777777" w:rsidTr="00D17483">
        <w:trPr>
          <w:tblCellSpacing w:w="15" w:type="dxa"/>
        </w:trPr>
        <w:tc>
          <w:tcPr>
            <w:tcW w:w="0" w:type="auto"/>
            <w:vAlign w:val="center"/>
            <w:hideMark/>
          </w:tcPr>
          <w:p w14:paraId="0E0D889C"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2</w:t>
            </w:r>
          </w:p>
        </w:tc>
        <w:tc>
          <w:tcPr>
            <w:tcW w:w="0" w:type="auto"/>
            <w:vAlign w:val="center"/>
            <w:hideMark/>
          </w:tcPr>
          <w:p w14:paraId="383E72C8"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China</w:t>
            </w:r>
          </w:p>
        </w:tc>
        <w:tc>
          <w:tcPr>
            <w:tcW w:w="0" w:type="auto"/>
            <w:vAlign w:val="center"/>
            <w:hideMark/>
          </w:tcPr>
          <w:p w14:paraId="4EC63FA4"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13.0 T</w:t>
            </w:r>
          </w:p>
        </w:tc>
        <w:tc>
          <w:tcPr>
            <w:tcW w:w="0" w:type="auto"/>
            <w:vAlign w:val="center"/>
            <w:hideMark/>
          </w:tcPr>
          <w:p w14:paraId="26846061"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11.8 – 14.4 T</w:t>
            </w:r>
          </w:p>
        </w:tc>
      </w:tr>
      <w:tr w:rsidR="00D17483" w:rsidRPr="00D17483" w14:paraId="63F0C1FA" w14:textId="77777777" w:rsidTr="00D17483">
        <w:trPr>
          <w:tblCellSpacing w:w="15" w:type="dxa"/>
        </w:trPr>
        <w:tc>
          <w:tcPr>
            <w:tcW w:w="0" w:type="auto"/>
            <w:vAlign w:val="center"/>
            <w:hideMark/>
          </w:tcPr>
          <w:p w14:paraId="1A81CA99"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3</w:t>
            </w:r>
          </w:p>
        </w:tc>
        <w:tc>
          <w:tcPr>
            <w:tcW w:w="0" w:type="auto"/>
            <w:vAlign w:val="center"/>
            <w:hideMark/>
          </w:tcPr>
          <w:p w14:paraId="004620E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India</w:t>
            </w:r>
          </w:p>
        </w:tc>
        <w:tc>
          <w:tcPr>
            <w:tcW w:w="0" w:type="auto"/>
            <w:vAlign w:val="center"/>
            <w:hideMark/>
          </w:tcPr>
          <w:p w14:paraId="1D6834A7"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9.6 T</w:t>
            </w:r>
          </w:p>
        </w:tc>
        <w:tc>
          <w:tcPr>
            <w:tcW w:w="0" w:type="auto"/>
            <w:vAlign w:val="center"/>
            <w:hideMark/>
          </w:tcPr>
          <w:p w14:paraId="41B8A723"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8.4 – 10.9 T</w:t>
            </w:r>
          </w:p>
        </w:tc>
      </w:tr>
      <w:tr w:rsidR="00D17483" w:rsidRPr="00D17483" w14:paraId="3AFDCA95" w14:textId="77777777" w:rsidTr="00D17483">
        <w:trPr>
          <w:tblCellSpacing w:w="15" w:type="dxa"/>
        </w:trPr>
        <w:tc>
          <w:tcPr>
            <w:tcW w:w="0" w:type="auto"/>
            <w:vAlign w:val="center"/>
            <w:hideMark/>
          </w:tcPr>
          <w:p w14:paraId="264E92FA"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4</w:t>
            </w:r>
          </w:p>
        </w:tc>
        <w:tc>
          <w:tcPr>
            <w:tcW w:w="0" w:type="auto"/>
            <w:vAlign w:val="center"/>
            <w:hideMark/>
          </w:tcPr>
          <w:p w14:paraId="2F693DAA"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United Kingdom</w:t>
            </w:r>
          </w:p>
        </w:tc>
        <w:tc>
          <w:tcPr>
            <w:tcW w:w="0" w:type="auto"/>
            <w:vAlign w:val="center"/>
            <w:hideMark/>
          </w:tcPr>
          <w:p w14:paraId="736F691D"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9.3 T</w:t>
            </w:r>
          </w:p>
        </w:tc>
        <w:tc>
          <w:tcPr>
            <w:tcW w:w="0" w:type="auto"/>
            <w:vAlign w:val="center"/>
            <w:hideMark/>
          </w:tcPr>
          <w:p w14:paraId="14206CE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8.5 – 10.1 T</w:t>
            </w:r>
          </w:p>
        </w:tc>
      </w:tr>
      <w:tr w:rsidR="00D17483" w:rsidRPr="00D17483" w14:paraId="5BE982C3" w14:textId="77777777" w:rsidTr="00D17483">
        <w:trPr>
          <w:tblCellSpacing w:w="15" w:type="dxa"/>
        </w:trPr>
        <w:tc>
          <w:tcPr>
            <w:tcW w:w="0" w:type="auto"/>
            <w:vAlign w:val="center"/>
            <w:hideMark/>
          </w:tcPr>
          <w:p w14:paraId="35517D9D"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5</w:t>
            </w:r>
          </w:p>
        </w:tc>
        <w:tc>
          <w:tcPr>
            <w:tcW w:w="0" w:type="auto"/>
            <w:vAlign w:val="center"/>
            <w:hideMark/>
          </w:tcPr>
          <w:p w14:paraId="124CAE74"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Germany</w:t>
            </w:r>
          </w:p>
        </w:tc>
        <w:tc>
          <w:tcPr>
            <w:tcW w:w="0" w:type="auto"/>
            <w:vAlign w:val="center"/>
            <w:hideMark/>
          </w:tcPr>
          <w:p w14:paraId="22CD576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6.9 T</w:t>
            </w:r>
          </w:p>
        </w:tc>
        <w:tc>
          <w:tcPr>
            <w:tcW w:w="0" w:type="auto"/>
            <w:vAlign w:val="center"/>
            <w:hideMark/>
          </w:tcPr>
          <w:p w14:paraId="3A9E09C4"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6.5 – 7.4 T</w:t>
            </w:r>
          </w:p>
        </w:tc>
      </w:tr>
      <w:tr w:rsidR="00D17483" w:rsidRPr="00D17483" w14:paraId="34BA304C" w14:textId="77777777" w:rsidTr="00D17483">
        <w:trPr>
          <w:tblCellSpacing w:w="15" w:type="dxa"/>
        </w:trPr>
        <w:tc>
          <w:tcPr>
            <w:tcW w:w="0" w:type="auto"/>
            <w:vAlign w:val="center"/>
            <w:hideMark/>
          </w:tcPr>
          <w:p w14:paraId="284A5586"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6-10</w:t>
            </w:r>
          </w:p>
        </w:tc>
        <w:tc>
          <w:tcPr>
            <w:tcW w:w="0" w:type="auto"/>
            <w:vAlign w:val="center"/>
            <w:hideMark/>
          </w:tcPr>
          <w:p w14:paraId="46BFB19F"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France, Japan, Indonesia, Brazil, Nigeria</w:t>
            </w:r>
          </w:p>
        </w:tc>
        <w:tc>
          <w:tcPr>
            <w:tcW w:w="0" w:type="auto"/>
            <w:vAlign w:val="center"/>
            <w:hideMark/>
          </w:tcPr>
          <w:p w14:paraId="430E0697"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w:t>
            </w:r>
          </w:p>
        </w:tc>
        <w:tc>
          <w:tcPr>
            <w:tcW w:w="0" w:type="auto"/>
            <w:vAlign w:val="center"/>
            <w:hideMark/>
          </w:tcPr>
          <w:p w14:paraId="0C1FA2EE" w14:textId="77777777" w:rsidR="00D17483" w:rsidRPr="00D17483" w:rsidRDefault="00D17483" w:rsidP="00D17483">
            <w:pPr>
              <w:spacing w:line="480" w:lineRule="auto"/>
              <w:rPr>
                <w:rFonts w:ascii="Times New Roman" w:hAnsi="Times New Roman" w:cs="Times New Roman"/>
                <w:sz w:val="24"/>
              </w:rPr>
            </w:pPr>
          </w:p>
        </w:tc>
      </w:tr>
    </w:tbl>
    <w:p w14:paraId="609C227B" w14:textId="77777777" w:rsidR="00D17483" w:rsidRPr="00D17483" w:rsidRDefault="00D17483" w:rsidP="00D17483">
      <w:pPr>
        <w:spacing w:line="480" w:lineRule="auto"/>
        <w:rPr>
          <w:rFonts w:ascii="Times New Roman" w:hAnsi="Times New Roman" w:cs="Times New Roman"/>
          <w:b/>
          <w:bCs/>
          <w:sz w:val="24"/>
        </w:rPr>
      </w:pPr>
      <w:r w:rsidRPr="00D17483">
        <w:rPr>
          <w:rFonts w:ascii="Times New Roman" w:hAnsi="Times New Roman" w:cs="Times New Roman"/>
          <w:b/>
          <w:bCs/>
          <w:sz w:val="24"/>
        </w:rPr>
        <w:t>6. Sensitivity analyses</w:t>
      </w:r>
    </w:p>
    <w:p w14:paraId="60E3BEB2" w14:textId="77777777" w:rsidR="00D17483" w:rsidRPr="00D17483" w:rsidRDefault="00D17483" w:rsidP="00D17483">
      <w:pPr>
        <w:spacing w:line="480" w:lineRule="auto"/>
        <w:rPr>
          <w:rFonts w:ascii="Times New Roman" w:hAnsi="Times New Roman" w:cs="Times New Roman"/>
          <w:sz w:val="24"/>
        </w:rPr>
      </w:pPr>
      <w:r w:rsidRPr="00D17483">
        <w:rPr>
          <w:rFonts w:ascii="Times New Roman" w:hAnsi="Times New Roman" w:cs="Times New Roman"/>
          <w:sz w:val="24"/>
        </w:rPr>
        <w:t>Re-fitting the model (i) with a normal likelihood and (ii) excluding countries with fewer than 30 historical observations left the posterior means within ±3 % and the pooled 2040 global GDP within ±2 %, indicating robustness to distributional assumptions and data sparsity.</w:t>
      </w:r>
    </w:p>
    <w:p w14:paraId="10627E22" w14:textId="77777777" w:rsidR="002802D1" w:rsidRDefault="002802D1" w:rsidP="00EF063D">
      <w:pPr>
        <w:spacing w:line="480" w:lineRule="auto"/>
        <w:rPr>
          <w:rFonts w:ascii="Times New Roman" w:hAnsi="Times New Roman" w:cs="Times New Roman"/>
          <w:sz w:val="24"/>
        </w:rPr>
      </w:pPr>
    </w:p>
    <w:p w14:paraId="3BC40D86" w14:textId="77777777" w:rsidR="00E94EDB" w:rsidRPr="00E94EDB" w:rsidRDefault="00F25099" w:rsidP="00E94EDB">
      <w:pPr>
        <w:spacing w:line="480" w:lineRule="auto"/>
        <w:rPr>
          <w:rFonts w:ascii="Times New Roman" w:hAnsi="Times New Roman" w:cs="Times New Roman"/>
          <w:sz w:val="24"/>
        </w:rPr>
      </w:pPr>
      <w:r w:rsidRPr="00E94EDB">
        <w:rPr>
          <w:rFonts w:ascii="Times New Roman" w:hAnsi="Times New Roman" w:cs="Times New Roman" w:hint="eastAsia"/>
          <w:b/>
          <w:bCs/>
          <w:sz w:val="24"/>
        </w:rPr>
        <w:t>Discussion</w:t>
      </w:r>
      <w:r>
        <w:rPr>
          <w:rFonts w:ascii="Times New Roman" w:hAnsi="Times New Roman" w:cs="Times New Roman"/>
          <w:sz w:val="24"/>
        </w:rPr>
        <w:br/>
      </w:r>
      <w:r w:rsidR="00E94EDB" w:rsidRPr="00E94EDB">
        <w:rPr>
          <w:rFonts w:ascii="Times New Roman" w:hAnsi="Times New Roman" w:cs="Times New Roman"/>
          <w:b/>
          <w:bCs/>
          <w:sz w:val="24"/>
        </w:rPr>
        <w:t>1. Brief summary</w:t>
      </w:r>
      <w:r w:rsidR="00E94EDB" w:rsidRPr="00E94EDB">
        <w:rPr>
          <w:rFonts w:ascii="Times New Roman" w:hAnsi="Times New Roman" w:cs="Times New Roman"/>
          <w:sz w:val="24"/>
        </w:rPr>
        <w:br/>
      </w:r>
      <w:r w:rsidR="00E94EDB" w:rsidRPr="00E94EDB">
        <w:rPr>
          <w:rFonts w:ascii="Times New Roman" w:hAnsi="Times New Roman" w:cs="Times New Roman"/>
          <w:sz w:val="24"/>
        </w:rPr>
        <w:lastRenderedPageBreak/>
        <w:t>Using a hierarchical Bayesian framework, we quantified the global association between log-population and log-GDP from 1960–2023, captured regional and country-level heterogeneity, and propagated uncertainty into forecasts under ten official UN population variants. The linear coefficient was positive (β ≈ 0.8) but attenuated by a modest negative quadratic term, indicating diminishing marginal economic returns to population size. Pooled projections suggest world GDP may expand by roughly one-third between 2025 and 2040, with credible intervals that reflect demographic-scenario dispersion as well as parameter uncertainty.</w:t>
      </w:r>
    </w:p>
    <w:p w14:paraId="6B47A857" w14:textId="77777777" w:rsidR="00E94EDB" w:rsidRPr="00E94EDB" w:rsidRDefault="00E94EDB" w:rsidP="00E94EDB">
      <w:pPr>
        <w:spacing w:line="480" w:lineRule="auto"/>
        <w:rPr>
          <w:rFonts w:ascii="Times New Roman" w:hAnsi="Times New Roman" w:cs="Times New Roman"/>
          <w:sz w:val="24"/>
        </w:rPr>
      </w:pPr>
      <w:r w:rsidRPr="00E94EDB">
        <w:rPr>
          <w:rFonts w:ascii="Times New Roman" w:hAnsi="Times New Roman" w:cs="Times New Roman"/>
          <w:b/>
          <w:bCs/>
          <w:sz w:val="24"/>
        </w:rPr>
        <w:t>2. Comparison with previous studies</w:t>
      </w:r>
      <w:r w:rsidRPr="00E94EDB">
        <w:rPr>
          <w:rFonts w:ascii="Times New Roman" w:hAnsi="Times New Roman" w:cs="Times New Roman"/>
          <w:sz w:val="24"/>
        </w:rPr>
        <w:br/>
        <w:t xml:space="preserve">Earlier cross-sectional analyses reported mixed elasticity estimates, ranging from strongly positive in some developing regions to null or negative in advanced economies¹–³. Panel studies that allowed fixed effects or instrumental-variable adjustments narrowed the range but remained inconsistent⁴. By explicitly modelling region- and country-specific parameters and permitting non-linearity, our results reconcile these discrepancies: most countries fall on the upward-sloping portion of the curve, whereas a few highly populated economies approach the flattening segment identified by the quadratic term. Machine-learning forecasts have offered similar growth magnitudes⁵ but lack posterior uncertainty; our probabilistic approach supplies that </w:t>
      </w:r>
      <w:r w:rsidRPr="00E94EDB">
        <w:rPr>
          <w:rFonts w:ascii="Times New Roman" w:hAnsi="Times New Roman" w:cs="Times New Roman"/>
          <w:sz w:val="24"/>
        </w:rPr>
        <w:lastRenderedPageBreak/>
        <w:t>missing information.</w:t>
      </w:r>
    </w:p>
    <w:p w14:paraId="37120991" w14:textId="77777777" w:rsidR="00E94EDB" w:rsidRPr="00E94EDB" w:rsidRDefault="00E94EDB" w:rsidP="00E94EDB">
      <w:pPr>
        <w:spacing w:line="480" w:lineRule="auto"/>
        <w:rPr>
          <w:rFonts w:ascii="Times New Roman" w:hAnsi="Times New Roman" w:cs="Times New Roman"/>
          <w:sz w:val="24"/>
        </w:rPr>
      </w:pPr>
      <w:r w:rsidRPr="00E94EDB">
        <w:rPr>
          <w:rFonts w:ascii="Times New Roman" w:hAnsi="Times New Roman" w:cs="Times New Roman"/>
          <w:b/>
          <w:bCs/>
          <w:sz w:val="24"/>
        </w:rPr>
        <w:t>3. Possible explanations and implications</w:t>
      </w:r>
      <w:r w:rsidRPr="00E94EDB">
        <w:rPr>
          <w:rFonts w:ascii="Times New Roman" w:hAnsi="Times New Roman" w:cs="Times New Roman"/>
          <w:sz w:val="24"/>
        </w:rPr>
        <w:br/>
        <w:t>The positive association likely reflects scale-economy channels—larger labor pools, market size, and knowledge spillovers—while the diminishing slope may capture capital dilution, infrastructure congestion, and environmental constraints that intensify at higher densities. Region-level variance underscores the role of institutional quality, demographic structure, and resource endowments in mediating population–output dynamics. Forward-looking results indicate that demographic momentum alone cannot guarantee sustained GDP growth; policy interventions that raise productivity and manage urban congestion will be decisive, especially under low-fertility or zero-migration variants. Scenario-pooled forecasts provide a realistic planning envelope for fiscal, climate-finance, and social-protection strategies.</w:t>
      </w:r>
    </w:p>
    <w:p w14:paraId="4A05D22C" w14:textId="77777777" w:rsidR="00E94EDB" w:rsidRPr="00E94EDB" w:rsidRDefault="00E94EDB" w:rsidP="00E94EDB">
      <w:pPr>
        <w:spacing w:line="480" w:lineRule="auto"/>
        <w:rPr>
          <w:rFonts w:ascii="Times New Roman" w:hAnsi="Times New Roman" w:cs="Times New Roman"/>
          <w:sz w:val="24"/>
        </w:rPr>
      </w:pPr>
      <w:r w:rsidRPr="00E94EDB">
        <w:rPr>
          <w:rFonts w:ascii="Times New Roman" w:hAnsi="Times New Roman" w:cs="Times New Roman"/>
          <w:b/>
          <w:bCs/>
          <w:sz w:val="24"/>
        </w:rPr>
        <w:t>4. Limitations</w:t>
      </w:r>
      <w:r w:rsidRPr="00E94EDB">
        <w:rPr>
          <w:rFonts w:ascii="Times New Roman" w:hAnsi="Times New Roman" w:cs="Times New Roman"/>
          <w:sz w:val="24"/>
        </w:rPr>
        <w:br/>
        <w:t xml:space="preserve">First, GDP and population data, though standardised, are subject to measurement error—particularly in low-income settings—that may bias elasticities. Second, the model omits age-structure, human-capital, and capital-stock variables that could refine causal pathways. Third, UN population variants capture demographic but not geopolitical shocks (e.g., pandemics, conflicts); such events could widen forecast </w:t>
      </w:r>
      <w:r w:rsidRPr="00E94EDB">
        <w:rPr>
          <w:rFonts w:ascii="Times New Roman" w:hAnsi="Times New Roman" w:cs="Times New Roman"/>
          <w:sz w:val="24"/>
        </w:rPr>
        <w:lastRenderedPageBreak/>
        <w:t>intervals. Fourth, the DerSimonian–Laird synthesis treats scenarios as exchangeable “studies,” a pragmatic but non-Bayesian step that might underestimate between-variant dependence. Finally, long-term economic forecasting inherently extrapolates past associations; structural breaks in technology or climate policy could alter those associations.</w:t>
      </w:r>
    </w:p>
    <w:p w14:paraId="5C5CBB4C" w14:textId="77777777" w:rsidR="00E94EDB" w:rsidRPr="00E94EDB" w:rsidRDefault="00E94EDB" w:rsidP="00E94EDB">
      <w:pPr>
        <w:spacing w:line="480" w:lineRule="auto"/>
        <w:rPr>
          <w:rFonts w:ascii="Times New Roman" w:hAnsi="Times New Roman" w:cs="Times New Roman"/>
          <w:sz w:val="24"/>
        </w:rPr>
      </w:pPr>
      <w:r w:rsidRPr="00E94EDB">
        <w:rPr>
          <w:rFonts w:ascii="Times New Roman" w:hAnsi="Times New Roman" w:cs="Times New Roman"/>
          <w:b/>
          <w:bCs/>
          <w:sz w:val="24"/>
        </w:rPr>
        <w:t>5. Conclusion</w:t>
      </w:r>
      <w:r w:rsidRPr="00E94EDB">
        <w:rPr>
          <w:rFonts w:ascii="Times New Roman" w:hAnsi="Times New Roman" w:cs="Times New Roman"/>
          <w:sz w:val="24"/>
        </w:rPr>
        <w:br/>
        <w:t>This study provides the first probabilistic, globally harmonised assessment of how alternative demographic futures may shape economic output. Population remains positively associated with GDP, albeit with diminishing marginal gains and marked regional heterogeneity. Integrating hierarchical Bayesian inference with scenario-based projections yields transparent, uncertainty-aware forecasts that can inform development planning and climate-finance assessments. Future work should incorporate demographic composition and endogenous productivity to sharpen causal inference and further reduce forecast uncertainty.</w:t>
      </w:r>
    </w:p>
    <w:p w14:paraId="3491A889" w14:textId="6C8A403A" w:rsidR="00F25099" w:rsidRPr="00D17483" w:rsidRDefault="00F25099" w:rsidP="00EF063D">
      <w:pPr>
        <w:spacing w:line="480" w:lineRule="auto"/>
        <w:rPr>
          <w:rFonts w:ascii="Times New Roman" w:hAnsi="Times New Roman" w:cs="Times New Roman" w:hint="eastAsia"/>
          <w:sz w:val="24"/>
        </w:rPr>
      </w:pPr>
    </w:p>
    <w:sectPr w:rsidR="00F25099" w:rsidRPr="00D1748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D308A"/>
    <w:multiLevelType w:val="multilevel"/>
    <w:tmpl w:val="9642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B61B5C"/>
    <w:multiLevelType w:val="multilevel"/>
    <w:tmpl w:val="AF8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05B13"/>
    <w:multiLevelType w:val="multilevel"/>
    <w:tmpl w:val="7E4A5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735725">
    <w:abstractNumId w:val="1"/>
  </w:num>
  <w:num w:numId="2" w16cid:durableId="1899900298">
    <w:abstractNumId w:val="2"/>
  </w:num>
  <w:num w:numId="3" w16cid:durableId="181529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59F"/>
    <w:rsid w:val="000A6A33"/>
    <w:rsid w:val="00124C89"/>
    <w:rsid w:val="00166C1B"/>
    <w:rsid w:val="001B42EC"/>
    <w:rsid w:val="001C03B2"/>
    <w:rsid w:val="001E732A"/>
    <w:rsid w:val="0022059F"/>
    <w:rsid w:val="00251EE1"/>
    <w:rsid w:val="002802D1"/>
    <w:rsid w:val="0032464E"/>
    <w:rsid w:val="00375627"/>
    <w:rsid w:val="003B5D17"/>
    <w:rsid w:val="00481BE2"/>
    <w:rsid w:val="0049683F"/>
    <w:rsid w:val="00556A1D"/>
    <w:rsid w:val="0057142F"/>
    <w:rsid w:val="0058537C"/>
    <w:rsid w:val="005879D8"/>
    <w:rsid w:val="005C3C9D"/>
    <w:rsid w:val="006365CF"/>
    <w:rsid w:val="006779D8"/>
    <w:rsid w:val="006C29C3"/>
    <w:rsid w:val="006D5484"/>
    <w:rsid w:val="0072546E"/>
    <w:rsid w:val="00765F5C"/>
    <w:rsid w:val="007B533F"/>
    <w:rsid w:val="007E32F6"/>
    <w:rsid w:val="00801E79"/>
    <w:rsid w:val="00804969"/>
    <w:rsid w:val="00832167"/>
    <w:rsid w:val="008467A3"/>
    <w:rsid w:val="008E0717"/>
    <w:rsid w:val="009501B3"/>
    <w:rsid w:val="009A024C"/>
    <w:rsid w:val="009B7014"/>
    <w:rsid w:val="00BF0FD1"/>
    <w:rsid w:val="00C13709"/>
    <w:rsid w:val="00C343FD"/>
    <w:rsid w:val="00C92947"/>
    <w:rsid w:val="00D17483"/>
    <w:rsid w:val="00D544D5"/>
    <w:rsid w:val="00D87188"/>
    <w:rsid w:val="00DA41B4"/>
    <w:rsid w:val="00E30E71"/>
    <w:rsid w:val="00E90E95"/>
    <w:rsid w:val="00E94EDB"/>
    <w:rsid w:val="00EF063D"/>
    <w:rsid w:val="00EF339F"/>
    <w:rsid w:val="00EF756C"/>
    <w:rsid w:val="00F165E3"/>
    <w:rsid w:val="00F25099"/>
    <w:rsid w:val="00F648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7DFB78B"/>
  <w15:chartTrackingRefBased/>
  <w15:docId w15:val="{0B404D8C-12AE-4F8F-AAE7-20A9A554C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2205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2205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22059F"/>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unhideWhenUsed/>
    <w:qFormat/>
    <w:rsid w:val="0022059F"/>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2205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2205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2205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2205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2205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59F"/>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22059F"/>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22059F"/>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rsid w:val="0022059F"/>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rsid w:val="0022059F"/>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22059F"/>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22059F"/>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22059F"/>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22059F"/>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22059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59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59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22059F"/>
    <w:pPr>
      <w:spacing w:before="160"/>
      <w:jc w:val="center"/>
    </w:pPr>
    <w:rPr>
      <w:i/>
      <w:iCs/>
      <w:color w:val="404040" w:themeColor="text1" w:themeTint="BF"/>
    </w:rPr>
  </w:style>
  <w:style w:type="character" w:customStyle="1" w:styleId="QuoteChar">
    <w:name w:val="Quote Char"/>
    <w:basedOn w:val="DefaultParagraphFont"/>
    <w:link w:val="Quote"/>
    <w:uiPriority w:val="29"/>
    <w:rsid w:val="0022059F"/>
    <w:rPr>
      <w:i/>
      <w:iCs/>
      <w:color w:val="404040" w:themeColor="text1" w:themeTint="BF"/>
    </w:rPr>
  </w:style>
  <w:style w:type="paragraph" w:styleId="ListParagraph">
    <w:name w:val="List Paragraph"/>
    <w:basedOn w:val="Normal"/>
    <w:uiPriority w:val="34"/>
    <w:qFormat/>
    <w:rsid w:val="0022059F"/>
    <w:pPr>
      <w:ind w:left="720"/>
      <w:contextualSpacing/>
    </w:pPr>
  </w:style>
  <w:style w:type="character" w:styleId="IntenseEmphasis">
    <w:name w:val="Intense Emphasis"/>
    <w:basedOn w:val="DefaultParagraphFont"/>
    <w:uiPriority w:val="21"/>
    <w:qFormat/>
    <w:rsid w:val="0022059F"/>
    <w:rPr>
      <w:i/>
      <w:iCs/>
      <w:color w:val="0F4761" w:themeColor="accent1" w:themeShade="BF"/>
    </w:rPr>
  </w:style>
  <w:style w:type="paragraph" w:styleId="IntenseQuote">
    <w:name w:val="Intense Quote"/>
    <w:basedOn w:val="Normal"/>
    <w:next w:val="Normal"/>
    <w:link w:val="IntenseQuoteChar"/>
    <w:uiPriority w:val="30"/>
    <w:qFormat/>
    <w:rsid w:val="00220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59F"/>
    <w:rPr>
      <w:i/>
      <w:iCs/>
      <w:color w:val="0F4761" w:themeColor="accent1" w:themeShade="BF"/>
    </w:rPr>
  </w:style>
  <w:style w:type="character" w:styleId="IntenseReference">
    <w:name w:val="Intense Reference"/>
    <w:basedOn w:val="DefaultParagraphFont"/>
    <w:uiPriority w:val="32"/>
    <w:qFormat/>
    <w:rsid w:val="0022059F"/>
    <w:rPr>
      <w:b/>
      <w:bCs/>
      <w:smallCaps/>
      <w:color w:val="0F4761" w:themeColor="accent1" w:themeShade="BF"/>
      <w:spacing w:val="5"/>
    </w:rPr>
  </w:style>
  <w:style w:type="character" w:styleId="PlaceholderText">
    <w:name w:val="Placeholder Text"/>
    <w:basedOn w:val="DefaultParagraphFont"/>
    <w:uiPriority w:val="99"/>
    <w:semiHidden/>
    <w:rsid w:val="001E73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929">
      <w:bodyDiv w:val="1"/>
      <w:marLeft w:val="0"/>
      <w:marRight w:val="0"/>
      <w:marTop w:val="0"/>
      <w:marBottom w:val="0"/>
      <w:divBdr>
        <w:top w:val="none" w:sz="0" w:space="0" w:color="auto"/>
        <w:left w:val="none" w:sz="0" w:space="0" w:color="auto"/>
        <w:bottom w:val="none" w:sz="0" w:space="0" w:color="auto"/>
        <w:right w:val="none" w:sz="0" w:space="0" w:color="auto"/>
      </w:divBdr>
    </w:div>
    <w:div w:id="126893558">
      <w:bodyDiv w:val="1"/>
      <w:marLeft w:val="0"/>
      <w:marRight w:val="0"/>
      <w:marTop w:val="0"/>
      <w:marBottom w:val="0"/>
      <w:divBdr>
        <w:top w:val="none" w:sz="0" w:space="0" w:color="auto"/>
        <w:left w:val="none" w:sz="0" w:space="0" w:color="auto"/>
        <w:bottom w:val="none" w:sz="0" w:space="0" w:color="auto"/>
        <w:right w:val="none" w:sz="0" w:space="0" w:color="auto"/>
      </w:divBdr>
    </w:div>
    <w:div w:id="190143918">
      <w:bodyDiv w:val="1"/>
      <w:marLeft w:val="0"/>
      <w:marRight w:val="0"/>
      <w:marTop w:val="0"/>
      <w:marBottom w:val="0"/>
      <w:divBdr>
        <w:top w:val="none" w:sz="0" w:space="0" w:color="auto"/>
        <w:left w:val="none" w:sz="0" w:space="0" w:color="auto"/>
        <w:bottom w:val="none" w:sz="0" w:space="0" w:color="auto"/>
        <w:right w:val="none" w:sz="0" w:space="0" w:color="auto"/>
      </w:divBdr>
    </w:div>
    <w:div w:id="280309589">
      <w:bodyDiv w:val="1"/>
      <w:marLeft w:val="0"/>
      <w:marRight w:val="0"/>
      <w:marTop w:val="0"/>
      <w:marBottom w:val="0"/>
      <w:divBdr>
        <w:top w:val="none" w:sz="0" w:space="0" w:color="auto"/>
        <w:left w:val="none" w:sz="0" w:space="0" w:color="auto"/>
        <w:bottom w:val="none" w:sz="0" w:space="0" w:color="auto"/>
        <w:right w:val="none" w:sz="0" w:space="0" w:color="auto"/>
      </w:divBdr>
    </w:div>
    <w:div w:id="595747719">
      <w:bodyDiv w:val="1"/>
      <w:marLeft w:val="0"/>
      <w:marRight w:val="0"/>
      <w:marTop w:val="0"/>
      <w:marBottom w:val="0"/>
      <w:divBdr>
        <w:top w:val="none" w:sz="0" w:space="0" w:color="auto"/>
        <w:left w:val="none" w:sz="0" w:space="0" w:color="auto"/>
        <w:bottom w:val="none" w:sz="0" w:space="0" w:color="auto"/>
        <w:right w:val="none" w:sz="0" w:space="0" w:color="auto"/>
      </w:divBdr>
      <w:divsChild>
        <w:div w:id="111824586">
          <w:marLeft w:val="0"/>
          <w:marRight w:val="0"/>
          <w:marTop w:val="0"/>
          <w:marBottom w:val="0"/>
          <w:divBdr>
            <w:top w:val="none" w:sz="0" w:space="0" w:color="auto"/>
            <w:left w:val="none" w:sz="0" w:space="0" w:color="auto"/>
            <w:bottom w:val="none" w:sz="0" w:space="0" w:color="auto"/>
            <w:right w:val="none" w:sz="0" w:space="0" w:color="auto"/>
          </w:divBdr>
          <w:divsChild>
            <w:div w:id="1664700965">
              <w:marLeft w:val="0"/>
              <w:marRight w:val="0"/>
              <w:marTop w:val="0"/>
              <w:marBottom w:val="0"/>
              <w:divBdr>
                <w:top w:val="none" w:sz="0" w:space="0" w:color="auto"/>
                <w:left w:val="none" w:sz="0" w:space="0" w:color="auto"/>
                <w:bottom w:val="none" w:sz="0" w:space="0" w:color="auto"/>
                <w:right w:val="none" w:sz="0" w:space="0" w:color="auto"/>
              </w:divBdr>
            </w:div>
          </w:divsChild>
        </w:div>
        <w:div w:id="1911890277">
          <w:marLeft w:val="0"/>
          <w:marRight w:val="0"/>
          <w:marTop w:val="0"/>
          <w:marBottom w:val="0"/>
          <w:divBdr>
            <w:top w:val="none" w:sz="0" w:space="0" w:color="auto"/>
            <w:left w:val="none" w:sz="0" w:space="0" w:color="auto"/>
            <w:bottom w:val="none" w:sz="0" w:space="0" w:color="auto"/>
            <w:right w:val="none" w:sz="0" w:space="0" w:color="auto"/>
          </w:divBdr>
          <w:divsChild>
            <w:div w:id="87654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9260">
      <w:bodyDiv w:val="1"/>
      <w:marLeft w:val="0"/>
      <w:marRight w:val="0"/>
      <w:marTop w:val="0"/>
      <w:marBottom w:val="0"/>
      <w:divBdr>
        <w:top w:val="none" w:sz="0" w:space="0" w:color="auto"/>
        <w:left w:val="none" w:sz="0" w:space="0" w:color="auto"/>
        <w:bottom w:val="none" w:sz="0" w:space="0" w:color="auto"/>
        <w:right w:val="none" w:sz="0" w:space="0" w:color="auto"/>
      </w:divBdr>
      <w:divsChild>
        <w:div w:id="1523783608">
          <w:marLeft w:val="0"/>
          <w:marRight w:val="0"/>
          <w:marTop w:val="0"/>
          <w:marBottom w:val="0"/>
          <w:divBdr>
            <w:top w:val="none" w:sz="0" w:space="0" w:color="auto"/>
            <w:left w:val="none" w:sz="0" w:space="0" w:color="auto"/>
            <w:bottom w:val="none" w:sz="0" w:space="0" w:color="auto"/>
            <w:right w:val="none" w:sz="0" w:space="0" w:color="auto"/>
          </w:divBdr>
          <w:divsChild>
            <w:div w:id="203325341">
              <w:marLeft w:val="0"/>
              <w:marRight w:val="0"/>
              <w:marTop w:val="0"/>
              <w:marBottom w:val="0"/>
              <w:divBdr>
                <w:top w:val="none" w:sz="0" w:space="0" w:color="auto"/>
                <w:left w:val="none" w:sz="0" w:space="0" w:color="auto"/>
                <w:bottom w:val="none" w:sz="0" w:space="0" w:color="auto"/>
                <w:right w:val="none" w:sz="0" w:space="0" w:color="auto"/>
              </w:divBdr>
            </w:div>
          </w:divsChild>
        </w:div>
        <w:div w:id="661932932">
          <w:marLeft w:val="0"/>
          <w:marRight w:val="0"/>
          <w:marTop w:val="0"/>
          <w:marBottom w:val="0"/>
          <w:divBdr>
            <w:top w:val="none" w:sz="0" w:space="0" w:color="auto"/>
            <w:left w:val="none" w:sz="0" w:space="0" w:color="auto"/>
            <w:bottom w:val="none" w:sz="0" w:space="0" w:color="auto"/>
            <w:right w:val="none" w:sz="0" w:space="0" w:color="auto"/>
          </w:divBdr>
          <w:divsChild>
            <w:div w:id="88900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5560">
      <w:bodyDiv w:val="1"/>
      <w:marLeft w:val="0"/>
      <w:marRight w:val="0"/>
      <w:marTop w:val="0"/>
      <w:marBottom w:val="0"/>
      <w:divBdr>
        <w:top w:val="none" w:sz="0" w:space="0" w:color="auto"/>
        <w:left w:val="none" w:sz="0" w:space="0" w:color="auto"/>
        <w:bottom w:val="none" w:sz="0" w:space="0" w:color="auto"/>
        <w:right w:val="none" w:sz="0" w:space="0" w:color="auto"/>
      </w:divBdr>
    </w:div>
    <w:div w:id="898713123">
      <w:bodyDiv w:val="1"/>
      <w:marLeft w:val="0"/>
      <w:marRight w:val="0"/>
      <w:marTop w:val="0"/>
      <w:marBottom w:val="0"/>
      <w:divBdr>
        <w:top w:val="none" w:sz="0" w:space="0" w:color="auto"/>
        <w:left w:val="none" w:sz="0" w:space="0" w:color="auto"/>
        <w:bottom w:val="none" w:sz="0" w:space="0" w:color="auto"/>
        <w:right w:val="none" w:sz="0" w:space="0" w:color="auto"/>
      </w:divBdr>
    </w:div>
    <w:div w:id="905578811">
      <w:bodyDiv w:val="1"/>
      <w:marLeft w:val="0"/>
      <w:marRight w:val="0"/>
      <w:marTop w:val="0"/>
      <w:marBottom w:val="0"/>
      <w:divBdr>
        <w:top w:val="none" w:sz="0" w:space="0" w:color="auto"/>
        <w:left w:val="none" w:sz="0" w:space="0" w:color="auto"/>
        <w:bottom w:val="none" w:sz="0" w:space="0" w:color="auto"/>
        <w:right w:val="none" w:sz="0" w:space="0" w:color="auto"/>
      </w:divBdr>
    </w:div>
    <w:div w:id="1053508059">
      <w:bodyDiv w:val="1"/>
      <w:marLeft w:val="0"/>
      <w:marRight w:val="0"/>
      <w:marTop w:val="0"/>
      <w:marBottom w:val="0"/>
      <w:divBdr>
        <w:top w:val="none" w:sz="0" w:space="0" w:color="auto"/>
        <w:left w:val="none" w:sz="0" w:space="0" w:color="auto"/>
        <w:bottom w:val="none" w:sz="0" w:space="0" w:color="auto"/>
        <w:right w:val="none" w:sz="0" w:space="0" w:color="auto"/>
      </w:divBdr>
    </w:div>
    <w:div w:id="1073360145">
      <w:bodyDiv w:val="1"/>
      <w:marLeft w:val="0"/>
      <w:marRight w:val="0"/>
      <w:marTop w:val="0"/>
      <w:marBottom w:val="0"/>
      <w:divBdr>
        <w:top w:val="none" w:sz="0" w:space="0" w:color="auto"/>
        <w:left w:val="none" w:sz="0" w:space="0" w:color="auto"/>
        <w:bottom w:val="none" w:sz="0" w:space="0" w:color="auto"/>
        <w:right w:val="none" w:sz="0" w:space="0" w:color="auto"/>
      </w:divBdr>
      <w:divsChild>
        <w:div w:id="690493753">
          <w:marLeft w:val="0"/>
          <w:marRight w:val="0"/>
          <w:marTop w:val="0"/>
          <w:marBottom w:val="0"/>
          <w:divBdr>
            <w:top w:val="none" w:sz="0" w:space="0" w:color="auto"/>
            <w:left w:val="none" w:sz="0" w:space="0" w:color="auto"/>
            <w:bottom w:val="none" w:sz="0" w:space="0" w:color="auto"/>
            <w:right w:val="none" w:sz="0" w:space="0" w:color="auto"/>
          </w:divBdr>
          <w:divsChild>
            <w:div w:id="438378269">
              <w:marLeft w:val="0"/>
              <w:marRight w:val="0"/>
              <w:marTop w:val="0"/>
              <w:marBottom w:val="0"/>
              <w:divBdr>
                <w:top w:val="none" w:sz="0" w:space="0" w:color="auto"/>
                <w:left w:val="none" w:sz="0" w:space="0" w:color="auto"/>
                <w:bottom w:val="none" w:sz="0" w:space="0" w:color="auto"/>
                <w:right w:val="none" w:sz="0" w:space="0" w:color="auto"/>
              </w:divBdr>
              <w:divsChild>
                <w:div w:id="498278723">
                  <w:marLeft w:val="0"/>
                  <w:marRight w:val="0"/>
                  <w:marTop w:val="0"/>
                  <w:marBottom w:val="0"/>
                  <w:divBdr>
                    <w:top w:val="none" w:sz="0" w:space="0" w:color="auto"/>
                    <w:left w:val="none" w:sz="0" w:space="0" w:color="auto"/>
                    <w:bottom w:val="none" w:sz="0" w:space="0" w:color="auto"/>
                    <w:right w:val="none" w:sz="0" w:space="0" w:color="auto"/>
                  </w:divBdr>
                  <w:divsChild>
                    <w:div w:id="479155654">
                      <w:marLeft w:val="0"/>
                      <w:marRight w:val="0"/>
                      <w:marTop w:val="0"/>
                      <w:marBottom w:val="0"/>
                      <w:divBdr>
                        <w:top w:val="none" w:sz="0" w:space="0" w:color="auto"/>
                        <w:left w:val="none" w:sz="0" w:space="0" w:color="auto"/>
                        <w:bottom w:val="none" w:sz="0" w:space="0" w:color="auto"/>
                        <w:right w:val="none" w:sz="0" w:space="0" w:color="auto"/>
                      </w:divBdr>
                      <w:divsChild>
                        <w:div w:id="1958027223">
                          <w:marLeft w:val="0"/>
                          <w:marRight w:val="0"/>
                          <w:marTop w:val="0"/>
                          <w:marBottom w:val="0"/>
                          <w:divBdr>
                            <w:top w:val="none" w:sz="0" w:space="0" w:color="auto"/>
                            <w:left w:val="none" w:sz="0" w:space="0" w:color="auto"/>
                            <w:bottom w:val="none" w:sz="0" w:space="0" w:color="auto"/>
                            <w:right w:val="none" w:sz="0" w:space="0" w:color="auto"/>
                          </w:divBdr>
                          <w:divsChild>
                            <w:div w:id="1877892416">
                              <w:marLeft w:val="0"/>
                              <w:marRight w:val="0"/>
                              <w:marTop w:val="0"/>
                              <w:marBottom w:val="0"/>
                              <w:divBdr>
                                <w:top w:val="none" w:sz="0" w:space="0" w:color="auto"/>
                                <w:left w:val="none" w:sz="0" w:space="0" w:color="auto"/>
                                <w:bottom w:val="none" w:sz="0" w:space="0" w:color="auto"/>
                                <w:right w:val="none" w:sz="0" w:space="0" w:color="auto"/>
                              </w:divBdr>
                              <w:divsChild>
                                <w:div w:id="994988474">
                                  <w:marLeft w:val="0"/>
                                  <w:marRight w:val="0"/>
                                  <w:marTop w:val="0"/>
                                  <w:marBottom w:val="0"/>
                                  <w:divBdr>
                                    <w:top w:val="none" w:sz="0" w:space="0" w:color="auto"/>
                                    <w:left w:val="none" w:sz="0" w:space="0" w:color="auto"/>
                                    <w:bottom w:val="none" w:sz="0" w:space="0" w:color="auto"/>
                                    <w:right w:val="none" w:sz="0" w:space="0" w:color="auto"/>
                                  </w:divBdr>
                                  <w:divsChild>
                                    <w:div w:id="192336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232743">
      <w:bodyDiv w:val="1"/>
      <w:marLeft w:val="0"/>
      <w:marRight w:val="0"/>
      <w:marTop w:val="0"/>
      <w:marBottom w:val="0"/>
      <w:divBdr>
        <w:top w:val="none" w:sz="0" w:space="0" w:color="auto"/>
        <w:left w:val="none" w:sz="0" w:space="0" w:color="auto"/>
        <w:bottom w:val="none" w:sz="0" w:space="0" w:color="auto"/>
        <w:right w:val="none" w:sz="0" w:space="0" w:color="auto"/>
      </w:divBdr>
    </w:div>
    <w:div w:id="1138456480">
      <w:bodyDiv w:val="1"/>
      <w:marLeft w:val="0"/>
      <w:marRight w:val="0"/>
      <w:marTop w:val="0"/>
      <w:marBottom w:val="0"/>
      <w:divBdr>
        <w:top w:val="none" w:sz="0" w:space="0" w:color="auto"/>
        <w:left w:val="none" w:sz="0" w:space="0" w:color="auto"/>
        <w:bottom w:val="none" w:sz="0" w:space="0" w:color="auto"/>
        <w:right w:val="none" w:sz="0" w:space="0" w:color="auto"/>
      </w:divBdr>
      <w:divsChild>
        <w:div w:id="817381048">
          <w:marLeft w:val="0"/>
          <w:marRight w:val="0"/>
          <w:marTop w:val="0"/>
          <w:marBottom w:val="0"/>
          <w:divBdr>
            <w:top w:val="none" w:sz="0" w:space="0" w:color="auto"/>
            <w:left w:val="none" w:sz="0" w:space="0" w:color="auto"/>
            <w:bottom w:val="none" w:sz="0" w:space="0" w:color="auto"/>
            <w:right w:val="none" w:sz="0" w:space="0" w:color="auto"/>
          </w:divBdr>
          <w:divsChild>
            <w:div w:id="731463359">
              <w:marLeft w:val="0"/>
              <w:marRight w:val="0"/>
              <w:marTop w:val="0"/>
              <w:marBottom w:val="0"/>
              <w:divBdr>
                <w:top w:val="none" w:sz="0" w:space="0" w:color="auto"/>
                <w:left w:val="none" w:sz="0" w:space="0" w:color="auto"/>
                <w:bottom w:val="none" w:sz="0" w:space="0" w:color="auto"/>
                <w:right w:val="none" w:sz="0" w:space="0" w:color="auto"/>
              </w:divBdr>
              <w:divsChild>
                <w:div w:id="536352000">
                  <w:marLeft w:val="0"/>
                  <w:marRight w:val="0"/>
                  <w:marTop w:val="0"/>
                  <w:marBottom w:val="0"/>
                  <w:divBdr>
                    <w:top w:val="none" w:sz="0" w:space="0" w:color="auto"/>
                    <w:left w:val="none" w:sz="0" w:space="0" w:color="auto"/>
                    <w:bottom w:val="none" w:sz="0" w:space="0" w:color="auto"/>
                    <w:right w:val="none" w:sz="0" w:space="0" w:color="auto"/>
                  </w:divBdr>
                  <w:divsChild>
                    <w:div w:id="1061948748">
                      <w:marLeft w:val="0"/>
                      <w:marRight w:val="0"/>
                      <w:marTop w:val="0"/>
                      <w:marBottom w:val="0"/>
                      <w:divBdr>
                        <w:top w:val="none" w:sz="0" w:space="0" w:color="auto"/>
                        <w:left w:val="none" w:sz="0" w:space="0" w:color="auto"/>
                        <w:bottom w:val="none" w:sz="0" w:space="0" w:color="auto"/>
                        <w:right w:val="none" w:sz="0" w:space="0" w:color="auto"/>
                      </w:divBdr>
                      <w:divsChild>
                        <w:div w:id="954095420">
                          <w:marLeft w:val="0"/>
                          <w:marRight w:val="0"/>
                          <w:marTop w:val="0"/>
                          <w:marBottom w:val="0"/>
                          <w:divBdr>
                            <w:top w:val="none" w:sz="0" w:space="0" w:color="auto"/>
                            <w:left w:val="none" w:sz="0" w:space="0" w:color="auto"/>
                            <w:bottom w:val="none" w:sz="0" w:space="0" w:color="auto"/>
                            <w:right w:val="none" w:sz="0" w:space="0" w:color="auto"/>
                          </w:divBdr>
                          <w:divsChild>
                            <w:div w:id="1306356548">
                              <w:marLeft w:val="0"/>
                              <w:marRight w:val="0"/>
                              <w:marTop w:val="0"/>
                              <w:marBottom w:val="0"/>
                              <w:divBdr>
                                <w:top w:val="none" w:sz="0" w:space="0" w:color="auto"/>
                                <w:left w:val="none" w:sz="0" w:space="0" w:color="auto"/>
                                <w:bottom w:val="none" w:sz="0" w:space="0" w:color="auto"/>
                                <w:right w:val="none" w:sz="0" w:space="0" w:color="auto"/>
                              </w:divBdr>
                              <w:divsChild>
                                <w:div w:id="1624070576">
                                  <w:marLeft w:val="0"/>
                                  <w:marRight w:val="0"/>
                                  <w:marTop w:val="0"/>
                                  <w:marBottom w:val="0"/>
                                  <w:divBdr>
                                    <w:top w:val="none" w:sz="0" w:space="0" w:color="auto"/>
                                    <w:left w:val="none" w:sz="0" w:space="0" w:color="auto"/>
                                    <w:bottom w:val="none" w:sz="0" w:space="0" w:color="auto"/>
                                    <w:right w:val="none" w:sz="0" w:space="0" w:color="auto"/>
                                  </w:divBdr>
                                  <w:divsChild>
                                    <w:div w:id="93428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776925">
      <w:bodyDiv w:val="1"/>
      <w:marLeft w:val="0"/>
      <w:marRight w:val="0"/>
      <w:marTop w:val="0"/>
      <w:marBottom w:val="0"/>
      <w:divBdr>
        <w:top w:val="none" w:sz="0" w:space="0" w:color="auto"/>
        <w:left w:val="none" w:sz="0" w:space="0" w:color="auto"/>
        <w:bottom w:val="none" w:sz="0" w:space="0" w:color="auto"/>
        <w:right w:val="none" w:sz="0" w:space="0" w:color="auto"/>
      </w:divBdr>
    </w:div>
    <w:div w:id="1285113507">
      <w:bodyDiv w:val="1"/>
      <w:marLeft w:val="0"/>
      <w:marRight w:val="0"/>
      <w:marTop w:val="0"/>
      <w:marBottom w:val="0"/>
      <w:divBdr>
        <w:top w:val="none" w:sz="0" w:space="0" w:color="auto"/>
        <w:left w:val="none" w:sz="0" w:space="0" w:color="auto"/>
        <w:bottom w:val="none" w:sz="0" w:space="0" w:color="auto"/>
        <w:right w:val="none" w:sz="0" w:space="0" w:color="auto"/>
      </w:divBdr>
    </w:div>
    <w:div w:id="1380713472">
      <w:bodyDiv w:val="1"/>
      <w:marLeft w:val="0"/>
      <w:marRight w:val="0"/>
      <w:marTop w:val="0"/>
      <w:marBottom w:val="0"/>
      <w:divBdr>
        <w:top w:val="none" w:sz="0" w:space="0" w:color="auto"/>
        <w:left w:val="none" w:sz="0" w:space="0" w:color="auto"/>
        <w:bottom w:val="none" w:sz="0" w:space="0" w:color="auto"/>
        <w:right w:val="none" w:sz="0" w:space="0" w:color="auto"/>
      </w:divBdr>
    </w:div>
    <w:div w:id="1611165175">
      <w:bodyDiv w:val="1"/>
      <w:marLeft w:val="0"/>
      <w:marRight w:val="0"/>
      <w:marTop w:val="0"/>
      <w:marBottom w:val="0"/>
      <w:divBdr>
        <w:top w:val="none" w:sz="0" w:space="0" w:color="auto"/>
        <w:left w:val="none" w:sz="0" w:space="0" w:color="auto"/>
        <w:bottom w:val="none" w:sz="0" w:space="0" w:color="auto"/>
        <w:right w:val="none" w:sz="0" w:space="0" w:color="auto"/>
      </w:divBdr>
      <w:divsChild>
        <w:div w:id="823163111">
          <w:marLeft w:val="0"/>
          <w:marRight w:val="0"/>
          <w:marTop w:val="0"/>
          <w:marBottom w:val="0"/>
          <w:divBdr>
            <w:top w:val="none" w:sz="0" w:space="0" w:color="auto"/>
            <w:left w:val="none" w:sz="0" w:space="0" w:color="auto"/>
            <w:bottom w:val="none" w:sz="0" w:space="0" w:color="auto"/>
            <w:right w:val="none" w:sz="0" w:space="0" w:color="auto"/>
          </w:divBdr>
          <w:divsChild>
            <w:div w:id="45633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51384">
      <w:bodyDiv w:val="1"/>
      <w:marLeft w:val="0"/>
      <w:marRight w:val="0"/>
      <w:marTop w:val="0"/>
      <w:marBottom w:val="0"/>
      <w:divBdr>
        <w:top w:val="none" w:sz="0" w:space="0" w:color="auto"/>
        <w:left w:val="none" w:sz="0" w:space="0" w:color="auto"/>
        <w:bottom w:val="none" w:sz="0" w:space="0" w:color="auto"/>
        <w:right w:val="none" w:sz="0" w:space="0" w:color="auto"/>
      </w:divBdr>
    </w:div>
    <w:div w:id="2111391418">
      <w:bodyDiv w:val="1"/>
      <w:marLeft w:val="0"/>
      <w:marRight w:val="0"/>
      <w:marTop w:val="0"/>
      <w:marBottom w:val="0"/>
      <w:divBdr>
        <w:top w:val="none" w:sz="0" w:space="0" w:color="auto"/>
        <w:left w:val="none" w:sz="0" w:space="0" w:color="auto"/>
        <w:bottom w:val="none" w:sz="0" w:space="0" w:color="auto"/>
        <w:right w:val="none" w:sz="0" w:space="0" w:color="auto"/>
      </w:divBdr>
      <w:divsChild>
        <w:div w:id="1970278167">
          <w:marLeft w:val="0"/>
          <w:marRight w:val="0"/>
          <w:marTop w:val="0"/>
          <w:marBottom w:val="0"/>
          <w:divBdr>
            <w:top w:val="none" w:sz="0" w:space="0" w:color="auto"/>
            <w:left w:val="none" w:sz="0" w:space="0" w:color="auto"/>
            <w:bottom w:val="none" w:sz="0" w:space="0" w:color="auto"/>
            <w:right w:val="none" w:sz="0" w:space="0" w:color="auto"/>
          </w:divBdr>
          <w:divsChild>
            <w:div w:id="30127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8601</TotalTime>
  <Pages>12</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cp:lastModifiedBy>
  <cp:revision>50</cp:revision>
  <dcterms:created xsi:type="dcterms:W3CDTF">2025-05-01T06:18:00Z</dcterms:created>
  <dcterms:modified xsi:type="dcterms:W3CDTF">2025-05-07T05:39:00Z</dcterms:modified>
</cp:coreProperties>
</file>